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66D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C66DC" w:rsidRDefault="00F3352F" w:rsidP="0010095E">
            <w:pPr>
              <w:pStyle w:val="EPName"/>
            </w:pPr>
            <w:r w:rsidRPr="00DC66DC">
              <w:t>Europski parlament</w:t>
            </w:r>
          </w:p>
          <w:p w:rsidR="00751A4A" w:rsidRPr="00DC66D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66D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C66DC" w:rsidRDefault="00187494" w:rsidP="0010095E">
            <w:pPr>
              <w:pStyle w:val="EPLogo"/>
            </w:pPr>
            <w:r w:rsidRPr="00DC66DC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C66DC" w:rsidRDefault="00D058B8" w:rsidP="004C5D52">
      <w:pPr>
        <w:pStyle w:val="LineTop"/>
      </w:pPr>
    </w:p>
    <w:p w:rsidR="00680577" w:rsidRPr="00DC66DC" w:rsidRDefault="00F3352F" w:rsidP="00680577">
      <w:pPr>
        <w:pStyle w:val="EPBodyTA1"/>
      </w:pPr>
      <w:r w:rsidRPr="00DC66DC">
        <w:t>USVOJENI TEKSTOVI</w:t>
      </w:r>
    </w:p>
    <w:p w:rsidR="00D058B8" w:rsidRPr="00DC66DC" w:rsidRDefault="00D058B8" w:rsidP="00D058B8">
      <w:pPr>
        <w:pStyle w:val="LineBottom"/>
      </w:pPr>
    </w:p>
    <w:p w:rsidR="00F3352F" w:rsidRPr="00DC66DC" w:rsidRDefault="00F3352F" w:rsidP="00F3352F">
      <w:pPr>
        <w:pStyle w:val="ATHeading1"/>
      </w:pPr>
      <w:bookmarkStart w:id="0" w:name="TANumber"/>
      <w:r w:rsidRPr="00DC66DC">
        <w:t>P9_TA(2024)00</w:t>
      </w:r>
      <w:r w:rsidR="00DC66DC" w:rsidRPr="00DC66DC">
        <w:t>18</w:t>
      </w:r>
      <w:bookmarkEnd w:id="0"/>
    </w:p>
    <w:p w:rsidR="00F3352F" w:rsidRPr="00DC66DC" w:rsidRDefault="008D6D3A" w:rsidP="00F3352F">
      <w:pPr>
        <w:pStyle w:val="ATHeading2"/>
      </w:pPr>
      <w:bookmarkStart w:id="1" w:name="title"/>
      <w:r w:rsidRPr="00DC66DC">
        <w:rPr>
          <w:bCs/>
        </w:rPr>
        <w:t>Jačanje položaja potrošača u zelenoj tranziciji</w:t>
      </w:r>
      <w:bookmarkEnd w:id="1"/>
    </w:p>
    <w:p w:rsidR="00F3352F" w:rsidRPr="00DC66DC" w:rsidRDefault="00F3352F" w:rsidP="00F3352F">
      <w:pPr>
        <w:rPr>
          <w:i/>
          <w:vanish/>
        </w:rPr>
      </w:pPr>
      <w:r w:rsidRPr="00DC66DC">
        <w:rPr>
          <w:i/>
        </w:rPr>
        <w:fldChar w:fldCharType="begin"/>
      </w:r>
      <w:r w:rsidRPr="00DC66DC">
        <w:rPr>
          <w:i/>
        </w:rPr>
        <w:instrText xml:space="preserve"> TC"(</w:instrText>
      </w:r>
      <w:bookmarkStart w:id="2" w:name="DocNumber"/>
      <w:r w:rsidRPr="00DC66DC">
        <w:rPr>
          <w:i/>
        </w:rPr>
        <w:instrText>A9-0099/2023</w:instrText>
      </w:r>
      <w:bookmarkEnd w:id="2"/>
      <w:r w:rsidRPr="00DC66DC">
        <w:rPr>
          <w:i/>
        </w:rPr>
        <w:instrText xml:space="preserve"> - Izvjestiteljica: Biljana Borzan)"\l3 \n&gt; \* MERGEFORMAT </w:instrText>
      </w:r>
      <w:r w:rsidRPr="00DC66DC">
        <w:rPr>
          <w:i/>
        </w:rPr>
        <w:fldChar w:fldCharType="end"/>
      </w:r>
    </w:p>
    <w:p w:rsidR="00F3352F" w:rsidRPr="00DC66DC" w:rsidRDefault="00F3352F" w:rsidP="00F3352F">
      <w:pPr>
        <w:rPr>
          <w:vanish/>
        </w:rPr>
      </w:pPr>
      <w:bookmarkStart w:id="3" w:name="Commission"/>
      <w:r w:rsidRPr="00DC66DC">
        <w:rPr>
          <w:vanish/>
        </w:rPr>
        <w:t>Odbor za unutarnje tržište i zaštitu potrošača</w:t>
      </w:r>
      <w:bookmarkEnd w:id="3"/>
    </w:p>
    <w:p w:rsidR="00F3352F" w:rsidRPr="00DC66DC" w:rsidRDefault="00F3352F" w:rsidP="00F3352F">
      <w:pPr>
        <w:rPr>
          <w:vanish/>
        </w:rPr>
      </w:pPr>
      <w:bookmarkStart w:id="4" w:name="PE"/>
      <w:r w:rsidRPr="00DC66DC">
        <w:rPr>
          <w:vanish/>
        </w:rPr>
        <w:t>PE736.537</w:t>
      </w:r>
      <w:bookmarkEnd w:id="4"/>
    </w:p>
    <w:p w:rsidR="00F3352F" w:rsidRPr="00DC66DC" w:rsidRDefault="00F3352F" w:rsidP="00F3352F">
      <w:pPr>
        <w:pStyle w:val="ATHeading3"/>
      </w:pPr>
      <w:bookmarkStart w:id="5" w:name="Sujet"/>
      <w:r w:rsidRPr="00DC66DC">
        <w:t>Zakonodavna rezolucija Europskog parlamenta od</w:t>
      </w:r>
      <w:r w:rsidR="008D6D3A" w:rsidRPr="00DC66DC">
        <w:t xml:space="preserve"> 17.</w:t>
      </w:r>
      <w:r w:rsidRPr="00DC66DC">
        <w:t xml:space="preserve"> </w:t>
      </w:r>
      <w:r w:rsidR="00320189" w:rsidRPr="00DC66DC">
        <w:t>siječnja</w:t>
      </w:r>
      <w:r w:rsidRPr="00DC66DC">
        <w:t xml:space="preserve"> 2024. o Prijedlogu direktive Europskog parlamenta i Vijeća o izmjeni direktiva 2005/29/EZ i 2011/83/EU u pogledu jačanja položaja potrošača u zelenoj tranziciji boljom zaštitom od nepoštenih praksi i boljim informiranjem</w:t>
      </w:r>
      <w:bookmarkEnd w:id="5"/>
      <w:r w:rsidRPr="00DC66DC">
        <w:t xml:space="preserve"> </w:t>
      </w:r>
      <w:bookmarkStart w:id="6" w:name="References"/>
      <w:r w:rsidRPr="00DC66DC">
        <w:t>(COM(2022)0143 – C9-0128/2022 – 2022/0092(COD))</w:t>
      </w:r>
      <w:bookmarkEnd w:id="6"/>
    </w:p>
    <w:p w:rsidR="00F3352F" w:rsidRPr="00DC66DC" w:rsidRDefault="00F3352F" w:rsidP="00F3352F"/>
    <w:p w:rsidR="0091473B" w:rsidRPr="00DC66DC" w:rsidRDefault="0091473B" w:rsidP="0091473B">
      <w:pPr>
        <w:pStyle w:val="NormalBold"/>
      </w:pPr>
      <w:bookmarkStart w:id="7" w:name="TextBodyBegin"/>
      <w:bookmarkEnd w:id="7"/>
      <w:r w:rsidRPr="00DC66DC">
        <w:t>(Redovni zakonodavni postupak: prvo čitanje)</w:t>
      </w:r>
    </w:p>
    <w:p w:rsidR="0091473B" w:rsidRPr="00DC66DC" w:rsidRDefault="0091473B" w:rsidP="0091473B">
      <w:pPr>
        <w:pStyle w:val="EPComma"/>
      </w:pPr>
      <w:r w:rsidRPr="00DC66DC">
        <w:rPr>
          <w:i/>
        </w:rPr>
        <w:t>Europski parlament</w:t>
      </w:r>
      <w:r w:rsidRPr="00DC66DC">
        <w:t>,</w:t>
      </w:r>
    </w:p>
    <w:p w:rsidR="0091473B" w:rsidRPr="00DC66DC" w:rsidRDefault="0091473B" w:rsidP="0091473B">
      <w:pPr>
        <w:pStyle w:val="NormalHanging12a"/>
      </w:pPr>
      <w:r w:rsidRPr="00DC66DC">
        <w:t>–</w:t>
      </w:r>
      <w:r w:rsidRPr="00DC66DC">
        <w:tab/>
        <w:t>uzimajući u obzir Prijedlog Komisije upućen Europskom parlamentu i Vijeću (COM(2022)0143),</w:t>
      </w:r>
    </w:p>
    <w:p w:rsidR="0091473B" w:rsidRPr="00DC66DC" w:rsidRDefault="0091473B" w:rsidP="0091473B">
      <w:pPr>
        <w:pStyle w:val="NormalHanging12a"/>
      </w:pPr>
      <w:r w:rsidRPr="00DC66DC">
        <w:t>–</w:t>
      </w:r>
      <w:r w:rsidRPr="00DC66DC">
        <w:tab/>
        <w:t>uzimajući u obzir članak 294. stavak 2. i članak 114. Ugovora o funkcioniranju Europske unije, u skladu s kojima je Komisija podnijela Prijedlog Parlamentu (C9</w:t>
      </w:r>
      <w:r w:rsidRPr="00DC66DC">
        <w:noBreakHyphen/>
        <w:t>0128/2022),</w:t>
      </w:r>
    </w:p>
    <w:p w:rsidR="0091473B" w:rsidRPr="00DC66DC" w:rsidRDefault="0091473B" w:rsidP="0091473B">
      <w:pPr>
        <w:pStyle w:val="NormalHanging12a"/>
      </w:pPr>
      <w:r w:rsidRPr="00DC66DC">
        <w:t>–</w:t>
      </w:r>
      <w:r w:rsidRPr="00DC66DC">
        <w:tab/>
        <w:t>uzimajući u obzir članak 294. stavak 3. Ugovora o funkcioniranju Europske unije,</w:t>
      </w:r>
    </w:p>
    <w:p w:rsidR="0091473B" w:rsidRPr="00DC66DC" w:rsidRDefault="0091473B" w:rsidP="0091473B">
      <w:pPr>
        <w:pStyle w:val="NormalHanging12a"/>
      </w:pPr>
      <w:r w:rsidRPr="00DC66DC">
        <w:t>–</w:t>
      </w:r>
      <w:r w:rsidRPr="00DC66DC">
        <w:tab/>
        <w:t>uzimajući u obzir mišljenje Europskoga gospodarskog i socijalnog odbora od 13. srpnja 2022.</w:t>
      </w:r>
      <w:r w:rsidRPr="00DC66DC">
        <w:rPr>
          <w:rStyle w:val="FootnoteReference"/>
          <w:szCs w:val="24"/>
        </w:rPr>
        <w:footnoteReference w:id="1"/>
      </w:r>
      <w:r w:rsidRPr="00DC66DC">
        <w:t>,</w:t>
      </w:r>
    </w:p>
    <w:p w:rsidR="008D6D3A" w:rsidRPr="00DC66DC" w:rsidRDefault="008D6D3A" w:rsidP="0091473B">
      <w:pPr>
        <w:pStyle w:val="NormalHanging12a"/>
      </w:pPr>
      <w:r w:rsidRPr="00DC66DC">
        <w:t>–</w:t>
      </w:r>
      <w:r w:rsidRPr="00DC66DC">
        <w:tab/>
        <w:t>uzimajući u obzir privremeni sporazum koji je odobrio nadležni odbor u skladu s člankom 74. stavkom 4. Poslovnika te činjenicu da se predstavnik Vijeća pismom od 25. listopada 2023. obvezao prihvatiti stajalište Europskog parlamenta u skladu s člankom 294. stavkom 4. Ugovora o funkcioniranju Europske unije,</w:t>
      </w:r>
    </w:p>
    <w:p w:rsidR="0091473B" w:rsidRPr="00DC66DC" w:rsidRDefault="0091473B" w:rsidP="0091473B">
      <w:pPr>
        <w:pStyle w:val="NormalHanging12a"/>
      </w:pPr>
      <w:r w:rsidRPr="00DC66DC">
        <w:t>–</w:t>
      </w:r>
      <w:r w:rsidRPr="00DC66DC">
        <w:tab/>
        <w:t>uzimajući u obzir članak 59. Poslovnika,</w:t>
      </w:r>
    </w:p>
    <w:p w:rsidR="0091473B" w:rsidRPr="00DC66DC" w:rsidRDefault="0091473B" w:rsidP="0091473B">
      <w:pPr>
        <w:pStyle w:val="NormalHanging12a"/>
      </w:pPr>
      <w:r w:rsidRPr="00DC66DC">
        <w:t>–</w:t>
      </w:r>
      <w:r w:rsidRPr="00DC66DC">
        <w:tab/>
        <w:t>uzimajući u obzir mišljenje Odbora za okoliš, javno zdravlje i sigurnost hrane,</w:t>
      </w:r>
    </w:p>
    <w:p w:rsidR="0091473B" w:rsidRPr="00DC66DC" w:rsidRDefault="0091473B" w:rsidP="0091473B">
      <w:pPr>
        <w:pStyle w:val="NormalHanging12a"/>
      </w:pPr>
      <w:r w:rsidRPr="00DC66DC">
        <w:t>–</w:t>
      </w:r>
      <w:r w:rsidRPr="00DC66DC">
        <w:tab/>
        <w:t>uzimajući u obzir izvješće Odbora za unutarnje tržište i zaštitu potrošača (A9</w:t>
      </w:r>
      <w:r w:rsidRPr="00DC66DC">
        <w:noBreakHyphen/>
        <w:t>0099/2023),</w:t>
      </w:r>
    </w:p>
    <w:p w:rsidR="0091473B" w:rsidRPr="00DC66DC" w:rsidRDefault="0091473B" w:rsidP="0091473B">
      <w:pPr>
        <w:pStyle w:val="NormalHanging12a"/>
      </w:pPr>
      <w:r w:rsidRPr="00DC66DC">
        <w:lastRenderedPageBreak/>
        <w:t>1.</w:t>
      </w:r>
      <w:r w:rsidRPr="00DC66DC">
        <w:tab/>
        <w:t>usvaja sljedeće stajalište u prvom čitanju</w:t>
      </w:r>
      <w:r w:rsidR="008D6D3A" w:rsidRPr="00DC66DC">
        <w:rPr>
          <w:rStyle w:val="FootnoteReference"/>
        </w:rPr>
        <w:footnoteReference w:id="2"/>
      </w:r>
      <w:r w:rsidRPr="00DC66DC">
        <w:t>;</w:t>
      </w:r>
    </w:p>
    <w:p w:rsidR="0091473B" w:rsidRPr="00DC66DC" w:rsidRDefault="0091473B" w:rsidP="0091473B">
      <w:pPr>
        <w:pStyle w:val="NormalHanging12a"/>
      </w:pPr>
      <w:r w:rsidRPr="00DC66DC">
        <w:t>2.</w:t>
      </w:r>
      <w:r w:rsidRPr="00DC66DC">
        <w:tab/>
        <w:t>poziva Komisiju da predmet ponovno uputi Parlamentu ako zamijeni, bitno izmijeni ili namjerava bitno izmijeniti svoj Prijedlog;</w:t>
      </w:r>
    </w:p>
    <w:p w:rsidR="0091473B" w:rsidRPr="00DC66DC" w:rsidRDefault="0091473B" w:rsidP="0091473B">
      <w:pPr>
        <w:pStyle w:val="NormalHanging12a"/>
      </w:pPr>
      <w:r w:rsidRPr="00DC66DC">
        <w:t>3.</w:t>
      </w:r>
      <w:r w:rsidRPr="00DC66DC">
        <w:tab/>
        <w:t>nalaže svojoj predsjednici da stajalište Parlamenta proslijedi Vijeću, Komisiji i nacionalnim parlamentima.</w:t>
      </w:r>
    </w:p>
    <w:p w:rsidR="0091473B" w:rsidRPr="00DC66DC" w:rsidRDefault="0091473B" w:rsidP="0091473B"/>
    <w:p w:rsidR="008D6D3A" w:rsidRPr="00DC66DC" w:rsidRDefault="008D6D3A" w:rsidP="00F3352F">
      <w:pPr>
        <w:sectPr w:rsidR="008D6D3A" w:rsidRPr="00DC66DC" w:rsidSect="00595FE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8D6D3A" w:rsidRPr="00C90260" w:rsidRDefault="008D6D3A" w:rsidP="00DC66DC">
      <w:pPr>
        <w:widowControl/>
        <w:spacing w:after="240"/>
        <w:rPr>
          <w:rFonts w:eastAsiaTheme="minorHAnsi"/>
          <w:b/>
          <w:szCs w:val="24"/>
          <w:lang w:eastAsia="en-US"/>
        </w:rPr>
      </w:pPr>
      <w:r w:rsidRPr="00C90260">
        <w:rPr>
          <w:b/>
          <w:bCs/>
          <w:color w:val="000000"/>
          <w:szCs w:val="24"/>
        </w:rPr>
        <w:lastRenderedPageBreak/>
        <w:t>P9_TC1-COD(2022)0092</w:t>
      </w:r>
    </w:p>
    <w:p w:rsidR="008D6D3A" w:rsidRPr="00C90260" w:rsidRDefault="008D6D3A" w:rsidP="00C90260">
      <w:pPr>
        <w:widowControl/>
        <w:spacing w:before="360" w:after="240"/>
        <w:rPr>
          <w:rFonts w:eastAsiaTheme="minorHAnsi"/>
          <w:b/>
          <w:szCs w:val="24"/>
          <w:lang w:eastAsia="en-US"/>
        </w:rPr>
      </w:pPr>
      <w:r w:rsidRPr="00C90260">
        <w:rPr>
          <w:rFonts w:eastAsiaTheme="minorHAnsi"/>
          <w:b/>
          <w:szCs w:val="24"/>
          <w:lang w:eastAsia="en-US"/>
        </w:rPr>
        <w:t xml:space="preserve">Stajalište Europskog parlamenta usvojeno u prvom čitanju 17. siječnja 2024. radi donošenja </w:t>
      </w:r>
      <w:r w:rsidR="005F65C7" w:rsidRPr="00C90260">
        <w:rPr>
          <w:rFonts w:eastAsiaTheme="minorHAnsi"/>
          <w:b/>
          <w:szCs w:val="24"/>
          <w:lang w:eastAsia="en-US"/>
        </w:rPr>
        <w:t>Direktive</w:t>
      </w:r>
      <w:r w:rsidRPr="00C90260">
        <w:rPr>
          <w:rFonts w:eastAsiaTheme="minorHAnsi"/>
          <w:b/>
          <w:szCs w:val="24"/>
          <w:lang w:eastAsia="en-US"/>
        </w:rPr>
        <w:t xml:space="preserve"> (EU) 2024/... Europskog parlamenta i Vijeća o izmjeni direktiva 2005/29/EZ i 2011/83/EU u pogledu jačanja položaja potrošača u zelenoj tranziciji boljom zaštitom od nepoštenih praksi i boljim informiranjem</w:t>
      </w:r>
    </w:p>
    <w:p w:rsidR="007B5FBD" w:rsidRPr="007B5FBD" w:rsidRDefault="007B5FBD" w:rsidP="007B5FBD">
      <w:pPr>
        <w:widowControl/>
        <w:jc w:val="both"/>
        <w:rPr>
          <w:rFonts w:eastAsia="Calibri"/>
          <w:i/>
          <w:szCs w:val="24"/>
          <w:lang w:eastAsia="en-US"/>
        </w:rPr>
      </w:pPr>
      <w:r w:rsidRPr="007B5FBD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</w:t>
      </w:r>
      <w:r>
        <w:rPr>
          <w:rFonts w:eastAsia="Calibri"/>
          <w:i/>
          <w:szCs w:val="24"/>
          <w:lang w:eastAsia="en-US"/>
        </w:rPr>
        <w:t>konodavnom aktu, Direktivi (EU) 2024/825.)</w:t>
      </w:r>
      <w:bookmarkStart w:id="9" w:name="_GoBack"/>
      <w:bookmarkEnd w:id="9"/>
    </w:p>
    <w:p w:rsidR="007B5FBD" w:rsidRPr="00C90260" w:rsidRDefault="007B5FBD" w:rsidP="007B5FBD">
      <w:pPr>
        <w:rPr>
          <w:rFonts w:eastAsia="Calibri"/>
          <w:szCs w:val="24"/>
          <w:lang w:eastAsia="en-US"/>
        </w:rPr>
      </w:pPr>
    </w:p>
    <w:sectPr w:rsidR="007B5FBD" w:rsidRPr="00C90260" w:rsidSect="007B5FBD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52F" w:rsidRPr="00595FE6" w:rsidRDefault="00F3352F">
      <w:r w:rsidRPr="00595FE6">
        <w:separator/>
      </w:r>
    </w:p>
  </w:endnote>
  <w:endnote w:type="continuationSeparator" w:id="0">
    <w:p w:rsidR="00F3352F" w:rsidRPr="00595FE6" w:rsidRDefault="00F3352F">
      <w:r w:rsidRPr="00595F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52F" w:rsidRPr="00595FE6" w:rsidRDefault="00F3352F">
      <w:r w:rsidRPr="00595FE6">
        <w:separator/>
      </w:r>
    </w:p>
  </w:footnote>
  <w:footnote w:type="continuationSeparator" w:id="0">
    <w:p w:rsidR="00F3352F" w:rsidRPr="00595FE6" w:rsidRDefault="00F3352F">
      <w:r w:rsidRPr="00595FE6">
        <w:continuationSeparator/>
      </w:r>
    </w:p>
  </w:footnote>
  <w:footnote w:id="1">
    <w:p w:rsidR="0091473B" w:rsidRPr="00C90260" w:rsidRDefault="0091473B" w:rsidP="008D6D3A">
      <w:pPr>
        <w:pStyle w:val="FootnoteText"/>
        <w:ind w:left="567" w:hanging="567"/>
        <w:rPr>
          <w:sz w:val="24"/>
          <w:szCs w:val="24"/>
          <w:lang w:val="hr-HR"/>
        </w:rPr>
      </w:pPr>
      <w:r w:rsidRPr="00C90260">
        <w:rPr>
          <w:rStyle w:val="FootnoteReference"/>
          <w:sz w:val="24"/>
          <w:szCs w:val="24"/>
          <w:lang w:val="hr-HR"/>
        </w:rPr>
        <w:footnoteRef/>
      </w:r>
      <w:r w:rsidR="00595FE6" w:rsidRPr="00C90260">
        <w:rPr>
          <w:sz w:val="24"/>
          <w:szCs w:val="24"/>
          <w:lang w:val="hr-HR"/>
        </w:rPr>
        <w:t xml:space="preserve"> </w:t>
      </w:r>
      <w:r w:rsidR="00595FE6" w:rsidRPr="00C90260">
        <w:rPr>
          <w:sz w:val="24"/>
          <w:szCs w:val="24"/>
          <w:lang w:val="hr-HR"/>
        </w:rPr>
        <w:tab/>
      </w:r>
      <w:r w:rsidRPr="00C90260">
        <w:rPr>
          <w:sz w:val="24"/>
          <w:szCs w:val="24"/>
          <w:lang w:val="hr-HR"/>
        </w:rPr>
        <w:t>SL C 443, 22.11.2022., str. 75.</w:t>
      </w:r>
    </w:p>
  </w:footnote>
  <w:footnote w:id="2">
    <w:p w:rsidR="008D6D3A" w:rsidRPr="00C90260" w:rsidRDefault="008D6D3A" w:rsidP="00DC66DC">
      <w:pPr>
        <w:pStyle w:val="FootnoteText"/>
        <w:ind w:left="567" w:hanging="567"/>
        <w:rPr>
          <w:sz w:val="24"/>
          <w:szCs w:val="24"/>
          <w:lang w:val="sl-SI"/>
        </w:rPr>
      </w:pPr>
      <w:r w:rsidRPr="00C90260">
        <w:rPr>
          <w:rStyle w:val="FootnoteReference"/>
          <w:sz w:val="24"/>
          <w:szCs w:val="24"/>
        </w:rPr>
        <w:footnoteRef/>
      </w:r>
      <w:r w:rsidRPr="00C90260">
        <w:rPr>
          <w:sz w:val="24"/>
          <w:szCs w:val="24"/>
        </w:rPr>
        <w:t xml:space="preserve"> </w:t>
      </w:r>
      <w:r w:rsidRPr="00C90260">
        <w:rPr>
          <w:sz w:val="24"/>
          <w:szCs w:val="24"/>
        </w:rPr>
        <w:tab/>
      </w:r>
      <w:r w:rsidRPr="00C90260">
        <w:rPr>
          <w:sz w:val="24"/>
          <w:szCs w:val="24"/>
          <w:lang w:val="hr-HR"/>
        </w:rPr>
        <w:t>Ovo stajalište zamjenjuje amandmane usvojene na sjednici 11. svibnja 2023. (Usvojeni tekstovi P9_TA(2023)0201).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3"/>
    <w:docVar w:name="dvlangue" w:val="HR"/>
    <w:docVar w:name="dvnumam" w:val="96"/>
    <w:docVar w:name="dvpe" w:val="736.537"/>
    <w:docVar w:name="dvrapporteur" w:val="Izvjestiteljica: "/>
    <w:docVar w:name="dvstar" w:val="***I"/>
    <w:docVar w:name="dvtitre" w:val="Zakonodavna rezolucija Europskog parlamenta od .... 2024. o Prijedlogu direktive Europskog parlamenta i Vijeća o izmjeni direktiva 2005/29/EZ i 2011/83/EU u pogledu jačanja položaja potrošača u zelenoj tranziciji boljom zaštitom od nepoštenih praksi i boljim informiranjem(COM(2022)0143 – C9-0128/2022 – 2022/0092(COD))"/>
  </w:docVars>
  <w:rsids>
    <w:rsidRoot w:val="00F3352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018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5FE6"/>
    <w:rsid w:val="005C2568"/>
    <w:rsid w:val="005F65C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5FB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6D3A"/>
    <w:rsid w:val="0091473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026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66D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352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8BBE0E"/>
  <w15:chartTrackingRefBased/>
  <w15:docId w15:val="{C39A4516-CBDF-4DF0-AF9E-084BE44C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1473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1473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1473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1473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1473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1473B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91473B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91473B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91473B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91473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1473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1473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1473B"/>
    <w:pPr>
      <w:spacing w:after="120"/>
    </w:pPr>
  </w:style>
  <w:style w:type="paragraph" w:customStyle="1" w:styleId="PageHeading">
    <w:name w:val="PageHeading"/>
    <w:basedOn w:val="Normal"/>
    <w:rsid w:val="0091473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1473B"/>
    <w:rPr>
      <w:b/>
    </w:rPr>
  </w:style>
  <w:style w:type="paragraph" w:customStyle="1" w:styleId="NormalBold12a">
    <w:name w:val="NormalBold12a"/>
    <w:basedOn w:val="Normal"/>
    <w:rsid w:val="0091473B"/>
    <w:pPr>
      <w:spacing w:after="240"/>
    </w:pPr>
    <w:rPr>
      <w:b/>
    </w:rPr>
  </w:style>
  <w:style w:type="paragraph" w:customStyle="1" w:styleId="AmJustText">
    <w:name w:val="AmJustText"/>
    <w:basedOn w:val="Normal"/>
    <w:rsid w:val="0091473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1473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1473B"/>
    <w:pPr>
      <w:spacing w:after="480"/>
      <w:ind w:left="1417"/>
    </w:pPr>
  </w:style>
  <w:style w:type="paragraph" w:customStyle="1" w:styleId="CoverNormal">
    <w:name w:val="CoverNormal"/>
    <w:basedOn w:val="Normal"/>
    <w:rsid w:val="0091473B"/>
    <w:pPr>
      <w:ind w:left="1418"/>
    </w:pPr>
  </w:style>
  <w:style w:type="paragraph" w:customStyle="1" w:styleId="AmCrossRef">
    <w:name w:val="AmCrossRef"/>
    <w:basedOn w:val="Normal"/>
    <w:rsid w:val="0091473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1473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1473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1473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1473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1473B"/>
    <w:pPr>
      <w:spacing w:before="240" w:after="1200"/>
    </w:pPr>
  </w:style>
  <w:style w:type="paragraph" w:styleId="Header">
    <w:name w:val="header"/>
    <w:basedOn w:val="Normal"/>
    <w:link w:val="HeaderChar"/>
    <w:rsid w:val="00914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1473B"/>
    <w:rPr>
      <w:sz w:val="24"/>
      <w:lang w:val="hr-HR"/>
    </w:rPr>
  </w:style>
  <w:style w:type="paragraph" w:customStyle="1" w:styleId="AmOrLang">
    <w:name w:val="AmOrLang"/>
    <w:basedOn w:val="Normal"/>
    <w:rsid w:val="0091473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1473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1473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1473B"/>
    <w:pPr>
      <w:spacing w:before="240"/>
    </w:pPr>
    <w:rPr>
      <w:b/>
    </w:rPr>
  </w:style>
  <w:style w:type="paragraph" w:customStyle="1" w:styleId="EPBody">
    <w:name w:val="EPBody"/>
    <w:basedOn w:val="Normal"/>
    <w:rsid w:val="0091473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1473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1473B"/>
    <w:pPr>
      <w:spacing w:before="480" w:after="240"/>
    </w:pPr>
  </w:style>
  <w:style w:type="paragraph" w:customStyle="1" w:styleId="Lgendesigne">
    <w:name w:val="Légende signe"/>
    <w:basedOn w:val="Normal"/>
    <w:rsid w:val="0091473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1473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1473B"/>
    <w:rPr>
      <w:sz w:val="18"/>
    </w:rPr>
  </w:style>
  <w:style w:type="character" w:styleId="Hyperlink">
    <w:name w:val="Hyperlink"/>
    <w:basedOn w:val="DefaultParagraphFont"/>
    <w:uiPriority w:val="99"/>
    <w:unhideWhenUsed/>
    <w:rsid w:val="0091473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91473B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91473B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91473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1473B"/>
    <w:rPr>
      <w:lang w:val="hr-HR"/>
    </w:rPr>
  </w:style>
  <w:style w:type="paragraph" w:styleId="Footer">
    <w:name w:val="footer"/>
    <w:basedOn w:val="Normal"/>
    <w:link w:val="FooterChar"/>
    <w:rsid w:val="00914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1473B"/>
    <w:rPr>
      <w:sz w:val="24"/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147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1473B"/>
    <w:rPr>
      <w:b/>
      <w:bCs/>
      <w:lang w:val="hr-HR"/>
    </w:rPr>
  </w:style>
  <w:style w:type="paragraph" w:styleId="BalloonText">
    <w:name w:val="Balloon Text"/>
    <w:basedOn w:val="Normal"/>
    <w:link w:val="BalloonTextChar"/>
    <w:unhideWhenUsed/>
    <w:rsid w:val="009147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1473B"/>
    <w:rPr>
      <w:rFonts w:ascii="Segoe UI" w:hAnsi="Segoe UI" w:cs="Segoe UI"/>
      <w:sz w:val="18"/>
      <w:szCs w:val="18"/>
      <w:lang w:val="hr-HR"/>
    </w:rPr>
  </w:style>
  <w:style w:type="character" w:customStyle="1" w:styleId="NormalBoldChar">
    <w:name w:val="NormalBold Char"/>
    <w:basedOn w:val="DefaultParagraphFont"/>
    <w:link w:val="NormalBold"/>
    <w:locked/>
    <w:rsid w:val="0091473B"/>
    <w:rPr>
      <w:b/>
      <w:sz w:val="24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91473B"/>
    <w:rPr>
      <w:noProof/>
      <w:sz w:val="24"/>
    </w:rPr>
  </w:style>
  <w:style w:type="paragraph" w:customStyle="1" w:styleId="Normal12">
    <w:name w:val="Normal12"/>
    <w:basedOn w:val="Normal"/>
    <w:link w:val="Normal12Char"/>
    <w:rsid w:val="0091473B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1473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1473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1473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1473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1473B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91473B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91473B"/>
    <w:pPr>
      <w:spacing w:after="120"/>
    </w:pPr>
  </w:style>
  <w:style w:type="paragraph" w:customStyle="1" w:styleId="Normal12Italic">
    <w:name w:val="Normal12Italic"/>
    <w:basedOn w:val="Normal12"/>
    <w:rsid w:val="0091473B"/>
    <w:rPr>
      <w:i/>
    </w:rPr>
  </w:style>
  <w:style w:type="paragraph" w:customStyle="1" w:styleId="JustificationTitle">
    <w:name w:val="JustificationTitle"/>
    <w:basedOn w:val="Normal"/>
    <w:next w:val="Normal12"/>
    <w:rsid w:val="0091473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1473B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1473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link w:val="AMNumberTabsChar"/>
    <w:rsid w:val="0091473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1473B"/>
    <w:pPr>
      <w:spacing w:before="240"/>
      <w:jc w:val="center"/>
    </w:pPr>
    <w:rPr>
      <w:i/>
    </w:rPr>
  </w:style>
  <w:style w:type="paragraph" w:customStyle="1" w:styleId="EntPE">
    <w:name w:val="EntPE"/>
    <w:basedOn w:val="Normal12"/>
    <w:rsid w:val="0091473B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nhideWhenUsed/>
    <w:rsid w:val="0091473B"/>
    <w:rPr>
      <w:sz w:val="16"/>
      <w:szCs w:val="16"/>
    </w:rPr>
  </w:style>
  <w:style w:type="character" w:customStyle="1" w:styleId="Footer2Middle">
    <w:name w:val="Footer2Middle"/>
    <w:rsid w:val="0091473B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customStyle="1" w:styleId="NormalBold12bChar">
    <w:name w:val="NormalBold12b Char"/>
    <w:basedOn w:val="DefaultParagraphFont"/>
    <w:link w:val="NormalBold12b"/>
    <w:rsid w:val="0091473B"/>
    <w:rPr>
      <w:b/>
      <w:sz w:val="24"/>
      <w:lang w:val="hr-HR"/>
    </w:rPr>
  </w:style>
  <w:style w:type="character" w:customStyle="1" w:styleId="AMNumberTabsChar">
    <w:name w:val="AMNumberTabs Char"/>
    <w:basedOn w:val="DefaultParagraphFont"/>
    <w:link w:val="AMNumberTabs0"/>
    <w:rsid w:val="0091473B"/>
    <w:rPr>
      <w:b/>
      <w:sz w:val="24"/>
      <w:lang w:val="hr-HR"/>
    </w:rPr>
  </w:style>
  <w:style w:type="paragraph" w:customStyle="1" w:styleId="Normal12a">
    <w:name w:val="Normal12a"/>
    <w:basedOn w:val="Normal"/>
    <w:rsid w:val="0091473B"/>
    <w:pPr>
      <w:spacing w:after="240"/>
    </w:pPr>
  </w:style>
  <w:style w:type="paragraph" w:customStyle="1" w:styleId="PageHeadingNotTOC">
    <w:name w:val="PageHeadingNotTOC"/>
    <w:basedOn w:val="Normal"/>
    <w:rsid w:val="0091473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1473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91473B"/>
    <w:pPr>
      <w:spacing w:after="480"/>
    </w:pPr>
  </w:style>
  <w:style w:type="paragraph" w:customStyle="1" w:styleId="NormalBoldCenter">
    <w:name w:val="NormalBoldCenter"/>
    <w:basedOn w:val="Normal"/>
    <w:rsid w:val="0091473B"/>
    <w:pPr>
      <w:jc w:val="center"/>
    </w:pPr>
    <w:rPr>
      <w:b/>
    </w:rPr>
  </w:style>
  <w:style w:type="paragraph" w:customStyle="1" w:styleId="title-bold">
    <w:name w:val="title-bold"/>
    <w:basedOn w:val="Normal"/>
    <w:rsid w:val="0091473B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91473B"/>
    <w:pPr>
      <w:widowControl/>
      <w:spacing w:before="100" w:beforeAutospacing="1" w:after="100" w:afterAutospacing="1"/>
    </w:pPr>
    <w:rPr>
      <w:szCs w:val="24"/>
    </w:rPr>
  </w:style>
  <w:style w:type="paragraph" w:customStyle="1" w:styleId="RollCallSymbols14pt">
    <w:name w:val="RollCallSymbols14pt"/>
    <w:basedOn w:val="Normal"/>
    <w:rsid w:val="0091473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1473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1473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1473B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rsid w:val="0091473B"/>
    <w:pPr>
      <w:autoSpaceDE w:val="0"/>
      <w:autoSpaceDN w:val="0"/>
      <w:adjustRightInd w:val="0"/>
    </w:pPr>
    <w:rPr>
      <w:rFonts w:ascii="Nunito Sans" w:eastAsiaTheme="minorHAnsi" w:hAnsi="Nunito Sans" w:cs="Nunito Sans"/>
      <w:color w:val="000000"/>
      <w:sz w:val="24"/>
      <w:szCs w:val="24"/>
      <w:lang w:val="hr-HR" w:eastAsia="en-US"/>
    </w:rPr>
  </w:style>
  <w:style w:type="character" w:styleId="Emphasis">
    <w:name w:val="Emphasis"/>
    <w:basedOn w:val="DefaultParagraphFont"/>
    <w:uiPriority w:val="20"/>
    <w:qFormat/>
    <w:rsid w:val="0091473B"/>
    <w:rPr>
      <w:i/>
      <w:iCs/>
    </w:rPr>
  </w:style>
  <w:style w:type="paragraph" w:customStyle="1" w:styleId="Point3">
    <w:name w:val="Point 3"/>
    <w:basedOn w:val="Normal"/>
    <w:rsid w:val="0091473B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91473B"/>
    <w:rPr>
      <w:sz w:val="24"/>
      <w:lang w:val="hr-HR"/>
    </w:rPr>
  </w:style>
  <w:style w:type="character" w:customStyle="1" w:styleId="diff-tte-added">
    <w:name w:val="diff-tte-added"/>
    <w:basedOn w:val="DefaultParagraphFont"/>
    <w:rsid w:val="008D6D3A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76266-9D6C-4806-B347-202B32334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2024-05-27T13:21:00Z</dcterms:created>
  <dcterms:modified xsi:type="dcterms:W3CDTF">2024-05-27T13:21:00Z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P9_TA(2024)0018_</vt:lpwstr>
  </property>
  <property fmtid="{D5CDD505-2E9C-101B-9397-08002B2CF9AE}" pid="4" name="&lt;Type&gt;">
    <vt:lpwstr>RR</vt:lpwstr>
  </property>
</Properties>
</file>