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951A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951A8" w:rsidRDefault="00AF31E7" w:rsidP="0010095E">
            <w:pPr>
              <w:pStyle w:val="EPName"/>
            </w:pPr>
            <w:r w:rsidRPr="004951A8">
              <w:t>Europaparlamentet</w:t>
            </w:r>
          </w:p>
          <w:p w:rsidR="00751A4A" w:rsidRPr="004951A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951A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951A8" w:rsidRDefault="00187494" w:rsidP="0010095E">
            <w:pPr>
              <w:pStyle w:val="EPLogo"/>
            </w:pPr>
            <w:r w:rsidRPr="004951A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951A8" w:rsidRDefault="00D058B8" w:rsidP="004C5D52">
      <w:pPr>
        <w:pStyle w:val="LineTop"/>
      </w:pPr>
    </w:p>
    <w:p w:rsidR="00680577" w:rsidRPr="004951A8" w:rsidRDefault="00AF31E7" w:rsidP="00680577">
      <w:pPr>
        <w:pStyle w:val="EPBodyTA1"/>
      </w:pPr>
      <w:r w:rsidRPr="004951A8">
        <w:t>ANTAGNA TEXTER</w:t>
      </w:r>
    </w:p>
    <w:p w:rsidR="00D058B8" w:rsidRPr="004951A8" w:rsidRDefault="00D058B8" w:rsidP="00D058B8">
      <w:pPr>
        <w:pStyle w:val="LineBottom"/>
      </w:pPr>
    </w:p>
    <w:p w:rsidR="00AF31E7" w:rsidRPr="004951A8" w:rsidRDefault="00AF31E7" w:rsidP="00AF31E7">
      <w:pPr>
        <w:pStyle w:val="ATHeading1"/>
      </w:pPr>
      <w:bookmarkStart w:id="0" w:name="TANumber"/>
      <w:r w:rsidRPr="004951A8">
        <w:t>P9_TA(</w:t>
      </w:r>
      <w:r w:rsidR="00405782" w:rsidRPr="004951A8">
        <w:t>2024</w:t>
      </w:r>
      <w:r w:rsidRPr="004951A8">
        <w:t>)00</w:t>
      </w:r>
      <w:bookmarkEnd w:id="0"/>
      <w:r w:rsidR="006E247B">
        <w:t>18</w:t>
      </w:r>
    </w:p>
    <w:p w:rsidR="00AF31E7" w:rsidRPr="004951A8" w:rsidRDefault="008A2879" w:rsidP="00AF31E7">
      <w:pPr>
        <w:pStyle w:val="ATHeading2"/>
      </w:pPr>
      <w:bookmarkStart w:id="1" w:name="title"/>
      <w:r w:rsidRPr="004951A8">
        <w:t>Mer konsumentmakt i den gröna omställningen</w:t>
      </w:r>
      <w:bookmarkEnd w:id="1"/>
    </w:p>
    <w:p w:rsidR="00AF31E7" w:rsidRPr="004951A8" w:rsidRDefault="00AF31E7" w:rsidP="00AF31E7">
      <w:pPr>
        <w:rPr>
          <w:i/>
          <w:vanish/>
        </w:rPr>
      </w:pPr>
      <w:r w:rsidRPr="004951A8">
        <w:rPr>
          <w:i/>
        </w:rPr>
        <w:fldChar w:fldCharType="begin"/>
      </w:r>
      <w:r w:rsidRPr="004951A8">
        <w:rPr>
          <w:i/>
        </w:rPr>
        <w:instrText xml:space="preserve"> TC"(</w:instrText>
      </w:r>
      <w:bookmarkStart w:id="2" w:name="DocNumber"/>
      <w:r w:rsidRPr="004951A8">
        <w:rPr>
          <w:i/>
        </w:rPr>
        <w:instrText>A9-0099/2023</w:instrText>
      </w:r>
      <w:bookmarkEnd w:id="2"/>
      <w:r w:rsidRPr="004951A8">
        <w:rPr>
          <w:i/>
        </w:rPr>
        <w:instrText xml:space="preserve"> - Föredragande: Biljana Borzan)"\l3 \n&gt; \* MERGEFORMAT </w:instrText>
      </w:r>
      <w:r w:rsidRPr="004951A8">
        <w:rPr>
          <w:i/>
        </w:rPr>
        <w:fldChar w:fldCharType="end"/>
      </w:r>
    </w:p>
    <w:p w:rsidR="00AF31E7" w:rsidRPr="004951A8" w:rsidRDefault="00AF31E7" w:rsidP="00AF31E7">
      <w:pPr>
        <w:rPr>
          <w:vanish/>
        </w:rPr>
      </w:pPr>
      <w:bookmarkStart w:id="3" w:name="Commission"/>
      <w:r w:rsidRPr="004951A8">
        <w:rPr>
          <w:vanish/>
        </w:rPr>
        <w:t>Utskottet för den inre marknaden och konsumentskydd</w:t>
      </w:r>
      <w:bookmarkEnd w:id="3"/>
    </w:p>
    <w:p w:rsidR="00AF31E7" w:rsidRPr="004951A8" w:rsidRDefault="00AF31E7" w:rsidP="00AF31E7">
      <w:pPr>
        <w:rPr>
          <w:vanish/>
        </w:rPr>
      </w:pPr>
      <w:bookmarkStart w:id="4" w:name="PE"/>
      <w:r w:rsidRPr="004951A8">
        <w:rPr>
          <w:vanish/>
        </w:rPr>
        <w:t>PE736.537</w:t>
      </w:r>
      <w:bookmarkEnd w:id="4"/>
    </w:p>
    <w:p w:rsidR="002B028A" w:rsidRPr="004951A8" w:rsidRDefault="00AF31E7" w:rsidP="001C0B36">
      <w:pPr>
        <w:pStyle w:val="ATHeading3"/>
      </w:pPr>
      <w:bookmarkStart w:id="5" w:name="Sujet"/>
      <w:r w:rsidRPr="004951A8">
        <w:t>Europaparlamentets lag</w:t>
      </w:r>
      <w:bookmarkStart w:id="6" w:name="_GoBack"/>
      <w:bookmarkEnd w:id="6"/>
      <w:r w:rsidRPr="004951A8">
        <w:t xml:space="preserve">stiftningsresolution av den </w:t>
      </w:r>
      <w:r w:rsidR="008A2879" w:rsidRPr="004951A8">
        <w:t>17</w:t>
      </w:r>
      <w:r w:rsidRPr="004951A8">
        <w:t xml:space="preserve"> </w:t>
      </w:r>
      <w:r w:rsidR="001C0B36" w:rsidRPr="004951A8">
        <w:t>januari</w:t>
      </w:r>
      <w:r w:rsidRPr="004951A8">
        <w:t xml:space="preserve"> 202</w:t>
      </w:r>
      <w:r w:rsidR="001C0B36" w:rsidRPr="004951A8">
        <w:t>4</w:t>
      </w:r>
      <w:r w:rsidRPr="004951A8">
        <w:t xml:space="preserve"> om förslaget till Europaparlamentets och rådets direktiv om ändring av direktiven 2005/29/EG och 2011/83/EU vad gäller mer konsumentmakt i den gröna omställningen genom bättre skydd mot otillbörliga affärsmetoder och bättre information</w:t>
      </w:r>
      <w:bookmarkEnd w:id="5"/>
      <w:r w:rsidRPr="004951A8">
        <w:t xml:space="preserve"> </w:t>
      </w:r>
      <w:bookmarkStart w:id="7" w:name="References"/>
      <w:r w:rsidRPr="004951A8">
        <w:t>(COM(2022)0143 – C9-0128/2022 – 2022/0092(COD))</w:t>
      </w:r>
      <w:bookmarkStart w:id="8" w:name="TextBodyBegin"/>
      <w:bookmarkEnd w:id="7"/>
      <w:bookmarkEnd w:id="8"/>
    </w:p>
    <w:p w:rsidR="001C0B36" w:rsidRPr="004951A8" w:rsidRDefault="001C0B36" w:rsidP="001C0B36">
      <w:pPr>
        <w:rPr>
          <w:lang w:eastAsia="fr-FR"/>
        </w:rPr>
      </w:pPr>
    </w:p>
    <w:p w:rsidR="002B028A" w:rsidRPr="004951A8" w:rsidRDefault="002B028A" w:rsidP="002B028A">
      <w:pPr>
        <w:pStyle w:val="NormalBold"/>
        <w:widowControl/>
      </w:pPr>
      <w:r w:rsidRPr="004951A8">
        <w:t>(Ordinarie lagstiftningsförfarande: första behandlingen)</w:t>
      </w:r>
    </w:p>
    <w:p w:rsidR="002B028A" w:rsidRPr="004951A8" w:rsidRDefault="002B028A" w:rsidP="002B028A">
      <w:pPr>
        <w:pStyle w:val="EPComma"/>
        <w:widowControl/>
      </w:pPr>
      <w:r w:rsidRPr="004951A8">
        <w:rPr>
          <w:i/>
        </w:rPr>
        <w:t>Europaparlamentet fattar detta beslut</w:t>
      </w:r>
    </w:p>
    <w:p w:rsidR="002B028A" w:rsidRPr="004951A8" w:rsidRDefault="002B028A" w:rsidP="002B028A">
      <w:pPr>
        <w:pStyle w:val="NormalHanging12a"/>
        <w:widowControl/>
      </w:pPr>
      <w:r w:rsidRPr="004951A8">
        <w:t>–</w:t>
      </w:r>
      <w:r w:rsidRPr="004951A8">
        <w:tab/>
        <w:t>med beaktande av kommissionens förslag till Europaparlamentet och rådet (COM(2022)0143),</w:t>
      </w:r>
    </w:p>
    <w:p w:rsidR="002B028A" w:rsidRPr="004951A8" w:rsidRDefault="002B028A" w:rsidP="002B028A">
      <w:pPr>
        <w:pStyle w:val="NormalHanging12a"/>
        <w:widowControl/>
      </w:pPr>
      <w:r w:rsidRPr="004951A8">
        <w:t>–</w:t>
      </w:r>
      <w:r w:rsidRPr="004951A8">
        <w:tab/>
        <w:t>med beaktande av artiklarna 294.2 och 114 i fördraget om Europeiska unionens funktionssätt, i enlighet med vilka kommissionen har lagt fram sitt förslag för parlamentet (C9</w:t>
      </w:r>
      <w:r w:rsidRPr="004951A8">
        <w:noBreakHyphen/>
        <w:t>0128/2022),</w:t>
      </w:r>
    </w:p>
    <w:p w:rsidR="002B028A" w:rsidRPr="004951A8" w:rsidRDefault="002B028A" w:rsidP="002B028A">
      <w:pPr>
        <w:pStyle w:val="NormalHanging12a"/>
        <w:widowControl/>
      </w:pPr>
      <w:r w:rsidRPr="004951A8">
        <w:t>–</w:t>
      </w:r>
      <w:r w:rsidRPr="004951A8">
        <w:tab/>
        <w:t>med beaktande av artikel 294.3 i fördraget om Europeiska unionens funktionssätt,</w:t>
      </w:r>
    </w:p>
    <w:p w:rsidR="002B028A" w:rsidRPr="004951A8" w:rsidRDefault="002B028A" w:rsidP="002B028A">
      <w:pPr>
        <w:pStyle w:val="NormalHanging12a"/>
        <w:widowControl/>
      </w:pPr>
      <w:r w:rsidRPr="004951A8">
        <w:t>–</w:t>
      </w:r>
      <w:r w:rsidRPr="004951A8">
        <w:tab/>
        <w:t>med beaktande av Europeiska ekonomiska och sociala kommitténs yttrande av den 13 juli 2022</w:t>
      </w:r>
      <w:r w:rsidRPr="004951A8">
        <w:rPr>
          <w:rStyle w:val="FootnoteReference"/>
          <w:szCs w:val="24"/>
        </w:rPr>
        <w:footnoteReference w:id="1"/>
      </w:r>
      <w:r w:rsidRPr="004951A8">
        <w:t>,</w:t>
      </w:r>
    </w:p>
    <w:p w:rsidR="008A2879" w:rsidRPr="004951A8" w:rsidRDefault="008A2879" w:rsidP="002B028A">
      <w:pPr>
        <w:pStyle w:val="NormalHanging12a"/>
        <w:widowControl/>
      </w:pPr>
      <w:r w:rsidRPr="004951A8">
        <w:t>–</w:t>
      </w:r>
      <w:r w:rsidRPr="004951A8">
        <w:tab/>
        <w:t>med beaktande av den preliminära överenskommelse som godkänts av det ansvariga utskottet enligt artikel 74.4 i arbetsordningen och med beaktande av det skriftliga åtagandet från rådets företrädare av den 25 oktober 2023 att godkänna Europaparlamentets ståndpunkt i enlighet med artikel 294.4 i fördraget om Europeiska unionens funktionssätt,</w:t>
      </w:r>
    </w:p>
    <w:p w:rsidR="002B028A" w:rsidRPr="004951A8" w:rsidRDefault="002B028A" w:rsidP="002B028A">
      <w:pPr>
        <w:pStyle w:val="NormalHanging12a"/>
        <w:widowControl/>
      </w:pPr>
      <w:r w:rsidRPr="004951A8">
        <w:t>–</w:t>
      </w:r>
      <w:r w:rsidRPr="004951A8">
        <w:tab/>
        <w:t>med beaktande av artikel 59 i arbetsordningen,</w:t>
      </w:r>
    </w:p>
    <w:p w:rsidR="002B028A" w:rsidRPr="004951A8" w:rsidRDefault="002B028A" w:rsidP="002B028A">
      <w:pPr>
        <w:pStyle w:val="NormalHanging12a"/>
        <w:widowControl/>
      </w:pPr>
      <w:r w:rsidRPr="004951A8">
        <w:t>–</w:t>
      </w:r>
      <w:r w:rsidRPr="004951A8">
        <w:tab/>
        <w:t>med beaktande av yttrandet från utskottet för miljö, folkhälsa och livsmedelssäkerhet,</w:t>
      </w:r>
    </w:p>
    <w:p w:rsidR="002B028A" w:rsidRPr="004951A8" w:rsidRDefault="002B028A" w:rsidP="002B028A">
      <w:pPr>
        <w:pStyle w:val="NormalHanging12a"/>
        <w:widowControl/>
      </w:pPr>
      <w:r w:rsidRPr="004951A8">
        <w:t>–</w:t>
      </w:r>
      <w:r w:rsidRPr="004951A8">
        <w:tab/>
        <w:t>med beaktande av betänkandet från utskottet för den inre marknaden och konsumentskydd (A9-0099/2023).</w:t>
      </w:r>
    </w:p>
    <w:p w:rsidR="002B028A" w:rsidRPr="004951A8" w:rsidRDefault="002B028A" w:rsidP="002B028A">
      <w:pPr>
        <w:pStyle w:val="NormalHanging12a"/>
        <w:widowControl/>
      </w:pPr>
      <w:r w:rsidRPr="004951A8">
        <w:lastRenderedPageBreak/>
        <w:t>1.</w:t>
      </w:r>
      <w:r w:rsidRPr="004951A8">
        <w:tab/>
        <w:t>Europaparlamentet antar nedanstående ståndpunkt vid första behandlingen</w:t>
      </w:r>
      <w:r w:rsidR="008A2879" w:rsidRPr="004951A8">
        <w:rPr>
          <w:rStyle w:val="FootnoteReference"/>
        </w:rPr>
        <w:footnoteReference w:id="2"/>
      </w:r>
      <w:r w:rsidRPr="004951A8">
        <w:t>.</w:t>
      </w:r>
    </w:p>
    <w:p w:rsidR="002B028A" w:rsidRPr="004951A8" w:rsidRDefault="002B028A" w:rsidP="002B028A">
      <w:pPr>
        <w:pStyle w:val="NormalHanging12a"/>
        <w:widowControl/>
      </w:pPr>
      <w:r w:rsidRPr="004951A8">
        <w:t>2.</w:t>
      </w:r>
      <w:r w:rsidRPr="004951A8">
        <w:tab/>
        <w:t>Europaparlamentet uppmanar kommissionen att på nytt lägga fram ärendet för parlamentet om den ersätter, väsentligt ändrar eller har för avsikt att väsentligt ändra sitt förslag.</w:t>
      </w:r>
    </w:p>
    <w:p w:rsidR="008A2879" w:rsidRPr="004951A8" w:rsidRDefault="002B028A" w:rsidP="002B028A">
      <w:pPr>
        <w:pStyle w:val="NormalHanging12a"/>
        <w:widowControl/>
        <w:sectPr w:rsidR="008A2879" w:rsidRPr="004951A8" w:rsidSect="00B73D52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951A8">
        <w:t>3.</w:t>
      </w:r>
      <w:r w:rsidRPr="004951A8">
        <w:tab/>
        <w:t>Europaparlamentet uppdrar åt talmannen att översända parlamentets ståndpunkt till rådet, kommissionen och de nationella parlamenten.</w:t>
      </w:r>
    </w:p>
    <w:p w:rsidR="008A2879" w:rsidRPr="00783A69" w:rsidRDefault="008A2879" w:rsidP="00EE29D5">
      <w:pPr>
        <w:widowControl/>
        <w:spacing w:after="240"/>
        <w:rPr>
          <w:b/>
          <w:snapToGrid w:val="0"/>
          <w:szCs w:val="24"/>
        </w:rPr>
      </w:pPr>
      <w:r w:rsidRPr="00783A69">
        <w:rPr>
          <w:b/>
          <w:snapToGrid w:val="0"/>
          <w:szCs w:val="24"/>
        </w:rPr>
        <w:lastRenderedPageBreak/>
        <w:t>P9_TC1-COD(2022)0092</w:t>
      </w:r>
    </w:p>
    <w:p w:rsidR="008A2879" w:rsidRDefault="008A2879" w:rsidP="00EE29D5">
      <w:pPr>
        <w:widowControl/>
        <w:spacing w:before="120" w:after="120"/>
        <w:rPr>
          <w:rFonts w:eastAsia="Calibri"/>
          <w:b/>
          <w:szCs w:val="24"/>
          <w:lang w:eastAsia="en-US"/>
        </w:rPr>
      </w:pPr>
      <w:r w:rsidRPr="00783A69">
        <w:rPr>
          <w:b/>
          <w:szCs w:val="24"/>
        </w:rPr>
        <w:t xml:space="preserve">Europaparlamentets ståndpunkt fastställd vid första behandlingen den 17 januari 2024 inför antagandet av Europaparlamentets och rådets direktiv (EU) 2024/… </w:t>
      </w:r>
      <w:r w:rsidRPr="00783A69">
        <w:rPr>
          <w:rFonts w:eastAsia="Calibri"/>
          <w:b/>
          <w:szCs w:val="24"/>
          <w:lang w:eastAsia="en-US"/>
        </w:rPr>
        <w:t>om ändring av direktiven 2005/29/EG och 2011/83/EU vad gäller mer konsumentmakt i den gröna omställningen genom bättre skydd mot otillbörliga affärsmetoder och bättre information</w:t>
      </w:r>
    </w:p>
    <w:p w:rsidR="00EE29D5" w:rsidRPr="00EE29D5" w:rsidRDefault="00EE29D5" w:rsidP="00EE29D5">
      <w:pPr>
        <w:widowControl/>
        <w:spacing w:before="360" w:after="120"/>
        <w:rPr>
          <w:szCs w:val="24"/>
        </w:rPr>
      </w:pPr>
      <w:r w:rsidRPr="00EE29D5">
        <w:rPr>
          <w:i/>
          <w:szCs w:val="24"/>
          <w:lang w:eastAsia="en-US"/>
        </w:rPr>
        <w:t>(Eftersom det nåddes en överenskommelse mellan parlamentet och rådet, motsvarar parlamentets ståndpunkt den slutliga rättsakten, direktiv (EU) 2024/</w:t>
      </w:r>
      <w:r w:rsidRPr="00EE29D5">
        <w:rPr>
          <w:i/>
          <w:szCs w:val="24"/>
          <w:lang w:eastAsia="en-US"/>
        </w:rPr>
        <w:t>825</w:t>
      </w:r>
      <w:r w:rsidRPr="00EE29D5">
        <w:rPr>
          <w:i/>
          <w:szCs w:val="24"/>
          <w:lang w:eastAsia="en-US"/>
        </w:rPr>
        <w:t>.)</w:t>
      </w:r>
    </w:p>
    <w:p w:rsidR="00EE29D5" w:rsidRPr="00EE29D5" w:rsidRDefault="00EE29D5" w:rsidP="00EE29D5">
      <w:pPr>
        <w:widowControl/>
        <w:jc w:val="both"/>
        <w:rPr>
          <w:szCs w:val="24"/>
        </w:rPr>
      </w:pPr>
    </w:p>
    <w:p w:rsidR="00EE29D5" w:rsidRPr="00783A69" w:rsidRDefault="00EE29D5" w:rsidP="004951A8">
      <w:pPr>
        <w:widowControl/>
        <w:spacing w:before="360" w:after="360"/>
        <w:rPr>
          <w:rFonts w:eastAsia="Calibri"/>
          <w:b/>
          <w:szCs w:val="24"/>
          <w:lang w:eastAsia="en-US"/>
        </w:rPr>
      </w:pPr>
    </w:p>
    <w:sectPr w:rsidR="00EE29D5" w:rsidRPr="00783A69" w:rsidSect="00D149F4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879" w:rsidRPr="00B73D52" w:rsidRDefault="008A2879">
      <w:r w:rsidRPr="00B73D52">
        <w:separator/>
      </w:r>
    </w:p>
  </w:endnote>
  <w:endnote w:type="continuationSeparator" w:id="0">
    <w:p w:rsidR="008A2879" w:rsidRPr="00B73D52" w:rsidRDefault="008A2879">
      <w:r w:rsidRPr="00B73D5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 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879" w:rsidRPr="00B73D52" w:rsidRDefault="008A2879">
      <w:r w:rsidRPr="00B73D52">
        <w:separator/>
      </w:r>
    </w:p>
  </w:footnote>
  <w:footnote w:type="continuationSeparator" w:id="0">
    <w:p w:rsidR="008A2879" w:rsidRPr="00B73D52" w:rsidRDefault="008A2879">
      <w:r w:rsidRPr="00B73D52">
        <w:continuationSeparator/>
      </w:r>
    </w:p>
  </w:footnote>
  <w:footnote w:id="1">
    <w:p w:rsidR="008A2879" w:rsidRPr="00783A69" w:rsidRDefault="008A2879" w:rsidP="00783A69">
      <w:pPr>
        <w:pStyle w:val="FootnoteText"/>
        <w:ind w:left="567" w:hanging="567"/>
        <w:rPr>
          <w:sz w:val="24"/>
          <w:szCs w:val="24"/>
          <w:lang w:val="sv-SE"/>
        </w:rPr>
      </w:pPr>
      <w:r w:rsidRPr="00783A69">
        <w:rPr>
          <w:rStyle w:val="FootnoteReference"/>
          <w:sz w:val="24"/>
          <w:szCs w:val="24"/>
          <w:lang w:val="sv-SE"/>
        </w:rPr>
        <w:footnoteRef/>
      </w:r>
      <w:r w:rsidRPr="00783A69">
        <w:rPr>
          <w:sz w:val="24"/>
          <w:szCs w:val="24"/>
          <w:lang w:val="sv-SE"/>
        </w:rPr>
        <w:t xml:space="preserve"> </w:t>
      </w:r>
      <w:r w:rsidRPr="00783A69">
        <w:rPr>
          <w:sz w:val="24"/>
          <w:szCs w:val="24"/>
          <w:lang w:val="sv-SE"/>
        </w:rPr>
        <w:tab/>
        <w:t>EUT C 443, 22.11.2022, s. 75.</w:t>
      </w:r>
    </w:p>
  </w:footnote>
  <w:footnote w:id="2">
    <w:p w:rsidR="008A2879" w:rsidRPr="00783A69" w:rsidRDefault="008A2879" w:rsidP="00783A69">
      <w:pPr>
        <w:pStyle w:val="FootnoteText"/>
        <w:ind w:left="567" w:hanging="567"/>
        <w:rPr>
          <w:sz w:val="24"/>
          <w:szCs w:val="24"/>
          <w:lang w:val="sv-SE"/>
        </w:rPr>
      </w:pPr>
      <w:r w:rsidRPr="00783A69">
        <w:rPr>
          <w:rStyle w:val="FootnoteReference"/>
          <w:sz w:val="24"/>
          <w:szCs w:val="24"/>
        </w:rPr>
        <w:footnoteRef/>
      </w:r>
      <w:r w:rsidRPr="00783A69">
        <w:rPr>
          <w:sz w:val="24"/>
          <w:szCs w:val="24"/>
          <w:lang w:val="sv-SE"/>
        </w:rPr>
        <w:t xml:space="preserve"> </w:t>
      </w:r>
      <w:r w:rsidRPr="00783A69">
        <w:rPr>
          <w:sz w:val="24"/>
          <w:szCs w:val="24"/>
          <w:lang w:val="sv-SE"/>
        </w:rPr>
        <w:tab/>
        <w:t xml:space="preserve">Denna ståndpunkt ersätter ändringarna antagna den </w:t>
      </w:r>
      <w:r w:rsidR="00D149F4">
        <w:rPr>
          <w:sz w:val="24"/>
          <w:szCs w:val="24"/>
          <w:lang w:val="sv-SE"/>
        </w:rPr>
        <w:t>11</w:t>
      </w:r>
      <w:r w:rsidRPr="00783A69">
        <w:rPr>
          <w:sz w:val="24"/>
          <w:szCs w:val="24"/>
          <w:lang w:val="sv-SE"/>
        </w:rPr>
        <w:t xml:space="preserve"> ma</w:t>
      </w:r>
      <w:r w:rsidR="00D149F4">
        <w:rPr>
          <w:sz w:val="24"/>
          <w:szCs w:val="24"/>
          <w:lang w:val="sv-SE"/>
        </w:rPr>
        <w:t>j</w:t>
      </w:r>
      <w:r w:rsidRPr="00783A69">
        <w:rPr>
          <w:sz w:val="24"/>
          <w:szCs w:val="24"/>
          <w:lang w:val="sv-SE"/>
        </w:rPr>
        <w:t xml:space="preserve"> 2023 (Antagna texter, P9_TA(2023)0</w:t>
      </w:r>
      <w:r w:rsidR="00D149F4">
        <w:rPr>
          <w:sz w:val="24"/>
          <w:szCs w:val="24"/>
          <w:lang w:val="sv-SE"/>
        </w:rPr>
        <w:t>201</w:t>
      </w:r>
      <w:r w:rsidRPr="00783A69">
        <w:rPr>
          <w:sz w:val="24"/>
          <w:szCs w:val="24"/>
          <w:lang w:val="sv-SE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9/2023"/>
    <w:docVar w:name="dvlangue" w:val="SV"/>
    <w:docVar w:name="dvnumam" w:val="180"/>
    <w:docVar w:name="dvpe" w:val="736.537"/>
    <w:docVar w:name="dvrapporteur" w:val="Föredragande: "/>
    <w:docVar w:name="dvstar" w:val="***I"/>
    <w:docVar w:name="dvtitre" w:val="Europaparlamentets lagstiftningsresolution av den xx xx 2023 om förslaget till Europaparlamentets och rådets direktiv om ändring av direktiven 2005/29/EG och 2011/83/EU vad gäller mer konsumentmakt i den gröna omställningen genom bättre skydd mot otillbörliga affärsmetoder och bättre information(COM(2022)0143 – C9-0128/2022 – 2022/0092(COD))"/>
  </w:docVars>
  <w:rsids>
    <w:rsidRoot w:val="00AF31E7"/>
    <w:rsid w:val="00002272"/>
    <w:rsid w:val="00064002"/>
    <w:rsid w:val="000677B9"/>
    <w:rsid w:val="000831BA"/>
    <w:rsid w:val="000A42CC"/>
    <w:rsid w:val="000E7DD9"/>
    <w:rsid w:val="000F24E0"/>
    <w:rsid w:val="0010095E"/>
    <w:rsid w:val="00125B37"/>
    <w:rsid w:val="00187494"/>
    <w:rsid w:val="001C0B36"/>
    <w:rsid w:val="001F32AE"/>
    <w:rsid w:val="002767FF"/>
    <w:rsid w:val="002B028A"/>
    <w:rsid w:val="002B18FE"/>
    <w:rsid w:val="002B5493"/>
    <w:rsid w:val="00343214"/>
    <w:rsid w:val="00361C00"/>
    <w:rsid w:val="00395FA1"/>
    <w:rsid w:val="003E15D4"/>
    <w:rsid w:val="00405782"/>
    <w:rsid w:val="00411CCE"/>
    <w:rsid w:val="0041666E"/>
    <w:rsid w:val="00421060"/>
    <w:rsid w:val="00471C19"/>
    <w:rsid w:val="004867E3"/>
    <w:rsid w:val="00494A28"/>
    <w:rsid w:val="004951A8"/>
    <w:rsid w:val="004C0004"/>
    <w:rsid w:val="004C5D52"/>
    <w:rsid w:val="0050519A"/>
    <w:rsid w:val="005072A1"/>
    <w:rsid w:val="00514517"/>
    <w:rsid w:val="00545827"/>
    <w:rsid w:val="00553619"/>
    <w:rsid w:val="00560270"/>
    <w:rsid w:val="005C2568"/>
    <w:rsid w:val="006037C0"/>
    <w:rsid w:val="006631B6"/>
    <w:rsid w:val="00680577"/>
    <w:rsid w:val="006E247B"/>
    <w:rsid w:val="006F74FA"/>
    <w:rsid w:val="00731ADD"/>
    <w:rsid w:val="00734777"/>
    <w:rsid w:val="00747932"/>
    <w:rsid w:val="00751A4A"/>
    <w:rsid w:val="00756632"/>
    <w:rsid w:val="00762C74"/>
    <w:rsid w:val="00783A6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2879"/>
    <w:rsid w:val="008C2AC6"/>
    <w:rsid w:val="00903B1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3129"/>
    <w:rsid w:val="00AB441E"/>
    <w:rsid w:val="00AB6293"/>
    <w:rsid w:val="00AE0928"/>
    <w:rsid w:val="00AF31E7"/>
    <w:rsid w:val="00AF3B82"/>
    <w:rsid w:val="00B12E95"/>
    <w:rsid w:val="00B22876"/>
    <w:rsid w:val="00B558F0"/>
    <w:rsid w:val="00B73D5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49F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29D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014B5F"/>
  <w15:chartTrackingRefBased/>
  <w15:docId w15:val="{AD154CB2-BC32-428E-901F-E88F4166B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B028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B028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B028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B028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B028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B028A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semiHidden/>
    <w:rsid w:val="002B028A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2B028A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2B028A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2B028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B028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B028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B028A"/>
    <w:pPr>
      <w:spacing w:after="120"/>
    </w:pPr>
  </w:style>
  <w:style w:type="paragraph" w:customStyle="1" w:styleId="PageHeading">
    <w:name w:val="PageHeading"/>
    <w:basedOn w:val="Normal"/>
    <w:rsid w:val="002B028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B028A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2B028A"/>
    <w:rPr>
      <w:b/>
      <w:sz w:val="24"/>
      <w:lang w:val="sv-SE"/>
    </w:rPr>
  </w:style>
  <w:style w:type="paragraph" w:customStyle="1" w:styleId="NormalBold12a">
    <w:name w:val="NormalBold12a"/>
    <w:basedOn w:val="Normal"/>
    <w:rsid w:val="002B028A"/>
    <w:pPr>
      <w:spacing w:after="240"/>
    </w:pPr>
    <w:rPr>
      <w:b/>
    </w:rPr>
  </w:style>
  <w:style w:type="paragraph" w:customStyle="1" w:styleId="AmJustText">
    <w:name w:val="AmJustText"/>
    <w:basedOn w:val="Normal"/>
    <w:rsid w:val="002B028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B028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B028A"/>
    <w:pPr>
      <w:spacing w:after="480"/>
      <w:ind w:left="1417"/>
    </w:pPr>
  </w:style>
  <w:style w:type="paragraph" w:customStyle="1" w:styleId="CoverNormal">
    <w:name w:val="CoverNormal"/>
    <w:basedOn w:val="Normal"/>
    <w:rsid w:val="002B028A"/>
    <w:pPr>
      <w:ind w:left="1418"/>
    </w:pPr>
  </w:style>
  <w:style w:type="paragraph" w:customStyle="1" w:styleId="AmCrossRef">
    <w:name w:val="AmCrossRef"/>
    <w:basedOn w:val="Normal"/>
    <w:rsid w:val="002B028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B028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B028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B028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B028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B028A"/>
    <w:pPr>
      <w:spacing w:before="240" w:after="1200"/>
    </w:pPr>
  </w:style>
  <w:style w:type="paragraph" w:styleId="Header">
    <w:name w:val="header"/>
    <w:basedOn w:val="Normal"/>
    <w:link w:val="HeaderChar"/>
    <w:rsid w:val="002B02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B028A"/>
    <w:rPr>
      <w:sz w:val="24"/>
      <w:lang w:val="sv-SE"/>
    </w:rPr>
  </w:style>
  <w:style w:type="paragraph" w:customStyle="1" w:styleId="AmOrLang">
    <w:name w:val="AmOrLang"/>
    <w:basedOn w:val="Normal"/>
    <w:rsid w:val="002B028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B028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B028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B028A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rsid w:val="002B028A"/>
    <w:rPr>
      <w:b/>
      <w:sz w:val="24"/>
      <w:lang w:val="sv-SE"/>
    </w:rPr>
  </w:style>
  <w:style w:type="paragraph" w:customStyle="1" w:styleId="EPBody">
    <w:name w:val="EPBody"/>
    <w:basedOn w:val="Normal"/>
    <w:rsid w:val="002B028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B028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B028A"/>
    <w:pPr>
      <w:spacing w:before="480" w:after="240"/>
    </w:pPr>
  </w:style>
  <w:style w:type="paragraph" w:customStyle="1" w:styleId="Lgendesigne">
    <w:name w:val="Légende signe"/>
    <w:basedOn w:val="Normal"/>
    <w:rsid w:val="002B028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B028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B028A"/>
    <w:rPr>
      <w:sz w:val="18"/>
    </w:rPr>
  </w:style>
  <w:style w:type="character" w:styleId="Hyperlink">
    <w:name w:val="Hyperlink"/>
    <w:basedOn w:val="DefaultParagraphFont"/>
    <w:uiPriority w:val="99"/>
    <w:unhideWhenUsed/>
    <w:rsid w:val="002B028A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2B028A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2B028A"/>
    <w:rPr>
      <w:noProof/>
      <w:sz w:val="24"/>
    </w:rPr>
  </w:style>
  <w:style w:type="paragraph" w:customStyle="1" w:styleId="Normal12">
    <w:name w:val="Normal12"/>
    <w:basedOn w:val="Normal"/>
    <w:link w:val="Normal12Char"/>
    <w:rsid w:val="002B028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2B028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B028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B028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2B028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B028A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2B028A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2B028A"/>
    <w:pPr>
      <w:spacing w:after="120"/>
    </w:pPr>
  </w:style>
  <w:style w:type="paragraph" w:customStyle="1" w:styleId="Normal12Italic">
    <w:name w:val="Normal12Italic"/>
    <w:basedOn w:val="Normal12"/>
    <w:rsid w:val="002B028A"/>
    <w:rPr>
      <w:i/>
    </w:rPr>
  </w:style>
  <w:style w:type="paragraph" w:customStyle="1" w:styleId="JustificationTitle">
    <w:name w:val="JustificationTitle"/>
    <w:basedOn w:val="Normal"/>
    <w:next w:val="Normal12"/>
    <w:rsid w:val="002B028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2B028A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2B028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link w:val="AMNumberTabsChar"/>
    <w:rsid w:val="002B028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0"/>
    <w:rsid w:val="002B028A"/>
    <w:rPr>
      <w:b/>
      <w:sz w:val="24"/>
      <w:lang w:val="sv-SE"/>
    </w:rPr>
  </w:style>
  <w:style w:type="paragraph" w:customStyle="1" w:styleId="CrossRef">
    <w:name w:val="CrossRef"/>
    <w:basedOn w:val="Normal"/>
    <w:rsid w:val="002B028A"/>
    <w:pPr>
      <w:spacing w:before="240"/>
      <w:jc w:val="center"/>
    </w:pPr>
    <w:rPr>
      <w:i/>
    </w:rPr>
  </w:style>
  <w:style w:type="character" w:customStyle="1" w:styleId="Footer2Middle">
    <w:name w:val="Footer2Middle"/>
    <w:rsid w:val="002B028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2B028A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2B02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B028A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2B028A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028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B028A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B02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B028A"/>
    <w:rPr>
      <w:b/>
      <w:bCs/>
      <w:lang w:val="sv-SE"/>
    </w:rPr>
  </w:style>
  <w:style w:type="paragraph" w:customStyle="1" w:styleId="Normal12a">
    <w:name w:val="Normal12a"/>
    <w:basedOn w:val="Normal"/>
    <w:rsid w:val="002B028A"/>
    <w:pPr>
      <w:spacing w:after="240"/>
    </w:pPr>
  </w:style>
  <w:style w:type="paragraph" w:customStyle="1" w:styleId="PageHeadingNotTOC">
    <w:name w:val="PageHeadingNotTOC"/>
    <w:basedOn w:val="Normal"/>
    <w:rsid w:val="002B028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B028A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2B028A"/>
    <w:pPr>
      <w:spacing w:after="480"/>
    </w:pPr>
  </w:style>
  <w:style w:type="paragraph" w:customStyle="1" w:styleId="NormalBoldCenter">
    <w:name w:val="NormalBoldCenter"/>
    <w:basedOn w:val="Normal"/>
    <w:rsid w:val="002B028A"/>
    <w:pPr>
      <w:jc w:val="center"/>
    </w:pPr>
    <w:rPr>
      <w:b/>
    </w:rPr>
  </w:style>
  <w:style w:type="paragraph" w:customStyle="1" w:styleId="title-bold">
    <w:name w:val="title-bold"/>
    <w:basedOn w:val="Normal"/>
    <w:rsid w:val="002B028A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2B028A"/>
    <w:pPr>
      <w:widowControl/>
      <w:spacing w:before="100" w:beforeAutospacing="1" w:after="100" w:afterAutospacing="1"/>
    </w:pPr>
    <w:rPr>
      <w:szCs w:val="24"/>
    </w:rPr>
  </w:style>
  <w:style w:type="paragraph" w:customStyle="1" w:styleId="RollCallSymbols14pt">
    <w:name w:val="RollCallSymbols14pt"/>
    <w:basedOn w:val="Normal"/>
    <w:rsid w:val="002B028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B028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B028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B028A"/>
    <w:pPr>
      <w:spacing w:before="120" w:after="120"/>
    </w:pPr>
    <w:rPr>
      <w:snapToGrid w:val="0"/>
      <w:sz w:val="16"/>
      <w:lang w:eastAsia="en-US"/>
    </w:rPr>
  </w:style>
  <w:style w:type="paragraph" w:customStyle="1" w:styleId="Default">
    <w:name w:val="Default"/>
    <w:rsid w:val="002B028A"/>
    <w:pPr>
      <w:autoSpaceDE w:val="0"/>
      <w:autoSpaceDN w:val="0"/>
      <w:adjustRightInd w:val="0"/>
    </w:pPr>
    <w:rPr>
      <w:rFonts w:ascii="Nunito Sans" w:eastAsiaTheme="minorHAnsi" w:hAnsi="Nunito Sans" w:cs="Nunito Sans"/>
      <w:color w:val="000000"/>
      <w:sz w:val="24"/>
      <w:szCs w:val="24"/>
      <w:lang w:val="sv-SE" w:eastAsia="en-US"/>
    </w:rPr>
  </w:style>
  <w:style w:type="character" w:styleId="Emphasis">
    <w:name w:val="Emphasis"/>
    <w:basedOn w:val="DefaultParagraphFont"/>
    <w:uiPriority w:val="20"/>
    <w:qFormat/>
    <w:rsid w:val="002B028A"/>
    <w:rPr>
      <w:i/>
      <w:iCs/>
    </w:rPr>
  </w:style>
  <w:style w:type="paragraph" w:styleId="Footer">
    <w:name w:val="footer"/>
    <w:basedOn w:val="Normal"/>
    <w:link w:val="FooterChar"/>
    <w:uiPriority w:val="99"/>
    <w:rsid w:val="002B02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028A"/>
    <w:rPr>
      <w:sz w:val="24"/>
      <w:lang w:val="sv-SE"/>
    </w:rPr>
  </w:style>
  <w:style w:type="paragraph" w:customStyle="1" w:styleId="Point3">
    <w:name w:val="Point 3"/>
    <w:basedOn w:val="Normal"/>
    <w:rsid w:val="002B028A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2B028A"/>
    <w:rPr>
      <w:sz w:val="24"/>
      <w:lang w:val="sv-SE"/>
    </w:rPr>
  </w:style>
  <w:style w:type="character" w:customStyle="1" w:styleId="diff-tte-added">
    <w:name w:val="diff-tte-added"/>
    <w:basedOn w:val="DefaultParagraphFont"/>
    <w:rsid w:val="008A2879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4D6FA-8E5B-4EA9-B113-4258ED15D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313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2024-05-28T09:57:00Z</dcterms:created>
  <dcterms:modified xsi:type="dcterms:W3CDTF">2024-05-28T09:57:00Z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P9_TA(2024)0018_</vt:lpwstr>
  </property>
  <property fmtid="{D5CDD505-2E9C-101B-9397-08002B2CF9AE}" pid="4" name="&lt;Type&gt;">
    <vt:lpwstr>RR</vt:lpwstr>
  </property>
</Properties>
</file>