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BF9" w:rsidTr="0010095E">
        <w:trPr>
          <w:trHeight w:hRule="exact" w:val="1418"/>
        </w:trPr>
        <w:tc>
          <w:tcPr>
            <w:tcW w:w="6804" w:type="dxa"/>
            <w:shd w:val="clear" w:color="auto" w:fill="auto"/>
            <w:vAlign w:val="center"/>
          </w:tcPr>
          <w:p w:rsidR="00751A4A" w:rsidRPr="00607BF9" w:rsidRDefault="0027084C" w:rsidP="0010095E">
            <w:pPr>
              <w:pStyle w:val="EPName"/>
            </w:pPr>
            <w:r w:rsidRPr="00607BF9">
              <w:t>Evropský parlament</w:t>
            </w:r>
          </w:p>
          <w:p w:rsidR="00751A4A" w:rsidRPr="00607BF9" w:rsidRDefault="00817416" w:rsidP="00756632">
            <w:pPr>
              <w:pStyle w:val="EPTerm"/>
              <w:rPr>
                <w:rStyle w:val="HideTWBExt"/>
                <w:noProof w:val="0"/>
                <w:vanish w:val="0"/>
                <w:color w:val="auto"/>
              </w:rPr>
            </w:pPr>
            <w:r w:rsidRPr="00607BF9">
              <w:t>2019-2024</w:t>
            </w:r>
          </w:p>
        </w:tc>
        <w:tc>
          <w:tcPr>
            <w:tcW w:w="2268" w:type="dxa"/>
            <w:shd w:val="clear" w:color="auto" w:fill="auto"/>
          </w:tcPr>
          <w:p w:rsidR="00751A4A" w:rsidRPr="00607BF9" w:rsidRDefault="00187494" w:rsidP="0010095E">
            <w:pPr>
              <w:pStyle w:val="EPLogo"/>
            </w:pPr>
            <w:r w:rsidRPr="00607B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7BF9" w:rsidRDefault="00D058B8" w:rsidP="004C5D52">
      <w:pPr>
        <w:pStyle w:val="LineTop"/>
      </w:pPr>
    </w:p>
    <w:p w:rsidR="00680577" w:rsidRPr="00607BF9" w:rsidRDefault="0027084C" w:rsidP="00680577">
      <w:pPr>
        <w:pStyle w:val="EPBodyTA1"/>
      </w:pPr>
      <w:r w:rsidRPr="00607BF9">
        <w:t>PŘIJATÉ TEXTY</w:t>
      </w:r>
    </w:p>
    <w:p w:rsidR="00D058B8" w:rsidRPr="00607BF9" w:rsidRDefault="00D058B8" w:rsidP="00D058B8">
      <w:pPr>
        <w:pStyle w:val="LineBottom"/>
      </w:pPr>
    </w:p>
    <w:p w:rsidR="0027084C" w:rsidRPr="00607BF9" w:rsidRDefault="0027084C" w:rsidP="0027084C">
      <w:pPr>
        <w:pStyle w:val="ATHeading1"/>
      </w:pPr>
      <w:bookmarkStart w:id="0" w:name="TANumber"/>
      <w:r w:rsidRPr="00607BF9">
        <w:t>P9_TA(2024)00</w:t>
      </w:r>
      <w:bookmarkEnd w:id="0"/>
      <w:r w:rsidR="005261EB">
        <w:t>19</w:t>
      </w:r>
    </w:p>
    <w:p w:rsidR="0027084C" w:rsidRPr="00607BF9" w:rsidRDefault="0027084C" w:rsidP="0027084C">
      <w:pPr>
        <w:pStyle w:val="ATHeading2"/>
      </w:pPr>
      <w:bookmarkStart w:id="1" w:name="title"/>
      <w:r w:rsidRPr="00607BF9">
        <w:t>Rtuť: zubní amalgám a další výrobky s přidanou rtutí, na které se vztahuje omezení výroby, dovozu a vývozu</w:t>
      </w:r>
      <w:bookmarkEnd w:id="1"/>
    </w:p>
    <w:p w:rsidR="0027084C" w:rsidRPr="00607BF9" w:rsidRDefault="0027084C" w:rsidP="0027084C">
      <w:pPr>
        <w:rPr>
          <w:i/>
          <w:vanish/>
        </w:rPr>
      </w:pPr>
      <w:r w:rsidRPr="00607BF9">
        <w:rPr>
          <w:i/>
        </w:rPr>
        <w:fldChar w:fldCharType="begin"/>
      </w:r>
      <w:r w:rsidRPr="00607BF9">
        <w:rPr>
          <w:i/>
        </w:rPr>
        <w:instrText xml:space="preserve"> TC"(</w:instrText>
      </w:r>
      <w:bookmarkStart w:id="2" w:name="DocNumber"/>
      <w:r w:rsidRPr="00607BF9">
        <w:rPr>
          <w:i/>
        </w:rPr>
        <w:instrText>A9-0002/2024</w:instrText>
      </w:r>
      <w:bookmarkEnd w:id="2"/>
      <w:r w:rsidRPr="00607BF9">
        <w:rPr>
          <w:i/>
        </w:rPr>
        <w:instrText xml:space="preserve"> - Zpravodajka: </w:instrText>
      </w:r>
      <w:proofErr w:type="spellStart"/>
      <w:r w:rsidRPr="00607BF9">
        <w:rPr>
          <w:i/>
        </w:rPr>
        <w:instrText>Marlene</w:instrText>
      </w:r>
      <w:proofErr w:type="spellEnd"/>
      <w:r w:rsidRPr="00607BF9">
        <w:rPr>
          <w:i/>
        </w:rPr>
        <w:instrText xml:space="preserve"> </w:instrText>
      </w:r>
      <w:proofErr w:type="spellStart"/>
      <w:r w:rsidRPr="00607BF9">
        <w:rPr>
          <w:i/>
        </w:rPr>
        <w:instrText>Mortler</w:instrText>
      </w:r>
      <w:proofErr w:type="spellEnd"/>
      <w:r w:rsidRPr="00607BF9">
        <w:rPr>
          <w:i/>
        </w:rPr>
        <w:instrText xml:space="preserve">)"\l3 \n&gt; \* MERGEFORMAT </w:instrText>
      </w:r>
      <w:r w:rsidRPr="00607BF9">
        <w:rPr>
          <w:i/>
        </w:rPr>
        <w:fldChar w:fldCharType="end"/>
      </w:r>
    </w:p>
    <w:p w:rsidR="0027084C" w:rsidRPr="00607BF9" w:rsidRDefault="0027084C" w:rsidP="0027084C">
      <w:pPr>
        <w:rPr>
          <w:vanish/>
        </w:rPr>
      </w:pPr>
      <w:bookmarkStart w:id="3" w:name="Commission"/>
      <w:r w:rsidRPr="00607BF9">
        <w:rPr>
          <w:vanish/>
        </w:rPr>
        <w:t>Výbor pro životní prostředí, veřejné zdraví a bezpečnost potravin</w:t>
      </w:r>
      <w:bookmarkEnd w:id="3"/>
    </w:p>
    <w:p w:rsidR="0027084C" w:rsidRPr="00607BF9" w:rsidRDefault="0027084C" w:rsidP="0027084C">
      <w:pPr>
        <w:rPr>
          <w:vanish/>
        </w:rPr>
      </w:pPr>
      <w:bookmarkStart w:id="4" w:name="PE"/>
      <w:r w:rsidRPr="00607BF9">
        <w:rPr>
          <w:vanish/>
        </w:rPr>
        <w:t>PE753.554</w:t>
      </w:r>
      <w:bookmarkEnd w:id="4"/>
    </w:p>
    <w:p w:rsidR="0027084C" w:rsidRPr="00607BF9" w:rsidRDefault="005261EB" w:rsidP="0027084C">
      <w:pPr>
        <w:pStyle w:val="ATHeading3"/>
      </w:pPr>
      <w:bookmarkStart w:id="5" w:name="Sujet"/>
      <w:r w:rsidRPr="005261EB">
        <w:t>Pozměňovací návrhy přijaté Evropským parlamentem</w:t>
      </w:r>
      <w:r w:rsidR="008D1507">
        <w:t xml:space="preserve"> dne </w:t>
      </w:r>
      <w:r w:rsidR="00C004C1">
        <w:t>17</w:t>
      </w:r>
      <w:r w:rsidR="008D1507">
        <w:t>. ledna</w:t>
      </w:r>
      <w:r w:rsidR="0027084C" w:rsidRPr="00607BF9">
        <w:t xml:space="preserve"> 2024 </w:t>
      </w:r>
      <w:r>
        <w:t>k</w:t>
      </w:r>
      <w:r w:rsidRPr="00607BF9">
        <w:t xml:space="preserve"> </w:t>
      </w:r>
      <w:r w:rsidR="0027084C" w:rsidRPr="00607BF9">
        <w:t>návrhu nařízení Evropského parlamentu a Rady, kterým se mění nařízení Evropského parlamentu a Rady (EU) 2017/852 ze dne 17. května 2017 o rtuti, pokud jde o zubní amalgám a další výrobky s přidanou rtutí, na které se vztahuje omezení výroby, dovozu a vývozu</w:t>
      </w:r>
      <w:bookmarkEnd w:id="5"/>
      <w:r w:rsidR="0027084C" w:rsidRPr="00607BF9">
        <w:t xml:space="preserve"> </w:t>
      </w:r>
      <w:bookmarkStart w:id="6" w:name="References"/>
      <w:r w:rsidR="0027084C" w:rsidRPr="00607BF9">
        <w:t>(</w:t>
      </w:r>
      <w:proofErr w:type="gramStart"/>
      <w:r w:rsidR="0027084C" w:rsidRPr="00607BF9">
        <w:t>COM(2023</w:t>
      </w:r>
      <w:proofErr w:type="gramEnd"/>
      <w:r w:rsidR="0027084C" w:rsidRPr="00607BF9">
        <w:t>)0395 – C9-0309/2023 – 2023/0272(COD))</w:t>
      </w:r>
      <w:bookmarkEnd w:id="6"/>
      <w:r>
        <w:rPr>
          <w:rStyle w:val="FootnoteReference"/>
        </w:rPr>
        <w:footnoteReference w:id="1"/>
      </w:r>
    </w:p>
    <w:p w:rsidR="0027084C" w:rsidRPr="00607BF9" w:rsidRDefault="0027084C" w:rsidP="0027084C"/>
    <w:p w:rsidR="007459E2" w:rsidRPr="00607BF9" w:rsidRDefault="007459E2" w:rsidP="007459E2">
      <w:pPr>
        <w:pStyle w:val="NormalBold"/>
      </w:pPr>
      <w:bookmarkStart w:id="7" w:name="TextBodyBegin"/>
      <w:bookmarkEnd w:id="7"/>
      <w:r w:rsidRPr="00607BF9">
        <w:t>(Řádný legislativní postup: první čtení)</w:t>
      </w:r>
    </w:p>
    <w:p w:rsidR="006A3EBE" w:rsidRDefault="006A3EBE">
      <w:pPr>
        <w:widowControl/>
      </w:pPr>
      <w:r>
        <w:br w:type="page"/>
      </w:r>
    </w:p>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1</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Bod odůvodnění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(1a)</w:t>
            </w:r>
            <w:r w:rsidRPr="00607BF9">
              <w:rPr>
                <w:b/>
                <w:i/>
              </w:rPr>
              <w:tab/>
              <w:t xml:space="preserve">Rtuť je chemickou látkou vzbuzující celosvětové obavy o životní prostředí, a to z důvodu jejího atmosférického přenosu na velké vzdálenosti, jejího přetrvávání po člověkem způsobeném vstupu do životního prostředí a její schopnosti </w:t>
            </w:r>
            <w:proofErr w:type="spellStart"/>
            <w:r w:rsidRPr="00607BF9">
              <w:rPr>
                <w:b/>
                <w:i/>
              </w:rPr>
              <w:t>bioakumulace</w:t>
            </w:r>
            <w:proofErr w:type="spellEnd"/>
            <w:r w:rsidRPr="00607BF9">
              <w:rPr>
                <w:b/>
                <w:i/>
              </w:rPr>
              <w:t xml:space="preserve"> v ekosystémech. Rtuť má rovněž významné negativní účinky na lidské zdraví a dochází k jejímu přenosu z matek na děti prostřednictvím placenty nebo kojením. Znečištění životního prostředí rtutí může být důsledkem antropogenních činností, včetně nezpůsobilého </w:t>
            </w:r>
            <w:proofErr w:type="gramStart"/>
            <w:r w:rsidRPr="00607BF9">
              <w:rPr>
                <w:b/>
                <w:i/>
              </w:rPr>
              <w:t>nakládání s rtuťovým</w:t>
            </w:r>
            <w:proofErr w:type="gramEnd"/>
            <w:r w:rsidRPr="00607BF9">
              <w:rPr>
                <w:b/>
                <w:i/>
              </w:rPr>
              <w:t xml:space="preserve"> odpadem, kremace nebo nesprávného používání povinných separátorů amalgámu v zubních ordinacích.</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2</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Bod odůvodnění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r w:rsidRPr="00607BF9">
              <w:t>(4)</w:t>
            </w:r>
            <w:r w:rsidRPr="00607BF9">
              <w:tab/>
              <w:t xml:space="preserve">Vzhledem k dostupnosti </w:t>
            </w:r>
            <w:proofErr w:type="spellStart"/>
            <w:r w:rsidRPr="00607BF9">
              <w:t>bezrtuťových</w:t>
            </w:r>
            <w:proofErr w:type="spellEnd"/>
            <w:r w:rsidRPr="00607BF9">
              <w:t xml:space="preserve"> alternativ je vhodné zakázat používání zubního amalgámu ke stomatologickému ošetření všech skupin obyvatelstva a zároveň zachovat možnost používání zubního amalgámu u pacientů se specifickými zdravotními potřebami. Aby se zabránilo výrobě zubního amalgámu, který je na trhu Unie zakázán, za účelem vývozu z Unie, je nezbytné zakázat jeho výrobu a vývoz. Článek 10 nařízení (EU) 2017/852 by proto měl být odpovídajícím způsobem změněn.</w:t>
            </w:r>
          </w:p>
        </w:tc>
        <w:tc>
          <w:tcPr>
            <w:tcW w:w="4876" w:type="dxa"/>
          </w:tcPr>
          <w:p w:rsidR="007459E2" w:rsidRPr="00607BF9" w:rsidRDefault="007459E2" w:rsidP="00647C27">
            <w:pPr>
              <w:pStyle w:val="Normal6"/>
              <w:rPr>
                <w:szCs w:val="24"/>
              </w:rPr>
            </w:pPr>
            <w:r w:rsidRPr="00607BF9">
              <w:t>(4)</w:t>
            </w:r>
            <w:r w:rsidRPr="00607BF9">
              <w:tab/>
              <w:t xml:space="preserve">Vzhledem k dostupnosti </w:t>
            </w:r>
            <w:proofErr w:type="spellStart"/>
            <w:r w:rsidRPr="00607BF9">
              <w:t>bezrtuťových</w:t>
            </w:r>
            <w:proofErr w:type="spellEnd"/>
            <w:r w:rsidRPr="00607BF9">
              <w:t xml:space="preserve"> alternativ</w:t>
            </w:r>
            <w:r w:rsidRPr="00607BF9">
              <w:rPr>
                <w:b/>
                <w:i/>
              </w:rPr>
              <w:t xml:space="preserve">, cenové dostupnosti alternativních materiálů a současnému přechodu na </w:t>
            </w:r>
            <w:proofErr w:type="spellStart"/>
            <w:r w:rsidRPr="00607BF9">
              <w:rPr>
                <w:b/>
                <w:i/>
              </w:rPr>
              <w:t>bezrtuťové</w:t>
            </w:r>
            <w:proofErr w:type="spellEnd"/>
            <w:r w:rsidRPr="00607BF9">
              <w:rPr>
                <w:b/>
                <w:i/>
              </w:rPr>
              <w:t xml:space="preserve"> zubní výplně v mnoha členských státech</w:t>
            </w:r>
            <w:r w:rsidRPr="00607BF9">
              <w:t xml:space="preserve"> je vhodné zakázat používání zubního amalgámu ke stomatologickému ošetření všech skupin obyvatelstva a zároveň zachovat možnost používání zubního amalgámu u pacientů se specifickými zdravotními potřebami</w:t>
            </w:r>
            <w:r w:rsidRPr="00607BF9">
              <w:rPr>
                <w:b/>
                <w:i/>
              </w:rPr>
              <w:t xml:space="preserve">. Přechod na </w:t>
            </w:r>
            <w:proofErr w:type="spellStart"/>
            <w:r w:rsidRPr="00607BF9">
              <w:rPr>
                <w:b/>
                <w:i/>
              </w:rPr>
              <w:t>bezrtuťové</w:t>
            </w:r>
            <w:proofErr w:type="spellEnd"/>
            <w:r w:rsidRPr="00607BF9">
              <w:rPr>
                <w:b/>
                <w:i/>
              </w:rPr>
              <w:t xml:space="preserve"> alternativy zubních výplní již v mnoha členských státech pokročil, což ukazuje, že tento zákaz je jakožto </w:t>
            </w:r>
            <w:r w:rsidRPr="00607BF9">
              <w:rPr>
                <w:b/>
                <w:i/>
              </w:rPr>
              <w:lastRenderedPageBreak/>
              <w:t>nákladově efektivní způsob předcházení dalšímu znečištění rtutí proveditelný a potřebný</w:t>
            </w:r>
            <w:r w:rsidRPr="00607BF9">
              <w:t>.</w:t>
            </w:r>
            <w:r w:rsidRPr="00607BF9">
              <w:rPr>
                <w:b/>
                <w:i/>
              </w:rPr>
              <w:t xml:space="preserve"> </w:t>
            </w:r>
            <w:r w:rsidRPr="00607BF9">
              <w:t>Aby se zabránilo výrobě zubního amalgámu, který je na trhu Unie zakázán, za účelem vývozu z Unie, je nezbytné zakázat jeho výrobu a vývoz. Článek 10 nařízení (EU) 2017/852 by proto měl být odpovídajícím způsobem změněn.</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3</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Bod odůvodnění 4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5261EB">
        <w:trPr>
          <w:jc w:val="center"/>
        </w:trPr>
        <w:tc>
          <w:tcPr>
            <w:tcW w:w="9752" w:type="dxa"/>
            <w:gridSpan w:val="2"/>
          </w:tcPr>
          <w:p w:rsidR="007459E2" w:rsidRPr="00607BF9" w:rsidRDefault="007459E2" w:rsidP="00647C27">
            <w:pPr>
              <w:keepNext/>
            </w:pPr>
          </w:p>
        </w:tc>
      </w:tr>
      <w:tr w:rsidR="007459E2" w:rsidRPr="00607BF9" w:rsidTr="005261EB">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5261EB">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(4a)</w:t>
            </w:r>
            <w:r w:rsidRPr="00607BF9">
              <w:rPr>
                <w:b/>
                <w:i/>
              </w:rPr>
              <w:tab/>
              <w:t>Významným zdrojem úniků rtuti do ovzduší jsou krematoria, a i když bude postupně ukončeno používání  zubního amalgámu,  krematoria budou ke znečišťování ovzduší, vody a půdy rtutí nadále přispívat. Je nezbytné shromáždit informace o opatřeních zavedených v členských státech a vypracovat pokyny pro krematoria, aby se dosáhlo vhodné prevence znečištění a zmírnil dopad na životní prostředí a lidské zdraví.</w:t>
            </w:r>
          </w:p>
        </w:tc>
      </w:tr>
    </w:tbl>
    <w:p w:rsidR="00F30928" w:rsidRDefault="00F30928" w:rsidP="00F30928"/>
    <w:p w:rsidR="005261EB" w:rsidRPr="00607BF9" w:rsidRDefault="005261EB" w:rsidP="005261EB">
      <w:pPr>
        <w:pStyle w:val="AmNumberTabs"/>
      </w:pPr>
      <w:r>
        <w:t>Pozměňovací návrh</w:t>
      </w:r>
      <w:r>
        <w:tab/>
      </w:r>
      <w:r>
        <w:tab/>
        <w:t>16</w:t>
      </w:r>
    </w:p>
    <w:p w:rsidR="005261EB" w:rsidRPr="00607BF9" w:rsidRDefault="005261EB" w:rsidP="005261EB"/>
    <w:p w:rsidR="005261EB" w:rsidRPr="00CD1D4A" w:rsidRDefault="005261EB" w:rsidP="005261EB">
      <w:pPr>
        <w:pStyle w:val="NormalBold"/>
      </w:pPr>
      <w:r>
        <w:rPr>
          <w:rStyle w:val="HideTWBExt"/>
          <w:b w:val="0"/>
        </w:rPr>
        <w:t>&lt;DocAmend&gt;</w:t>
      </w:r>
      <w:r>
        <w:t>Návrh nařízení</w:t>
      </w:r>
      <w:r>
        <w:rPr>
          <w:rStyle w:val="HideTWBExt"/>
          <w:b w:val="0"/>
        </w:rPr>
        <w:t>&lt;/</w:t>
      </w:r>
      <w:proofErr w:type="spellStart"/>
      <w:r>
        <w:rPr>
          <w:rStyle w:val="HideTWBExt"/>
          <w:b w:val="0"/>
        </w:rPr>
        <w:t>DocAmend</w:t>
      </w:r>
      <w:proofErr w:type="spellEnd"/>
      <w:r>
        <w:rPr>
          <w:rStyle w:val="HideTWBExt"/>
          <w:b w:val="0"/>
        </w:rPr>
        <w:t>&gt;</w:t>
      </w:r>
    </w:p>
    <w:p w:rsidR="005261EB" w:rsidRPr="00F30928" w:rsidRDefault="005261EB" w:rsidP="005261EB">
      <w:pPr>
        <w:pStyle w:val="NormalBold"/>
      </w:pPr>
      <w:r>
        <w:rPr>
          <w:rStyle w:val="HideTWBExt"/>
          <w:b w:val="0"/>
        </w:rPr>
        <w:t>&lt;Article&gt;</w:t>
      </w:r>
      <w:r>
        <w:t xml:space="preserve">Bod </w:t>
      </w:r>
      <w:r w:rsidRPr="00F30928">
        <w:t>odůvodnění 4 b (nový)</w:t>
      </w:r>
      <w:r w:rsidRPr="00F30928">
        <w:rPr>
          <w:rStyle w:val="HideTWBExt"/>
          <w:b w:val="0"/>
        </w:rPr>
        <w:t>&lt;/</w:t>
      </w:r>
      <w:proofErr w:type="spellStart"/>
      <w:r w:rsidRPr="00F30928">
        <w:rPr>
          <w:rStyle w:val="HideTWBExt"/>
          <w:b w:val="0"/>
        </w:rPr>
        <w:t>Article</w:t>
      </w:r>
      <w:proofErr w:type="spellEnd"/>
      <w:r w:rsidRPr="00F30928">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61EB" w:rsidRPr="00F30928" w:rsidTr="00FD079D">
        <w:trPr>
          <w:jc w:val="center"/>
        </w:trPr>
        <w:tc>
          <w:tcPr>
            <w:tcW w:w="9752" w:type="dxa"/>
            <w:gridSpan w:val="2"/>
          </w:tcPr>
          <w:p w:rsidR="005261EB" w:rsidRPr="00F30928" w:rsidRDefault="005261EB" w:rsidP="00FD079D">
            <w:pPr>
              <w:keepNext/>
            </w:pPr>
          </w:p>
        </w:tc>
      </w:tr>
      <w:tr w:rsidR="005261EB" w:rsidRPr="00F30928" w:rsidTr="00FD079D">
        <w:trPr>
          <w:jc w:val="center"/>
        </w:trPr>
        <w:tc>
          <w:tcPr>
            <w:tcW w:w="4876" w:type="dxa"/>
          </w:tcPr>
          <w:p w:rsidR="005261EB" w:rsidRPr="00F30928" w:rsidRDefault="005261EB" w:rsidP="00FD079D">
            <w:pPr>
              <w:pStyle w:val="AmColumnHeading"/>
              <w:keepNext/>
            </w:pPr>
            <w:r w:rsidRPr="00F30928">
              <w:t>Znění navržené Komisí</w:t>
            </w:r>
          </w:p>
        </w:tc>
        <w:tc>
          <w:tcPr>
            <w:tcW w:w="4876" w:type="dxa"/>
          </w:tcPr>
          <w:p w:rsidR="005261EB" w:rsidRPr="00F30928" w:rsidRDefault="005261EB" w:rsidP="00FD079D">
            <w:pPr>
              <w:pStyle w:val="AmColumnHeading"/>
              <w:keepNext/>
            </w:pPr>
            <w:r w:rsidRPr="00F30928">
              <w:t>Pozměňovací návrh</w:t>
            </w:r>
          </w:p>
        </w:tc>
      </w:tr>
      <w:tr w:rsidR="005261EB" w:rsidTr="00FD079D">
        <w:trPr>
          <w:jc w:val="center"/>
        </w:trPr>
        <w:tc>
          <w:tcPr>
            <w:tcW w:w="4876" w:type="dxa"/>
          </w:tcPr>
          <w:p w:rsidR="005261EB" w:rsidRPr="00F30928" w:rsidRDefault="005261EB" w:rsidP="00FD079D">
            <w:pPr>
              <w:pStyle w:val="Normal6a"/>
            </w:pPr>
          </w:p>
        </w:tc>
        <w:tc>
          <w:tcPr>
            <w:tcW w:w="4876" w:type="dxa"/>
          </w:tcPr>
          <w:p w:rsidR="005261EB" w:rsidRPr="00CD1D4A" w:rsidRDefault="005261EB" w:rsidP="005261EB">
            <w:pPr>
              <w:pStyle w:val="Normal6a"/>
            </w:pPr>
            <w:r w:rsidRPr="00F30928">
              <w:rPr>
                <w:b/>
                <w:i/>
              </w:rPr>
              <w:t>(4b)</w:t>
            </w:r>
            <w:r w:rsidRPr="00F30928">
              <w:tab/>
            </w:r>
            <w:r w:rsidRPr="00F30928">
              <w:rPr>
                <w:b/>
                <w:i/>
              </w:rPr>
              <w:t xml:space="preserve">Aby přechod na </w:t>
            </w:r>
            <w:proofErr w:type="spellStart"/>
            <w:r w:rsidRPr="00F30928">
              <w:rPr>
                <w:b/>
                <w:i/>
              </w:rPr>
              <w:t>bezrtuťové</w:t>
            </w:r>
            <w:proofErr w:type="spellEnd"/>
            <w:r w:rsidRPr="00F30928">
              <w:rPr>
                <w:b/>
                <w:i/>
              </w:rPr>
              <w:t xml:space="preserve"> výplně měl co nejmenší socioekonomický dopad na náklady pacientů a lékařů na zubní péči, měly by se členské státy snažit zajistit odpovídající úhradu nákladů na alternativní materiály bez obsahu rtuti. Postupné ukončení používání zubního amalgámu by mělo případně doprovázet proškolení stomatologů, aby se přizpůsobili používání nových technik.</w:t>
            </w:r>
          </w:p>
        </w:tc>
      </w:tr>
    </w:tbl>
    <w:p w:rsidR="005261EB" w:rsidRPr="00607BF9" w:rsidRDefault="005261EB" w:rsidP="007459E2"/>
    <w:p w:rsidR="007459E2" w:rsidRPr="00607BF9" w:rsidRDefault="007459E2" w:rsidP="007459E2">
      <w:pPr>
        <w:pStyle w:val="AmNumberTabs"/>
      </w:pPr>
      <w:r w:rsidRPr="00607BF9">
        <w:t>Pozměňovací návrh</w:t>
      </w:r>
      <w:r w:rsidRPr="00607BF9">
        <w:tab/>
      </w:r>
      <w:r w:rsidRPr="00607BF9">
        <w:tab/>
        <w:t>4</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Bod odůvodnění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r w:rsidRPr="00607BF9">
              <w:t>(5)</w:t>
            </w:r>
            <w:r w:rsidRPr="00607BF9">
              <w:tab/>
              <w:t>Ustanovení čl. 4 odst. 1 směrnice Evropského parlamentu a Rady 2011/65/EU</w:t>
            </w:r>
            <w:r w:rsidRPr="00607BF9">
              <w:rPr>
                <w:vertAlign w:val="superscript"/>
              </w:rPr>
              <w:t>44</w:t>
            </w:r>
            <w:r w:rsidRPr="00607BF9">
              <w:t xml:space="preserve"> zakazuje uvádění některých elektrických a elektronických zařízení obsahujících rtuť na trh Unie a jejich dovoz do Unie. Příloha III uvedené směrnice uvádí mimo jiné seznam některých světelných zdrojů s přidanou rtutí, které jsou do dat v ní uvedených z uvedeného zákazu vyňaty. Tato výjimka vypršela již dne 13. dubna 2016 pro netrubicové </w:t>
            </w:r>
            <w:proofErr w:type="spellStart"/>
            <w:r w:rsidRPr="00607BF9">
              <w:t>halofosfátové</w:t>
            </w:r>
            <w:proofErr w:type="spellEnd"/>
            <w:r w:rsidRPr="00607BF9">
              <w:t xml:space="preserve"> zářivky </w:t>
            </w:r>
            <w:r w:rsidRPr="00607BF9">
              <w:rPr>
                <w:b/>
                <w:i/>
              </w:rPr>
              <w:t>a</w:t>
            </w:r>
            <w:r w:rsidRPr="00607BF9">
              <w:t xml:space="preserve"> dne 24. února 2023 </w:t>
            </w:r>
            <w:r w:rsidRPr="00607BF9">
              <w:rPr>
                <w:b/>
                <w:i/>
              </w:rPr>
              <w:t>nebo</w:t>
            </w:r>
            <w:r w:rsidRPr="00607BF9">
              <w:t xml:space="preserve"> 24.</w:t>
            </w:r>
            <w:r w:rsidRPr="00607BF9">
              <w:rPr>
                <w:b/>
                <w:i/>
              </w:rPr>
              <w:t xml:space="preserve"> února 2027</w:t>
            </w:r>
            <w:r w:rsidRPr="00607BF9">
              <w:t xml:space="preserve"> vyprší </w:t>
            </w:r>
            <w:r w:rsidRPr="00607BF9">
              <w:rPr>
                <w:b/>
                <w:i/>
              </w:rPr>
              <w:t>pro některé kompaktní zářivky, trubicové zářivky a vysokotlaké sodíkové výbojky</w:t>
            </w:r>
            <w:r w:rsidRPr="00607BF9">
              <w:t xml:space="preserve"> pro všeobecné osvětlení, </w:t>
            </w:r>
            <w:r w:rsidRPr="00607BF9">
              <w:rPr>
                <w:b/>
                <w:i/>
              </w:rPr>
              <w:t>jakož i</w:t>
            </w:r>
            <w:r w:rsidRPr="00607BF9">
              <w:t xml:space="preserve"> pro</w:t>
            </w:r>
            <w:r w:rsidRPr="00607BF9">
              <w:rPr>
                <w:b/>
                <w:i/>
              </w:rPr>
              <w:t xml:space="preserve"> netrubicové </w:t>
            </w:r>
            <w:proofErr w:type="spellStart"/>
            <w:r w:rsidRPr="00607BF9">
              <w:rPr>
                <w:b/>
                <w:i/>
              </w:rPr>
              <w:t>trifosfátové</w:t>
            </w:r>
            <w:proofErr w:type="spellEnd"/>
            <w:r w:rsidRPr="00607BF9">
              <w:rPr>
                <w:b/>
                <w:i/>
              </w:rPr>
              <w:t xml:space="preserve"> zářivky</w:t>
            </w:r>
            <w:r w:rsidRPr="00607BF9">
              <w:t xml:space="preserve">. Kromě toho jsou v rozhodnutí MC-4/3 přijatém na čtvrtém zasedání konference smluvních stran </w:t>
            </w:r>
            <w:proofErr w:type="spellStart"/>
            <w:r w:rsidRPr="00607BF9">
              <w:t>Minamatské</w:t>
            </w:r>
            <w:proofErr w:type="spellEnd"/>
            <w:r w:rsidRPr="00607BF9">
              <w:t xml:space="preserve"> úmluvy o rtuti, které se konalo ve dnech 21. až 25. března 2022, uvedeny některé trubicové zářivky pro všeobecné osvětlení, které mají být v budoucnu zakázány</w:t>
            </w:r>
            <w:r w:rsidRPr="00607BF9">
              <w:rPr>
                <w:vertAlign w:val="superscript"/>
              </w:rPr>
              <w:t>45</w:t>
            </w:r>
            <w:r w:rsidRPr="00607BF9">
              <w:t>. Toto rozhodnutí podpořila Unie rozhodnutím Rady (EU) 2022/549</w:t>
            </w:r>
            <w:r w:rsidRPr="00607BF9">
              <w:rPr>
                <w:vertAlign w:val="superscript"/>
              </w:rPr>
              <w:t>46</w:t>
            </w:r>
            <w:r w:rsidRPr="00607BF9">
              <w:t xml:space="preserve">. Jelikož některé z těchto světelných zdrojů nejsou v současné době obsaženy v části A přílohy II nařízení (EU) 2017/852, měly by do ní být v zájmu soudržnosti zařazeny, aby byla zakázána jejich výroba a vývoz od dat </w:t>
            </w:r>
            <w:r w:rsidRPr="00607BF9">
              <w:rPr>
                <w:b/>
                <w:i/>
              </w:rPr>
              <w:t>v souladu s přílohou</w:t>
            </w:r>
            <w:r w:rsidRPr="00607BF9">
              <w:t xml:space="preserve"> III směrnice 2011/65/EU a nejambicióznějších dat uvedených v rozhodnutí MC-4/3.</w:t>
            </w:r>
          </w:p>
        </w:tc>
        <w:tc>
          <w:tcPr>
            <w:tcW w:w="4876" w:type="dxa"/>
          </w:tcPr>
          <w:p w:rsidR="007459E2" w:rsidRPr="00607BF9" w:rsidRDefault="007459E2" w:rsidP="00647C27">
            <w:pPr>
              <w:pStyle w:val="Normal6"/>
              <w:rPr>
                <w:szCs w:val="24"/>
              </w:rPr>
            </w:pPr>
            <w:r w:rsidRPr="00607BF9">
              <w:t>(5)</w:t>
            </w:r>
            <w:r w:rsidRPr="00607BF9">
              <w:tab/>
              <w:t>Ustanovení čl. 4 odst. 1 směrnice Evropského parlamentu a Rady 2011/65/EU</w:t>
            </w:r>
            <w:r w:rsidRPr="00607BF9">
              <w:rPr>
                <w:vertAlign w:val="superscript"/>
              </w:rPr>
              <w:t>44</w:t>
            </w:r>
            <w:r w:rsidRPr="00607BF9">
              <w:t xml:space="preserve"> zakazuje uvádění některých elektrických a elektronických zařízení obsahujících rtuť na trh Unie a jejich dovoz do Unie. Příloha III uvedené směrnice uvádí mimo jiné seznam některých světelných zdrojů s přidanou rtutí, které jsou do dat v ní uvedených z uvedeného zákazu vyňaty. Tato výjimka vypršela již dne 13. dubna 2016 pro netrubicové </w:t>
            </w:r>
            <w:proofErr w:type="spellStart"/>
            <w:r w:rsidRPr="00607BF9">
              <w:t>halofosfátové</w:t>
            </w:r>
            <w:proofErr w:type="spellEnd"/>
            <w:r w:rsidRPr="00607BF9">
              <w:t xml:space="preserve"> zářivky</w:t>
            </w:r>
            <w:r w:rsidRPr="00607BF9">
              <w:rPr>
                <w:b/>
                <w:i/>
              </w:rPr>
              <w:t>, v případě některých kompaktních zářivek</w:t>
            </w:r>
            <w:r w:rsidRPr="00607BF9">
              <w:t xml:space="preserve"> dne 24. února 2023 </w:t>
            </w:r>
            <w:r w:rsidRPr="00607BF9">
              <w:rPr>
                <w:b/>
                <w:i/>
              </w:rPr>
              <w:t>a v případě trubicových zářivek pro všeobecné osvětlení dne</w:t>
            </w:r>
            <w:r w:rsidRPr="00607BF9">
              <w:t xml:space="preserve"> 24.</w:t>
            </w:r>
            <w:r w:rsidRPr="00607BF9">
              <w:rPr>
                <w:b/>
                <w:i/>
              </w:rPr>
              <w:t> srpna 2023. Pro nelineární zářivky s třípásmovým luminoforem vyprší výjimka dne 24. února 2025. Platnost výjimky v případě většiny vysokotlakých sodíkových výbojek</w:t>
            </w:r>
            <w:r w:rsidRPr="00607BF9">
              <w:t xml:space="preserve"> pro všeobecné osvětlení</w:t>
            </w:r>
            <w:r w:rsidRPr="00607BF9">
              <w:rPr>
                <w:b/>
                <w:i/>
              </w:rPr>
              <w:t xml:space="preserve"> s lepším indexem podání barev skončila dne 24. února 2023</w:t>
            </w:r>
            <w:r w:rsidRPr="00607BF9">
              <w:t xml:space="preserve">, </w:t>
            </w:r>
            <w:r w:rsidRPr="00607BF9">
              <w:rPr>
                <w:b/>
                <w:i/>
              </w:rPr>
              <w:t>zatímco v případě zbývajících výbojek a dalších vysokotlakých sodíkových výbojek</w:t>
            </w:r>
            <w:r w:rsidRPr="00607BF9">
              <w:t xml:space="preserve"> pro</w:t>
            </w:r>
            <w:r w:rsidRPr="00607BF9">
              <w:rPr>
                <w:b/>
                <w:i/>
              </w:rPr>
              <w:t> všeobecné osvětlení platnost výjimky  skončí 24. února 2025</w:t>
            </w:r>
            <w:r w:rsidRPr="00607BF9">
              <w:t xml:space="preserve">. Kromě toho jsou v rozhodnutí MC-4/3 přijatém na čtvrtém zasedání konference smluvních stran </w:t>
            </w:r>
            <w:proofErr w:type="spellStart"/>
            <w:r w:rsidRPr="00607BF9">
              <w:t>Minamatské</w:t>
            </w:r>
            <w:proofErr w:type="spellEnd"/>
            <w:r w:rsidRPr="00607BF9">
              <w:t xml:space="preserve"> úmluvy o rtuti, které se konalo ve dnech 21. až 25. března 2022, uvedeny některé trubicové zářivky pro všeobecné osvětlení, které mají být v budoucnu zakázány</w:t>
            </w:r>
            <w:r w:rsidRPr="00607BF9">
              <w:rPr>
                <w:vertAlign w:val="superscript"/>
              </w:rPr>
              <w:t>45</w:t>
            </w:r>
            <w:r w:rsidRPr="00607BF9">
              <w:t>. Toto rozhodnutí podpořila Unie rozhodnutím Rady (EU) 2022/549</w:t>
            </w:r>
            <w:r w:rsidRPr="00607BF9">
              <w:rPr>
                <w:vertAlign w:val="superscript"/>
              </w:rPr>
              <w:t>46</w:t>
            </w:r>
            <w:r w:rsidRPr="00607BF9">
              <w:t xml:space="preserve">. Jelikož </w:t>
            </w:r>
            <w:r w:rsidRPr="00607BF9">
              <w:rPr>
                <w:b/>
                <w:i/>
              </w:rPr>
              <w:t xml:space="preserve">je vhodné zakázat co nejdříve vývoz zbývajících světelných zdrojů s přidanou rtutí z Unie a </w:t>
            </w:r>
            <w:r w:rsidRPr="00607BF9">
              <w:t xml:space="preserve">některé z těchto světelných zdrojů nejsou v současné době obsaženy v části A přílohy II nařízení (EU) 2017/852, měly by do ní být v zájmu soudržnosti zařazeny, aby byla zakázána jejich výroba a vývoz od dat </w:t>
            </w:r>
            <w:r w:rsidRPr="00607BF9">
              <w:rPr>
                <w:b/>
                <w:i/>
              </w:rPr>
              <w:t>uvedených v příloze</w:t>
            </w:r>
            <w:r w:rsidRPr="00607BF9">
              <w:t xml:space="preserve"> III směrnice 2011/65/EU a nejambicióznějších dat uvedených v </w:t>
            </w:r>
            <w:r w:rsidRPr="00607BF9">
              <w:lastRenderedPageBreak/>
              <w:t xml:space="preserve">rozhodnutí MC-4/3. </w:t>
            </w:r>
            <w:r w:rsidRPr="00607BF9">
              <w:rPr>
                <w:b/>
                <w:i/>
              </w:rPr>
              <w:t xml:space="preserve">Kromě toho lze významných vedlejších přínosů dosáhnout tím, že se postupně co nejdříve ukončí vývoz světelných zdrojů s přidanou rtutí, protože </w:t>
            </w:r>
            <w:proofErr w:type="spellStart"/>
            <w:r w:rsidRPr="00607BF9">
              <w:rPr>
                <w:b/>
                <w:i/>
              </w:rPr>
              <w:t>bezrtuťové</w:t>
            </w:r>
            <w:proofErr w:type="spellEnd"/>
            <w:r w:rsidRPr="00607BF9">
              <w:rPr>
                <w:b/>
                <w:i/>
              </w:rPr>
              <w:t xml:space="preserve"> alternativy jsou energeticky účinnější, a zamezilo by se tak uvolňování tun emisí CO</w:t>
            </w:r>
            <w:r w:rsidRPr="00607BF9">
              <w:rPr>
                <w:b/>
                <w:i/>
                <w:vertAlign w:val="subscript"/>
              </w:rPr>
              <w:t>2</w:t>
            </w:r>
            <w:r w:rsidRPr="00607BF9">
              <w:rPr>
                <w:b/>
                <w:i/>
              </w:rPr>
              <w:t>.</w:t>
            </w:r>
          </w:p>
        </w:tc>
      </w:tr>
      <w:tr w:rsidR="007459E2" w:rsidRPr="00607BF9" w:rsidTr="00647C27">
        <w:trPr>
          <w:jc w:val="center"/>
        </w:trPr>
        <w:tc>
          <w:tcPr>
            <w:tcW w:w="4876" w:type="dxa"/>
          </w:tcPr>
          <w:p w:rsidR="007459E2" w:rsidRPr="00607BF9" w:rsidRDefault="007459E2" w:rsidP="00647C27">
            <w:pPr>
              <w:pStyle w:val="Normal6"/>
            </w:pPr>
            <w:r w:rsidRPr="00607BF9">
              <w:lastRenderedPageBreak/>
              <w:t>__________________</w:t>
            </w:r>
          </w:p>
        </w:tc>
        <w:tc>
          <w:tcPr>
            <w:tcW w:w="4876" w:type="dxa"/>
          </w:tcPr>
          <w:p w:rsidR="007459E2" w:rsidRPr="00607BF9" w:rsidRDefault="007459E2" w:rsidP="00647C27">
            <w:pPr>
              <w:pStyle w:val="Normal6"/>
              <w:rPr>
                <w:szCs w:val="24"/>
              </w:rPr>
            </w:pPr>
            <w:r w:rsidRPr="00607BF9">
              <w:t>__________________</w:t>
            </w:r>
          </w:p>
        </w:tc>
      </w:tr>
      <w:tr w:rsidR="007459E2" w:rsidRPr="00607BF9" w:rsidTr="00647C27">
        <w:trPr>
          <w:jc w:val="center"/>
        </w:trPr>
        <w:tc>
          <w:tcPr>
            <w:tcW w:w="4876" w:type="dxa"/>
          </w:tcPr>
          <w:p w:rsidR="007459E2" w:rsidRPr="00607BF9" w:rsidRDefault="007459E2" w:rsidP="00647C27">
            <w:pPr>
              <w:pStyle w:val="Normal6"/>
            </w:pPr>
            <w:r w:rsidRPr="00607BF9">
              <w:rPr>
                <w:vertAlign w:val="superscript"/>
              </w:rPr>
              <w:t xml:space="preserve">44 </w:t>
            </w:r>
            <w:r w:rsidRPr="00607BF9">
              <w:t>Směrnice Evropského parlamentu a Rady 2011/65/EU ze dne 8. června 2011 o omezení používání některých nebezpečných látek v elektrických a elektronických zařízeních (</w:t>
            </w:r>
            <w:proofErr w:type="spellStart"/>
            <w:r w:rsidRPr="00607BF9">
              <w:t>Úř</w:t>
            </w:r>
            <w:proofErr w:type="spellEnd"/>
            <w:r w:rsidRPr="00607BF9">
              <w:t>. </w:t>
            </w:r>
            <w:proofErr w:type="spellStart"/>
            <w:proofErr w:type="gramStart"/>
            <w:r w:rsidRPr="00607BF9">
              <w:t>věst</w:t>
            </w:r>
            <w:proofErr w:type="spellEnd"/>
            <w:proofErr w:type="gramEnd"/>
            <w:r w:rsidRPr="00607BF9">
              <w:t xml:space="preserve">. L 174, </w:t>
            </w:r>
            <w:proofErr w:type="gramStart"/>
            <w:r w:rsidRPr="00607BF9">
              <w:t>1.7.2011</w:t>
            </w:r>
            <w:proofErr w:type="gramEnd"/>
            <w:r w:rsidRPr="00607BF9">
              <w:t>).</w:t>
            </w:r>
          </w:p>
        </w:tc>
        <w:tc>
          <w:tcPr>
            <w:tcW w:w="4876" w:type="dxa"/>
          </w:tcPr>
          <w:p w:rsidR="007459E2" w:rsidRPr="00607BF9" w:rsidRDefault="007459E2" w:rsidP="00647C27">
            <w:pPr>
              <w:pStyle w:val="Normal6"/>
              <w:rPr>
                <w:szCs w:val="24"/>
              </w:rPr>
            </w:pPr>
            <w:r w:rsidRPr="00607BF9">
              <w:rPr>
                <w:vertAlign w:val="superscript"/>
              </w:rPr>
              <w:t xml:space="preserve">44 </w:t>
            </w:r>
            <w:r w:rsidRPr="00607BF9">
              <w:t>Směrnice Evropského parlamentu a Rady 2011/65/EU ze dne 8. června 2011 o omezení používání některých nebezpečných látek v elektrických a elektronických zařízeních (</w:t>
            </w:r>
            <w:proofErr w:type="spellStart"/>
            <w:r w:rsidRPr="00607BF9">
              <w:t>Úř</w:t>
            </w:r>
            <w:proofErr w:type="spellEnd"/>
            <w:r w:rsidRPr="00607BF9">
              <w:t>. </w:t>
            </w:r>
            <w:proofErr w:type="spellStart"/>
            <w:proofErr w:type="gramStart"/>
            <w:r w:rsidRPr="00607BF9">
              <w:t>věst</w:t>
            </w:r>
            <w:proofErr w:type="spellEnd"/>
            <w:proofErr w:type="gramEnd"/>
            <w:r w:rsidRPr="00607BF9">
              <w:t xml:space="preserve">. L 174, </w:t>
            </w:r>
            <w:proofErr w:type="gramStart"/>
            <w:r w:rsidRPr="00607BF9">
              <w:t>1.7.2011</w:t>
            </w:r>
            <w:proofErr w:type="gramEnd"/>
            <w:r w:rsidRPr="00607BF9">
              <w:t>).</w:t>
            </w:r>
          </w:p>
        </w:tc>
      </w:tr>
      <w:tr w:rsidR="007459E2" w:rsidRPr="00607BF9" w:rsidTr="00647C27">
        <w:trPr>
          <w:jc w:val="center"/>
        </w:trPr>
        <w:tc>
          <w:tcPr>
            <w:tcW w:w="4876" w:type="dxa"/>
          </w:tcPr>
          <w:p w:rsidR="007459E2" w:rsidRPr="00607BF9" w:rsidRDefault="007459E2" w:rsidP="00647C27">
            <w:pPr>
              <w:pStyle w:val="Normal6"/>
            </w:pPr>
            <w:r w:rsidRPr="00607BF9">
              <w:rPr>
                <w:vertAlign w:val="superscript"/>
              </w:rPr>
              <w:t xml:space="preserve">45 </w:t>
            </w:r>
            <w:r w:rsidRPr="00607BF9">
              <w:t xml:space="preserve">Rozhodnutí Rady (EU) 2022/549 ze dne 17. března 2022 o postoji, který má být zaujat jménem Evropské unie na druhé části čtvrtého zasedání konference smluvních stran </w:t>
            </w:r>
            <w:proofErr w:type="spellStart"/>
            <w:r w:rsidRPr="00607BF9">
              <w:t>Minamatské</w:t>
            </w:r>
            <w:proofErr w:type="spellEnd"/>
            <w:r w:rsidRPr="00607BF9">
              <w:t xml:space="preserve"> úmluvy o rtuti, pokud jde o přijetí rozhodnutí, kterým se mění přílohy A </w:t>
            </w:r>
            <w:proofErr w:type="spellStart"/>
            <w:r w:rsidRPr="00607BF9">
              <w:t>a</w:t>
            </w:r>
            <w:proofErr w:type="spellEnd"/>
            <w:r w:rsidRPr="00607BF9">
              <w:t> B uvedené úmluvy (</w:t>
            </w:r>
            <w:proofErr w:type="spellStart"/>
            <w:r w:rsidRPr="00607BF9">
              <w:t>Úř</w:t>
            </w:r>
            <w:proofErr w:type="spellEnd"/>
            <w:r w:rsidRPr="00607BF9">
              <w:t xml:space="preserve">. </w:t>
            </w:r>
            <w:proofErr w:type="spellStart"/>
            <w:proofErr w:type="gramStart"/>
            <w:r w:rsidRPr="00607BF9">
              <w:t>věst</w:t>
            </w:r>
            <w:proofErr w:type="spellEnd"/>
            <w:proofErr w:type="gramEnd"/>
            <w:r w:rsidRPr="00607BF9">
              <w:t xml:space="preserve">. L 107, </w:t>
            </w:r>
            <w:proofErr w:type="gramStart"/>
            <w:r w:rsidRPr="00607BF9">
              <w:t>6.4.2022</w:t>
            </w:r>
            <w:proofErr w:type="gramEnd"/>
            <w:r w:rsidRPr="00607BF9">
              <w:t>, s. 78).</w:t>
            </w:r>
          </w:p>
        </w:tc>
        <w:tc>
          <w:tcPr>
            <w:tcW w:w="4876" w:type="dxa"/>
          </w:tcPr>
          <w:p w:rsidR="007459E2" w:rsidRPr="00607BF9" w:rsidRDefault="007459E2" w:rsidP="00647C27">
            <w:pPr>
              <w:pStyle w:val="Normal6"/>
              <w:rPr>
                <w:szCs w:val="24"/>
              </w:rPr>
            </w:pPr>
            <w:r w:rsidRPr="00607BF9">
              <w:rPr>
                <w:vertAlign w:val="superscript"/>
              </w:rPr>
              <w:t xml:space="preserve">45 </w:t>
            </w:r>
            <w:r w:rsidRPr="00607BF9">
              <w:t xml:space="preserve">Rozhodnutí Rady (EU) 2022/549 ze dne 17. března 2022 o postoji, který má být zaujat jménem Evropské unie na druhé části čtvrtého zasedání konference smluvních stran </w:t>
            </w:r>
            <w:proofErr w:type="spellStart"/>
            <w:r w:rsidRPr="00607BF9">
              <w:t>Minamatské</w:t>
            </w:r>
            <w:proofErr w:type="spellEnd"/>
            <w:r w:rsidRPr="00607BF9">
              <w:t xml:space="preserve"> úmluvy o rtuti, pokud jde o přijetí rozhodnutí, kterým se mění přílohy A </w:t>
            </w:r>
            <w:proofErr w:type="spellStart"/>
            <w:r w:rsidRPr="00607BF9">
              <w:t>a</w:t>
            </w:r>
            <w:proofErr w:type="spellEnd"/>
            <w:r w:rsidRPr="00607BF9">
              <w:t> B uvedené úmluvy (</w:t>
            </w:r>
            <w:proofErr w:type="spellStart"/>
            <w:r w:rsidRPr="00607BF9">
              <w:t>Úř</w:t>
            </w:r>
            <w:proofErr w:type="spellEnd"/>
            <w:r w:rsidRPr="00607BF9">
              <w:t xml:space="preserve">. </w:t>
            </w:r>
            <w:proofErr w:type="spellStart"/>
            <w:proofErr w:type="gramStart"/>
            <w:r w:rsidRPr="00607BF9">
              <w:t>věst</w:t>
            </w:r>
            <w:proofErr w:type="spellEnd"/>
            <w:proofErr w:type="gramEnd"/>
            <w:r w:rsidRPr="00607BF9">
              <w:t xml:space="preserve">. L 107, </w:t>
            </w:r>
            <w:proofErr w:type="gramStart"/>
            <w:r w:rsidRPr="00607BF9">
              <w:t>6.4.2022</w:t>
            </w:r>
            <w:proofErr w:type="gramEnd"/>
            <w:r w:rsidRPr="00607BF9">
              <w:t>, s. 78).</w:t>
            </w:r>
          </w:p>
        </w:tc>
      </w:tr>
      <w:tr w:rsidR="007459E2" w:rsidRPr="00607BF9" w:rsidTr="00647C27">
        <w:trPr>
          <w:jc w:val="center"/>
        </w:trPr>
        <w:tc>
          <w:tcPr>
            <w:tcW w:w="4876" w:type="dxa"/>
          </w:tcPr>
          <w:p w:rsidR="007459E2" w:rsidRPr="00607BF9" w:rsidRDefault="007459E2" w:rsidP="00880B13">
            <w:pPr>
              <w:pStyle w:val="Normal6"/>
            </w:pPr>
            <w:r w:rsidRPr="00607BF9">
              <w:rPr>
                <w:vertAlign w:val="superscript"/>
              </w:rPr>
              <w:t>46</w:t>
            </w:r>
            <w:r w:rsidRPr="00607BF9">
              <w:t xml:space="preserve"> Rozhodnutí Rady (EU) 2022/549 ze dne 17. března 2022 o postoji, který má být zaujat jménem Evropské unie na druhé části čtvrtého zasedání konference smluvních stran </w:t>
            </w:r>
            <w:proofErr w:type="spellStart"/>
            <w:r w:rsidRPr="00607BF9">
              <w:t>Minamatské</w:t>
            </w:r>
            <w:proofErr w:type="spellEnd"/>
            <w:r w:rsidRPr="00607BF9">
              <w:t xml:space="preserve"> úmluvy o rtuti</w:t>
            </w:r>
            <w:r w:rsidR="00880B13" w:rsidRPr="00880B13">
              <w:t xml:space="preserve">, pokud jde o přijetí rozhodnutí, kterým se mění přílohy A </w:t>
            </w:r>
            <w:proofErr w:type="spellStart"/>
            <w:r w:rsidR="00880B13" w:rsidRPr="00880B13">
              <w:t>a</w:t>
            </w:r>
            <w:proofErr w:type="spellEnd"/>
            <w:r w:rsidR="00880B13" w:rsidRPr="00880B13">
              <w:t xml:space="preserve"> B uvedené úmluvy (</w:t>
            </w:r>
            <w:proofErr w:type="spellStart"/>
            <w:r w:rsidR="00880B13" w:rsidRPr="00880B13">
              <w:t>Úř</w:t>
            </w:r>
            <w:proofErr w:type="spellEnd"/>
            <w:r w:rsidR="00880B13" w:rsidRPr="00880B13">
              <w:t xml:space="preserve">. </w:t>
            </w:r>
            <w:proofErr w:type="spellStart"/>
            <w:proofErr w:type="gramStart"/>
            <w:r w:rsidR="00880B13" w:rsidRPr="00880B13">
              <w:t>věst</w:t>
            </w:r>
            <w:proofErr w:type="spellEnd"/>
            <w:proofErr w:type="gramEnd"/>
            <w:r w:rsidR="00880B13" w:rsidRPr="00880B13">
              <w:t xml:space="preserve">. L 107, </w:t>
            </w:r>
            <w:proofErr w:type="gramStart"/>
            <w:r w:rsidR="00880B13" w:rsidRPr="00880B13">
              <w:t>6.4.2022</w:t>
            </w:r>
            <w:proofErr w:type="gramEnd"/>
            <w:r w:rsidR="00880B13" w:rsidRPr="00880B13">
              <w:t>, s. 78).</w:t>
            </w:r>
          </w:p>
        </w:tc>
        <w:tc>
          <w:tcPr>
            <w:tcW w:w="4876" w:type="dxa"/>
          </w:tcPr>
          <w:p w:rsidR="007459E2" w:rsidRPr="00607BF9" w:rsidRDefault="007459E2" w:rsidP="00647C27">
            <w:pPr>
              <w:pStyle w:val="Normal6"/>
              <w:rPr>
                <w:szCs w:val="24"/>
              </w:rPr>
            </w:pPr>
            <w:r w:rsidRPr="00607BF9">
              <w:rPr>
                <w:vertAlign w:val="superscript"/>
              </w:rPr>
              <w:t>46</w:t>
            </w:r>
            <w:r w:rsidRPr="00607BF9">
              <w:t xml:space="preserve"> Rozhodnutí Rady (EU) 2022/549 ze dne 17. března 2022 o postoji, který má být zaujat jménem Evropské unie na druhé části čtvrtého zasedání konference smluvních s</w:t>
            </w:r>
            <w:bookmarkStart w:id="8" w:name="_GoBack"/>
            <w:bookmarkEnd w:id="8"/>
            <w:r w:rsidRPr="00607BF9">
              <w:t xml:space="preserve">tran </w:t>
            </w:r>
            <w:proofErr w:type="spellStart"/>
            <w:r w:rsidRPr="00607BF9">
              <w:t>Minamatské</w:t>
            </w:r>
            <w:proofErr w:type="spellEnd"/>
            <w:r w:rsidRPr="00607BF9">
              <w:t xml:space="preserve"> úmluvy o rtuti</w:t>
            </w:r>
            <w:r w:rsidR="00880B13" w:rsidRPr="00880B13">
              <w:t xml:space="preserve">, pokud jde o přijetí rozhodnutí, kterým se mění přílohy A </w:t>
            </w:r>
            <w:proofErr w:type="spellStart"/>
            <w:r w:rsidR="00880B13" w:rsidRPr="00880B13">
              <w:t>a</w:t>
            </w:r>
            <w:proofErr w:type="spellEnd"/>
            <w:r w:rsidR="00880B13" w:rsidRPr="00880B13">
              <w:t xml:space="preserve"> B uvedené úmluvy </w:t>
            </w:r>
            <w:r w:rsidR="00880B13" w:rsidRPr="00880B13">
              <w:t>(</w:t>
            </w:r>
            <w:proofErr w:type="spellStart"/>
            <w:r w:rsidR="00880B13" w:rsidRPr="00880B13">
              <w:t>Úř</w:t>
            </w:r>
            <w:proofErr w:type="spellEnd"/>
            <w:r w:rsidR="00880B13" w:rsidRPr="00880B13">
              <w:t xml:space="preserve">. </w:t>
            </w:r>
            <w:proofErr w:type="spellStart"/>
            <w:proofErr w:type="gramStart"/>
            <w:r w:rsidR="00880B13" w:rsidRPr="00880B13">
              <w:t>věst</w:t>
            </w:r>
            <w:proofErr w:type="spellEnd"/>
            <w:proofErr w:type="gramEnd"/>
            <w:r w:rsidR="00880B13" w:rsidRPr="00880B13">
              <w:t xml:space="preserve">. L 107, </w:t>
            </w:r>
            <w:proofErr w:type="gramStart"/>
            <w:r w:rsidR="00880B13" w:rsidRPr="00880B13">
              <w:t>6.4.2022</w:t>
            </w:r>
            <w:proofErr w:type="gramEnd"/>
            <w:r w:rsidR="00880B13" w:rsidRPr="00880B13">
              <w:t>, s. 78)</w:t>
            </w:r>
            <w:r w:rsidRPr="00880B13">
              <w:t>.</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5</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Bod odůvodnění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(5a)</w:t>
            </w:r>
            <w:r w:rsidRPr="00607BF9">
              <w:rPr>
                <w:b/>
                <w:i/>
              </w:rPr>
              <w:tab/>
              <w:t xml:space="preserve">Vzhledem ke škodlivým účinkům rtuti a sloučenin rtuti na lidské zdraví a životní prostředí je třeba expozici a emise dále co nejvíce omezit na minimum. Z nedávných zpráv vyplývá, že evropské společnosti vyrábějí a vyvážejí sloučeniny rtuti, které se používají pro nepovolená použití, zejména v kosmetice. Komise by proto měla vypracovat zprávu o provádění </w:t>
            </w:r>
            <w:r w:rsidRPr="00607BF9">
              <w:rPr>
                <w:b/>
                <w:i/>
              </w:rPr>
              <w:lastRenderedPageBreak/>
              <w:t xml:space="preserve">a prosazování </w:t>
            </w:r>
            <w:proofErr w:type="spellStart"/>
            <w:r w:rsidRPr="00607BF9">
              <w:rPr>
                <w:b/>
                <w:i/>
              </w:rPr>
              <w:t>Minamatské</w:t>
            </w:r>
            <w:proofErr w:type="spellEnd"/>
            <w:r w:rsidRPr="00607BF9">
              <w:rPr>
                <w:b/>
                <w:i/>
              </w:rPr>
              <w:t xml:space="preserve"> úmluvy, zejména pokud jde o používání rtuti a sloučenin rtuti v kosmetice a o výrobu, dovoz a vývoz rtuti a sloučenin rtuti pro nepovolená použití. Komise by měla dále posoudit přetrvávající použití rtuti, například v </w:t>
            </w:r>
            <w:proofErr w:type="spellStart"/>
            <w:r w:rsidRPr="00607BF9">
              <w:rPr>
                <w:b/>
                <w:i/>
              </w:rPr>
              <w:t>porosimetrii</w:t>
            </w:r>
            <w:proofErr w:type="spellEnd"/>
            <w:r w:rsidRPr="00607BF9">
              <w:rPr>
                <w:b/>
                <w:i/>
              </w:rPr>
              <w:t>, majácích a očkovacích látkách, a také potřebu upravit seznam velkých zdrojů odpadu a případně navrhnout opatření k postupnému ukončení těchto použití a regulaci výroby, dovozu a vývozu pro tyto účely.</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6</w:t>
      </w:r>
    </w:p>
    <w:p w:rsidR="007459E2" w:rsidRPr="00607BF9" w:rsidRDefault="007459E2" w:rsidP="007459E2">
      <w:pPr>
        <w:pStyle w:val="NormalBold12b"/>
      </w:pPr>
      <w:r w:rsidRPr="00607BF9">
        <w:t>Návrh nařízení</w:t>
      </w:r>
    </w:p>
    <w:p w:rsidR="007459E2" w:rsidRPr="00607BF9" w:rsidRDefault="007459E2" w:rsidP="007459E2">
      <w:pPr>
        <w:pStyle w:val="NormalBold"/>
      </w:pPr>
      <w:r w:rsidRPr="00607BF9">
        <w:t>Bod odůvodnění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59E2" w:rsidRPr="00607BF9" w:rsidTr="00647C27">
        <w:trPr>
          <w:trHeight w:hRule="exact" w:val="240"/>
          <w:jc w:val="center"/>
        </w:trPr>
        <w:tc>
          <w:tcPr>
            <w:tcW w:w="9752" w:type="dxa"/>
            <w:gridSpan w:val="2"/>
          </w:tcPr>
          <w:p w:rsidR="007459E2" w:rsidRPr="00607BF9" w:rsidRDefault="007459E2" w:rsidP="00647C27"/>
        </w:tc>
      </w:tr>
      <w:tr w:rsidR="007459E2" w:rsidRPr="00607BF9" w:rsidTr="00647C27">
        <w:trPr>
          <w:trHeight w:val="240"/>
          <w:jc w:val="center"/>
        </w:trPr>
        <w:tc>
          <w:tcPr>
            <w:tcW w:w="4876" w:type="dxa"/>
          </w:tcPr>
          <w:p w:rsidR="007459E2" w:rsidRPr="00607BF9" w:rsidRDefault="007459E2" w:rsidP="00647C27">
            <w:pPr>
              <w:pStyle w:val="AmColumnHeading"/>
            </w:pPr>
            <w:r w:rsidRPr="00607BF9">
              <w:t>Znění navržené Komisí</w:t>
            </w:r>
          </w:p>
        </w:tc>
        <w:tc>
          <w:tcPr>
            <w:tcW w:w="4876" w:type="dxa"/>
          </w:tcPr>
          <w:p w:rsidR="007459E2" w:rsidRPr="00607BF9" w:rsidRDefault="007459E2" w:rsidP="00647C27">
            <w:pPr>
              <w:pStyle w:val="AmColumnHeading"/>
            </w:pPr>
            <w:r w:rsidRPr="00607BF9">
              <w:t>Pozměňovací návrh</w:t>
            </w:r>
          </w:p>
        </w:tc>
      </w:tr>
      <w:tr w:rsidR="007459E2" w:rsidRPr="00607BF9" w:rsidTr="00647C27">
        <w:trPr>
          <w:jc w:val="center"/>
        </w:trPr>
        <w:tc>
          <w:tcPr>
            <w:tcW w:w="4876" w:type="dxa"/>
          </w:tcPr>
          <w:p w:rsidR="007459E2" w:rsidRPr="00607BF9" w:rsidRDefault="007459E2" w:rsidP="00647C27">
            <w:pPr>
              <w:pStyle w:val="Normal6a"/>
            </w:pPr>
          </w:p>
        </w:tc>
        <w:tc>
          <w:tcPr>
            <w:tcW w:w="4876" w:type="dxa"/>
          </w:tcPr>
          <w:p w:rsidR="007459E2" w:rsidRPr="00607BF9" w:rsidRDefault="007459E2" w:rsidP="00647C27">
            <w:pPr>
              <w:pStyle w:val="Normal6a"/>
            </w:pPr>
            <w:r w:rsidRPr="00607BF9">
              <w:rPr>
                <w:b/>
                <w:i/>
              </w:rPr>
              <w:t>(5b)</w:t>
            </w:r>
            <w:r w:rsidRPr="00607BF9">
              <w:tab/>
            </w:r>
            <w:r w:rsidRPr="00607BF9">
              <w:rPr>
                <w:b/>
                <w:i/>
              </w:rPr>
              <w:t>Vzhledem k tomu, že neexistují řádné systémy sběru výrobků s přidanou rtutí v elektronickém i jiném než elektronickém odpadu, dochází i nadále k sekundárním emisím rtuti na skládkách a ve spalovnách odpadu, což poukazuje na to, že je třeba, aby sběr tohoto odpadu probíhal odděleně a způsobem šetrným k životnímu prostředí.</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7</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Čl. 1 – odst. 1 – bod 1 – písm. a</w:t>
      </w:r>
    </w:p>
    <w:p w:rsidR="007459E2" w:rsidRPr="00607BF9" w:rsidRDefault="007459E2" w:rsidP="007459E2">
      <w:pPr>
        <w:keepNext/>
      </w:pPr>
      <w:r w:rsidRPr="00607BF9">
        <w:t>Nařízení (EU) 2017/852</w:t>
      </w:r>
    </w:p>
    <w:p w:rsidR="007459E2" w:rsidRPr="00607BF9" w:rsidRDefault="007459E2" w:rsidP="007459E2">
      <w:r w:rsidRPr="00607BF9">
        <w:t>Čl. 10 – odst.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r w:rsidRPr="00607BF9">
              <w:t>2a.</w:t>
            </w:r>
            <w:r w:rsidRPr="00607BF9">
              <w:tab/>
              <w:t>Od 1. ledna 2025 se zubní amalgám nesmí používat při stomatologickém ošetření jakékoli osoby s výjimkou případů, kdy to zubní lékař považuje za naprosto nezbytné z důvodu specifických zdravotních potřeb dotčeného pacienta.</w:t>
            </w:r>
            <w:r w:rsidRPr="00607BF9">
              <w:rPr>
                <w:b/>
                <w:i/>
              </w:rPr>
              <w:t>“</w:t>
            </w:r>
            <w:r w:rsidRPr="00607BF9">
              <w:t>;</w:t>
            </w:r>
          </w:p>
        </w:tc>
        <w:tc>
          <w:tcPr>
            <w:tcW w:w="4876" w:type="dxa"/>
          </w:tcPr>
          <w:p w:rsidR="007459E2" w:rsidRPr="00607BF9" w:rsidRDefault="007459E2" w:rsidP="00647C27">
            <w:pPr>
              <w:pStyle w:val="Normal6"/>
              <w:rPr>
                <w:szCs w:val="24"/>
              </w:rPr>
            </w:pPr>
            <w:r w:rsidRPr="00607BF9">
              <w:t>2a.</w:t>
            </w:r>
            <w:r w:rsidRPr="00607BF9">
              <w:tab/>
              <w:t xml:space="preserve">Od 1. ledna 2025 se zubní amalgám nesmí používat při stomatologickém ošetření jakékoli osoby s výjimkou případů, kdy to zubní lékař považuje za naprosto nezbytné z důvodu </w:t>
            </w:r>
            <w:r w:rsidRPr="00607BF9">
              <w:rPr>
                <w:b/>
                <w:i/>
              </w:rPr>
              <w:t xml:space="preserve">řádně opodstatněných </w:t>
            </w:r>
            <w:r w:rsidRPr="00607BF9">
              <w:t>specifických zdravotních potřeb dotčeného pacienta.;</w:t>
            </w:r>
          </w:p>
        </w:tc>
      </w:tr>
    </w:tbl>
    <w:p w:rsidR="007459E2" w:rsidRPr="00607BF9" w:rsidRDefault="007459E2" w:rsidP="007459E2"/>
    <w:p w:rsidR="007459E2" w:rsidRPr="00607BF9" w:rsidRDefault="007459E2" w:rsidP="007459E2">
      <w:pPr>
        <w:pStyle w:val="AmNumberTabs"/>
      </w:pPr>
      <w:r w:rsidRPr="00607BF9">
        <w:lastRenderedPageBreak/>
        <w:t>Pozměňovací návrh</w:t>
      </w:r>
      <w:r w:rsidRPr="00607BF9">
        <w:tab/>
      </w:r>
      <w:r w:rsidRPr="00607BF9">
        <w:tab/>
        <w:t>8</w:t>
      </w:r>
    </w:p>
    <w:p w:rsidR="007459E2" w:rsidRPr="00607BF9" w:rsidRDefault="007459E2" w:rsidP="007459E2">
      <w:pPr>
        <w:pStyle w:val="NormalBold12b"/>
      </w:pPr>
      <w:r w:rsidRPr="00607BF9">
        <w:t>Návrh nařízení</w:t>
      </w:r>
    </w:p>
    <w:p w:rsidR="007459E2" w:rsidRPr="00607BF9" w:rsidRDefault="007459E2" w:rsidP="007459E2">
      <w:pPr>
        <w:pStyle w:val="NormalBold"/>
      </w:pPr>
      <w:r w:rsidRPr="00607BF9">
        <w:t>Čl. 1 – odst. 1 – bod 1 a (nový)</w:t>
      </w:r>
    </w:p>
    <w:p w:rsidR="007459E2" w:rsidRPr="00607BF9" w:rsidRDefault="007459E2" w:rsidP="007459E2">
      <w:r w:rsidRPr="00607BF9">
        <w:t>Nařízení (EU) 2017/852</w:t>
      </w:r>
    </w:p>
    <w:p w:rsidR="007459E2" w:rsidRPr="00607BF9" w:rsidRDefault="007459E2" w:rsidP="007459E2">
      <w:r w:rsidRPr="00607BF9">
        <w:t>Čl. 11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59E2" w:rsidRPr="00607BF9" w:rsidTr="00647C27">
        <w:trPr>
          <w:trHeight w:hRule="exact" w:val="240"/>
          <w:jc w:val="center"/>
        </w:trPr>
        <w:tc>
          <w:tcPr>
            <w:tcW w:w="9752" w:type="dxa"/>
            <w:gridSpan w:val="2"/>
          </w:tcPr>
          <w:p w:rsidR="007459E2" w:rsidRPr="00607BF9" w:rsidRDefault="007459E2" w:rsidP="00647C27"/>
        </w:tc>
      </w:tr>
      <w:tr w:rsidR="007459E2" w:rsidRPr="00607BF9" w:rsidTr="00647C27">
        <w:trPr>
          <w:trHeight w:val="240"/>
          <w:jc w:val="center"/>
        </w:trPr>
        <w:tc>
          <w:tcPr>
            <w:tcW w:w="4876" w:type="dxa"/>
          </w:tcPr>
          <w:p w:rsidR="007459E2" w:rsidRPr="00607BF9" w:rsidRDefault="007459E2" w:rsidP="00647C27">
            <w:pPr>
              <w:pStyle w:val="AmColumnHeading"/>
            </w:pPr>
            <w:r w:rsidRPr="00607BF9">
              <w:t>Znění navržené Komisí</w:t>
            </w:r>
          </w:p>
        </w:tc>
        <w:tc>
          <w:tcPr>
            <w:tcW w:w="4876" w:type="dxa"/>
          </w:tcPr>
          <w:p w:rsidR="007459E2" w:rsidRPr="00607BF9" w:rsidRDefault="007459E2" w:rsidP="00647C27">
            <w:pPr>
              <w:pStyle w:val="AmColumnHeading"/>
            </w:pPr>
            <w:r w:rsidRPr="00607BF9">
              <w:t>Pozměňovací návrh</w:t>
            </w:r>
          </w:p>
        </w:tc>
      </w:tr>
      <w:tr w:rsidR="007459E2" w:rsidRPr="00607BF9" w:rsidTr="00647C27">
        <w:trPr>
          <w:jc w:val="center"/>
        </w:trPr>
        <w:tc>
          <w:tcPr>
            <w:tcW w:w="4876" w:type="dxa"/>
          </w:tcPr>
          <w:p w:rsidR="007459E2" w:rsidRPr="00607BF9" w:rsidRDefault="007459E2" w:rsidP="00647C27">
            <w:pPr>
              <w:pStyle w:val="Normal6a"/>
            </w:pPr>
          </w:p>
        </w:tc>
        <w:tc>
          <w:tcPr>
            <w:tcW w:w="4876" w:type="dxa"/>
          </w:tcPr>
          <w:p w:rsidR="007459E2" w:rsidRPr="00607BF9" w:rsidRDefault="007459E2" w:rsidP="00647C27">
            <w:pPr>
              <w:pStyle w:val="Normal6a"/>
            </w:pPr>
            <w:r w:rsidRPr="00607BF9">
              <w:rPr>
                <w:b/>
                <w:i/>
              </w:rPr>
              <w:t>(1a)</w:t>
            </w:r>
            <w:r w:rsidRPr="00607BF9">
              <w:tab/>
            </w:r>
            <w:r w:rsidRPr="00607BF9">
              <w:rPr>
                <w:b/>
                <w:i/>
              </w:rPr>
              <w:t>V článku 11 se doplňuje nový odstavec, který zní:</w:t>
            </w:r>
          </w:p>
        </w:tc>
      </w:tr>
      <w:tr w:rsidR="007459E2" w:rsidRPr="00607BF9" w:rsidTr="00647C27">
        <w:trPr>
          <w:jc w:val="center"/>
        </w:trPr>
        <w:tc>
          <w:tcPr>
            <w:tcW w:w="4876" w:type="dxa"/>
          </w:tcPr>
          <w:p w:rsidR="007459E2" w:rsidRPr="00607BF9" w:rsidRDefault="007459E2" w:rsidP="00647C27">
            <w:pPr>
              <w:pStyle w:val="Normal6a"/>
            </w:pPr>
          </w:p>
        </w:tc>
        <w:tc>
          <w:tcPr>
            <w:tcW w:w="4876" w:type="dxa"/>
          </w:tcPr>
          <w:p w:rsidR="007459E2" w:rsidRPr="00607BF9" w:rsidRDefault="007459E2" w:rsidP="00647C27">
            <w:pPr>
              <w:pStyle w:val="Normal6a"/>
            </w:pPr>
            <w:r w:rsidRPr="00607BF9">
              <w:rPr>
                <w:b/>
                <w:i/>
              </w:rPr>
              <w:t>„Výrobky s přidanou rtutí, které jsou stále v oběhu  a které již nelze používat, se považují za odpad a jejich sběr je prováděn odděleně a způsobem šetrným k životnímu prostředí.“</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9</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Čl. 1 – odst. 1 – bod 1 b (nový)</w:t>
      </w:r>
    </w:p>
    <w:p w:rsidR="007459E2" w:rsidRPr="00607BF9" w:rsidRDefault="007459E2" w:rsidP="007459E2">
      <w:pPr>
        <w:keepNext/>
      </w:pPr>
      <w:r w:rsidRPr="00607BF9">
        <w:t>Nařízení (EU) 2017/852</w:t>
      </w:r>
    </w:p>
    <w:p w:rsidR="007459E2" w:rsidRPr="00607BF9" w:rsidRDefault="007459E2" w:rsidP="007459E2">
      <w:r w:rsidRPr="00607BF9">
        <w:t>Čl. 18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(1b)</w:t>
            </w:r>
            <w:r w:rsidRPr="00607BF9">
              <w:rPr>
                <w:b/>
                <w:i/>
              </w:rPr>
              <w:tab/>
              <w:t>V článku 18 se doplňuje nový odstavec, který zní:</w:t>
            </w:r>
          </w:p>
        </w:tc>
      </w:tr>
      <w:tr w:rsidR="007459E2" w:rsidRPr="00607BF9" w:rsidTr="00647C27">
        <w:trPr>
          <w:jc w:val="center"/>
        </w:trPr>
        <w:tc>
          <w:tcPr>
            <w:tcW w:w="4876" w:type="dxa"/>
          </w:tcPr>
          <w:p w:rsidR="007459E2" w:rsidRPr="00607BF9" w:rsidRDefault="007459E2" w:rsidP="00647C27">
            <w:pPr>
              <w:pStyle w:val="Normal6a"/>
            </w:pPr>
          </w:p>
        </w:tc>
        <w:tc>
          <w:tcPr>
            <w:tcW w:w="4876" w:type="dxa"/>
          </w:tcPr>
          <w:p w:rsidR="007459E2" w:rsidRPr="00607BF9" w:rsidRDefault="007459E2" w:rsidP="006A3EBE">
            <w:pPr>
              <w:pStyle w:val="Normal6a"/>
              <w:rPr>
                <w:szCs w:val="24"/>
              </w:rPr>
            </w:pPr>
            <w:r w:rsidRPr="00607BF9">
              <w:rPr>
                <w:b/>
                <w:i/>
              </w:rPr>
              <w:t>„3a.</w:t>
            </w:r>
            <w:r w:rsidRPr="00607BF9">
              <w:rPr>
                <w:b/>
                <w:i/>
              </w:rPr>
              <w:tab/>
              <w:t xml:space="preserve">Do </w:t>
            </w:r>
            <w:r w:rsidR="006A3EBE" w:rsidRPr="00607BF9">
              <w:rPr>
                <w:b/>
                <w:i/>
              </w:rPr>
              <w:t>3</w:t>
            </w:r>
            <w:r w:rsidR="006A3EBE">
              <w:rPr>
                <w:b/>
                <w:i/>
              </w:rPr>
              <w:t>0</w:t>
            </w:r>
            <w:r w:rsidRPr="00607BF9">
              <w:rPr>
                <w:b/>
                <w:i/>
              </w:rPr>
              <w:t>. června 2024 a poté každé dva roky předloží členské státy Komisi zprávu o plánovaných a provedených opatřeních ke snížení emisí a úniků rtuti z krematorií.</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Komise údaje o opatřeních oznámených členskými státy v souladu s prvním pododstavcem zpřístupní veřejnosti.“</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10</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Čl. 1 – odst. 1 – bod 1 c (nový)</w:t>
      </w:r>
    </w:p>
    <w:p w:rsidR="007459E2" w:rsidRPr="00607BF9" w:rsidRDefault="007459E2" w:rsidP="007459E2">
      <w:pPr>
        <w:keepNext/>
      </w:pPr>
      <w:r w:rsidRPr="00607BF9">
        <w:t>Nařízení (EU) 2017/852</w:t>
      </w:r>
    </w:p>
    <w:p w:rsidR="007459E2" w:rsidRPr="00607BF9" w:rsidRDefault="007459E2" w:rsidP="007459E2">
      <w:r w:rsidRPr="00607BF9">
        <w:t>Čl. 19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(1c)</w:t>
            </w:r>
            <w:r w:rsidRPr="00607BF9">
              <w:rPr>
                <w:b/>
                <w:i/>
              </w:rPr>
              <w:tab/>
              <w:t xml:space="preserve">V článku 19 se doplňuje nový </w:t>
            </w:r>
            <w:r w:rsidRPr="00607BF9">
              <w:rPr>
                <w:b/>
                <w:i/>
              </w:rPr>
              <w:lastRenderedPageBreak/>
              <w:t>odstavec, který zní:</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 xml:space="preserve">„1a. </w:t>
            </w:r>
            <w:r w:rsidRPr="00607BF9">
              <w:rPr>
                <w:b/>
                <w:i/>
              </w:rPr>
              <w:tab/>
              <w:t>Do 31. prosince 2025 předloží Komise Evropskému parlamentu a Radě zprávu o snižování emisí a úniků rtuti z krematorií na základě zpráv podle čl. 18 odst. 3a a případně návrh pokynů pro technologie pro snižování emisí a úniků rtuti z krematorií a jejich kontrolu, přičemž zohlední stávající pokyny.“</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11</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Čl. 1 – odst. 1 – bod 1 d (nový)</w:t>
      </w:r>
    </w:p>
    <w:p w:rsidR="007459E2" w:rsidRPr="00607BF9" w:rsidRDefault="007459E2" w:rsidP="007459E2">
      <w:pPr>
        <w:keepNext/>
      </w:pPr>
      <w:r w:rsidRPr="00607BF9">
        <w:t>Nařízení (EU) 2017/852</w:t>
      </w:r>
    </w:p>
    <w:p w:rsidR="007459E2" w:rsidRPr="00607BF9" w:rsidRDefault="007459E2" w:rsidP="007459E2">
      <w:r w:rsidRPr="00607BF9">
        <w:t>Čl. 19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Znění navržené Komisí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(1d)</w:t>
            </w:r>
            <w:r w:rsidRPr="00607BF9">
              <w:rPr>
                <w:b/>
                <w:i/>
              </w:rPr>
              <w:tab/>
              <w:t>V článku 19 se doplňuje nový odstavec, který zní:</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„2a.</w:t>
            </w:r>
            <w:r w:rsidRPr="00607BF9">
              <w:rPr>
                <w:b/>
                <w:i/>
              </w:rPr>
              <w:tab/>
              <w:t>Do 30. června 2026 předloží Komise Evropskému parlamentu a Radě zprávu, v níž posoudí, zda je proveditelné zrušit do roku 2030 výjimky pro používání zubního amalgámu uvedené v článku 10. V této zprávě rovněž nastíní dopad na zdraví pacientů obecně, jakož i pacientů závislých na amalgámových výplních.</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Spolu se zprávou uvedenou v prvním pododstavci Komise případně předloží návrhy opatření.</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Nejpozději do 31. prosince 2026 předloží Komise Evropskému parlamentu a Radě zprávu o:</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 xml:space="preserve">a) </w:t>
            </w:r>
            <w:r w:rsidRPr="00607BF9">
              <w:rPr>
                <w:b/>
                <w:i/>
              </w:rPr>
              <w:tab/>
              <w:t>provádění a prosazování úmluvy, mimo jiné pokud jde o postupné ukončení používání rtuti v kosmetických přípravcích smluvními stranami úmluvy a kontrolu do roku 2025 a ukončení výroby, dovozu a vývozu sloučenin rtuti pro nezákonné postupy v Unii i ve světě;</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b)</w:t>
            </w:r>
            <w:r w:rsidRPr="00607BF9">
              <w:rPr>
                <w:b/>
                <w:i/>
              </w:rPr>
              <w:tab/>
              <w:t xml:space="preserve"> potřebě postupně ukončit zbývající způsoby použití rtuti, například v majácích a </w:t>
            </w:r>
            <w:proofErr w:type="spellStart"/>
            <w:r w:rsidRPr="00607BF9">
              <w:rPr>
                <w:b/>
                <w:i/>
              </w:rPr>
              <w:t>porosimetrii</w:t>
            </w:r>
            <w:proofErr w:type="spellEnd"/>
            <w:r w:rsidRPr="00607BF9">
              <w:rPr>
                <w:b/>
                <w:i/>
              </w:rPr>
              <w:t>;</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rPr>
              <w:t xml:space="preserve">c) </w:t>
            </w:r>
            <w:r w:rsidRPr="00607BF9">
              <w:rPr>
                <w:b/>
                <w:i/>
              </w:rPr>
              <w:tab/>
              <w:t xml:space="preserve">potřebě rozšířit seznam zdrojů </w:t>
            </w:r>
            <w:r w:rsidRPr="00607BF9">
              <w:rPr>
                <w:b/>
                <w:i/>
              </w:rPr>
              <w:lastRenderedPageBreak/>
              <w:t>rtuťového odpadu podle článku 11.</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szCs w:val="24"/>
              </w:rPr>
            </w:pPr>
            <w:r w:rsidRPr="00607BF9">
              <w:rPr>
                <w:b/>
                <w:i/>
                <w:iCs/>
              </w:rPr>
              <w:t>Spolu se zprávou podle třetího pododstavce tohoto odstavce Komise případně předloží návrhy opatření, jako je přezkum nařízení Evropského parlamentu a Rady (EU) č. 649/2012</w:t>
            </w:r>
            <w:r w:rsidRPr="00607BF9">
              <w:rPr>
                <w:b/>
                <w:i/>
                <w:iCs/>
                <w:vertAlign w:val="superscript"/>
              </w:rPr>
              <w:t>1a</w:t>
            </w:r>
            <w:r w:rsidR="008D1507">
              <w:rPr>
                <w:b/>
                <w:i/>
                <w:iCs/>
              </w:rPr>
              <w:t xml:space="preserve"> </w:t>
            </w:r>
            <w:r w:rsidRPr="00607BF9">
              <w:rPr>
                <w:b/>
                <w:i/>
                <w:iCs/>
              </w:rPr>
              <w:t xml:space="preserve">a omezení vývozu </w:t>
            </w:r>
            <w:proofErr w:type="spellStart"/>
            <w:r w:rsidRPr="00607BF9">
              <w:rPr>
                <w:b/>
                <w:i/>
                <w:iCs/>
              </w:rPr>
              <w:t>amidochloridu</w:t>
            </w:r>
            <w:proofErr w:type="spellEnd"/>
            <w:r w:rsidRPr="00607BF9">
              <w:rPr>
                <w:b/>
                <w:i/>
                <w:iCs/>
              </w:rPr>
              <w:t xml:space="preserve"> rtuťnatého (HgNH2 Cl).</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b/>
                <w:i/>
              </w:rPr>
            </w:pPr>
            <w:r w:rsidRPr="00607BF9">
              <w:rPr>
                <w:b/>
                <w:i/>
              </w:rPr>
              <w:t>__________________________________</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647C27">
            <w:pPr>
              <w:pStyle w:val="Normal6"/>
              <w:rPr>
                <w:b/>
                <w:i/>
              </w:rPr>
            </w:pPr>
            <w:r w:rsidRPr="00607BF9">
              <w:rPr>
                <w:b/>
                <w:i/>
                <w:vertAlign w:val="superscript"/>
              </w:rPr>
              <w:t>1a</w:t>
            </w:r>
            <w:r w:rsidRPr="00607BF9">
              <w:rPr>
                <w:b/>
                <w:i/>
              </w:rPr>
              <w:t xml:space="preserve"> Nařízení Evropského parlamentu a Rady (EU) č. 649/2012 ze dne 4. července 2012 o vývozu a dovozu nebezpečných chemických látek (</w:t>
            </w:r>
            <w:proofErr w:type="spellStart"/>
            <w:r w:rsidRPr="00607BF9">
              <w:rPr>
                <w:b/>
                <w:i/>
              </w:rPr>
              <w:t>Úř</w:t>
            </w:r>
            <w:proofErr w:type="spellEnd"/>
            <w:r w:rsidRPr="00607BF9">
              <w:rPr>
                <w:b/>
                <w:i/>
              </w:rPr>
              <w:t xml:space="preserve">. </w:t>
            </w:r>
            <w:proofErr w:type="spellStart"/>
            <w:proofErr w:type="gramStart"/>
            <w:r w:rsidRPr="00607BF9">
              <w:rPr>
                <w:b/>
                <w:i/>
              </w:rPr>
              <w:t>věst</w:t>
            </w:r>
            <w:proofErr w:type="spellEnd"/>
            <w:proofErr w:type="gramEnd"/>
            <w:r w:rsidRPr="00607BF9">
              <w:rPr>
                <w:b/>
                <w:i/>
              </w:rPr>
              <w:t xml:space="preserve">. L 201, </w:t>
            </w:r>
            <w:proofErr w:type="gramStart"/>
            <w:r w:rsidRPr="00607BF9">
              <w:rPr>
                <w:b/>
                <w:i/>
              </w:rPr>
              <w:t>27.7.2012</w:t>
            </w:r>
            <w:proofErr w:type="gramEnd"/>
            <w:r w:rsidRPr="00607BF9">
              <w:rPr>
                <w:b/>
                <w:i/>
              </w:rPr>
              <w:t>, s. 60).“</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12</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Čl. 1 – odst. 1 – bod 1 e (nový)</w:t>
      </w:r>
    </w:p>
    <w:p w:rsidR="007459E2" w:rsidRPr="00607BF9" w:rsidRDefault="007459E2" w:rsidP="007459E2">
      <w:pPr>
        <w:keepNext/>
      </w:pPr>
      <w:r w:rsidRPr="00607BF9">
        <w:t>Nařízení (EU) 2017/852</w:t>
      </w:r>
    </w:p>
    <w:p w:rsidR="007459E2" w:rsidRPr="00607BF9" w:rsidRDefault="007459E2" w:rsidP="007459E2">
      <w:r w:rsidRPr="00607BF9">
        <w:t>Čl. 19 – odst.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keepNext/>
            </w:pPr>
          </w:p>
        </w:tc>
      </w:tr>
      <w:tr w:rsidR="007459E2" w:rsidRPr="00607BF9" w:rsidTr="00647C27">
        <w:trPr>
          <w:jc w:val="center"/>
        </w:trPr>
        <w:tc>
          <w:tcPr>
            <w:tcW w:w="4876" w:type="dxa"/>
          </w:tcPr>
          <w:p w:rsidR="007459E2" w:rsidRPr="00607BF9" w:rsidRDefault="007459E2" w:rsidP="00647C27">
            <w:pPr>
              <w:pStyle w:val="ColumnHeading"/>
              <w:keepNext/>
            </w:pPr>
            <w:r w:rsidRPr="00607BF9">
              <w:t>Platné znění</w:t>
            </w:r>
          </w:p>
        </w:tc>
        <w:tc>
          <w:tcPr>
            <w:tcW w:w="4876" w:type="dxa"/>
          </w:tcPr>
          <w:p w:rsidR="007459E2" w:rsidRPr="00607BF9" w:rsidRDefault="007459E2" w:rsidP="00647C27">
            <w:pPr>
              <w:pStyle w:val="ColumnHeading"/>
              <w:keepNext/>
            </w:pPr>
            <w:r w:rsidRPr="00607BF9">
              <w:t>Pozměňovací návrh</w:t>
            </w:r>
          </w:p>
        </w:tc>
      </w:tr>
      <w:tr w:rsidR="007459E2" w:rsidRPr="00607BF9" w:rsidTr="00647C27">
        <w:trPr>
          <w:jc w:val="center"/>
        </w:trPr>
        <w:tc>
          <w:tcPr>
            <w:tcW w:w="4876" w:type="dxa"/>
          </w:tcPr>
          <w:p w:rsidR="007459E2" w:rsidRPr="00607BF9" w:rsidRDefault="007459E2" w:rsidP="00647C27">
            <w:pPr>
              <w:pStyle w:val="Normal6"/>
            </w:pPr>
          </w:p>
        </w:tc>
        <w:tc>
          <w:tcPr>
            <w:tcW w:w="4876" w:type="dxa"/>
          </w:tcPr>
          <w:p w:rsidR="007459E2" w:rsidRPr="00607BF9" w:rsidRDefault="007459E2" w:rsidP="00C004C1">
            <w:pPr>
              <w:pStyle w:val="Normal6"/>
              <w:rPr>
                <w:szCs w:val="24"/>
              </w:rPr>
            </w:pPr>
            <w:r w:rsidRPr="00607BF9">
              <w:rPr>
                <w:b/>
                <w:i/>
              </w:rPr>
              <w:t>(</w:t>
            </w:r>
            <w:r w:rsidR="00C004C1" w:rsidRPr="00607BF9">
              <w:rPr>
                <w:b/>
                <w:i/>
              </w:rPr>
              <w:t>1</w:t>
            </w:r>
            <w:r w:rsidR="00C004C1">
              <w:rPr>
                <w:b/>
                <w:i/>
              </w:rPr>
              <w:t>e</w:t>
            </w:r>
            <w:r w:rsidRPr="00607BF9">
              <w:rPr>
                <w:b/>
                <w:i/>
              </w:rPr>
              <w:t>)</w:t>
            </w:r>
            <w:r w:rsidRPr="00607BF9">
              <w:rPr>
                <w:b/>
                <w:i/>
              </w:rPr>
              <w:tab/>
              <w:t>V článku 19 se odstavec 3 nahrazuje tímto:</w:t>
            </w:r>
          </w:p>
        </w:tc>
      </w:tr>
      <w:tr w:rsidR="007459E2" w:rsidRPr="00607BF9" w:rsidTr="00647C27">
        <w:trPr>
          <w:jc w:val="center"/>
        </w:trPr>
        <w:tc>
          <w:tcPr>
            <w:tcW w:w="4876" w:type="dxa"/>
          </w:tcPr>
          <w:p w:rsidR="007459E2" w:rsidRPr="00607BF9" w:rsidRDefault="007459E2" w:rsidP="00647C27">
            <w:pPr>
              <w:pStyle w:val="Normal6"/>
            </w:pPr>
            <w:r w:rsidRPr="00607BF9">
              <w:t xml:space="preserve">3. </w:t>
            </w:r>
            <w:r w:rsidRPr="00607BF9">
              <w:rPr>
                <w:b/>
                <w:i/>
              </w:rPr>
              <w:tab/>
            </w:r>
            <w:r w:rsidRPr="00607BF9">
              <w:t xml:space="preserve">Komise případně spolu se svými zprávami uvedenými v </w:t>
            </w:r>
            <w:r w:rsidRPr="00607BF9">
              <w:rPr>
                <w:b/>
                <w:i/>
              </w:rPr>
              <w:t>odstavcích 1 a 2</w:t>
            </w:r>
            <w:r w:rsidRPr="00607BF9">
              <w:t xml:space="preserve"> předloží legislativní návrh.</w:t>
            </w:r>
          </w:p>
        </w:tc>
        <w:tc>
          <w:tcPr>
            <w:tcW w:w="4876" w:type="dxa"/>
          </w:tcPr>
          <w:p w:rsidR="007459E2" w:rsidRPr="00607BF9" w:rsidRDefault="007459E2" w:rsidP="00647C27">
            <w:pPr>
              <w:pStyle w:val="Normal6"/>
              <w:rPr>
                <w:szCs w:val="24"/>
              </w:rPr>
            </w:pPr>
            <w:r w:rsidRPr="00607BF9">
              <w:t xml:space="preserve">„3. </w:t>
            </w:r>
            <w:r w:rsidRPr="00607BF9">
              <w:rPr>
                <w:b/>
                <w:i/>
              </w:rPr>
              <w:tab/>
            </w:r>
            <w:r w:rsidRPr="00607BF9">
              <w:t xml:space="preserve">Komise případně spolu se svými zprávami uvedenými v </w:t>
            </w:r>
            <w:r w:rsidRPr="00607BF9">
              <w:rPr>
                <w:b/>
                <w:i/>
              </w:rPr>
              <w:t>tomto článku</w:t>
            </w:r>
            <w:r w:rsidRPr="00607BF9">
              <w:t xml:space="preserve"> předloží legislativní návrh.</w:t>
            </w:r>
            <w:r w:rsidRPr="00607BF9">
              <w:rPr>
                <w:b/>
                <w:i/>
              </w:rPr>
              <w:t>“</w:t>
            </w:r>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13</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Příloha – odst. 1 – bod 2</w:t>
      </w:r>
    </w:p>
    <w:p w:rsidR="007459E2" w:rsidRPr="00607BF9" w:rsidRDefault="007459E2" w:rsidP="007459E2">
      <w:pPr>
        <w:keepNext/>
      </w:pPr>
      <w:r w:rsidRPr="00607BF9">
        <w:t>Nařízení (EU) 2017/852</w:t>
      </w:r>
    </w:p>
    <w:p w:rsidR="007459E2" w:rsidRPr="00607BF9" w:rsidRDefault="007459E2" w:rsidP="007459E2">
      <w:r w:rsidRPr="00607BF9">
        <w:t>Příloha II – část A – údaj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pStyle w:val="ColumnHeading"/>
              <w:keepNext/>
            </w:pPr>
            <w:r w:rsidRPr="00607BF9">
              <w:t>Znění navržené Komisí</w:t>
            </w:r>
          </w:p>
        </w:tc>
      </w:tr>
      <w:tr w:rsidR="007459E2" w:rsidRPr="00607BF9" w:rsidTr="00647C27">
        <w:trPr>
          <w:jc w:val="center"/>
        </w:trPr>
        <w:tc>
          <w:tcPr>
            <w:tcW w:w="4876" w:type="dxa"/>
          </w:tcPr>
          <w:p w:rsidR="007459E2" w:rsidRPr="00607BF9" w:rsidRDefault="007459E2" w:rsidP="00647C27">
            <w:pPr>
              <w:pStyle w:val="Normal6a"/>
              <w:rPr>
                <w:noProof/>
              </w:rPr>
            </w:pPr>
            <w:r w:rsidRPr="00607BF9">
              <w:t xml:space="preserve">„4a. </w:t>
            </w:r>
            <w:proofErr w:type="spellStart"/>
            <w:r w:rsidRPr="00607BF9">
              <w:t>Trifosfátové</w:t>
            </w:r>
            <w:proofErr w:type="spellEnd"/>
            <w:r w:rsidRPr="00607BF9">
              <w:t xml:space="preserve"> zářivky pro všeobecné osvětlení, které nejsou zahrnuty do položky 4 písm. a).</w:t>
            </w:r>
          </w:p>
        </w:tc>
        <w:tc>
          <w:tcPr>
            <w:tcW w:w="4876" w:type="dxa"/>
          </w:tcPr>
          <w:p w:rsidR="007459E2" w:rsidRPr="00607BF9" w:rsidRDefault="007459E2" w:rsidP="00647C27">
            <w:pPr>
              <w:pStyle w:val="Normal6a"/>
              <w:jc w:val="center"/>
              <w:rPr>
                <w:noProof/>
                <w:szCs w:val="24"/>
              </w:rPr>
            </w:pPr>
            <w:proofErr w:type="gramStart"/>
            <w:r w:rsidRPr="00607BF9">
              <w:rPr>
                <w:b/>
                <w:i/>
                <w:sz w:val="20"/>
              </w:rPr>
              <w:t>31.12.2027</w:t>
            </w:r>
            <w:proofErr w:type="gramEnd"/>
          </w:p>
        </w:tc>
      </w:tr>
      <w:tr w:rsidR="007459E2" w:rsidRPr="00607BF9" w:rsidTr="00647C27">
        <w:trPr>
          <w:jc w:val="center"/>
        </w:trPr>
        <w:tc>
          <w:tcPr>
            <w:tcW w:w="9752" w:type="dxa"/>
            <w:gridSpan w:val="2"/>
          </w:tcPr>
          <w:p w:rsidR="007459E2" w:rsidRPr="00607BF9" w:rsidRDefault="007459E2" w:rsidP="00647C27">
            <w:pPr>
              <w:pStyle w:val="ColumnHeading"/>
              <w:keepNext/>
              <w:rPr>
                <w:szCs w:val="24"/>
              </w:rPr>
            </w:pPr>
            <w:r w:rsidRPr="00607BF9">
              <w:t>Pozměňovací návrh</w:t>
            </w:r>
          </w:p>
        </w:tc>
      </w:tr>
      <w:tr w:rsidR="007459E2" w:rsidRPr="00607BF9" w:rsidTr="00647C27">
        <w:trPr>
          <w:jc w:val="center"/>
        </w:trPr>
        <w:tc>
          <w:tcPr>
            <w:tcW w:w="4876" w:type="dxa"/>
          </w:tcPr>
          <w:p w:rsidR="007459E2" w:rsidRPr="00607BF9" w:rsidRDefault="007459E2" w:rsidP="00647C27">
            <w:pPr>
              <w:pStyle w:val="Normal6a"/>
              <w:rPr>
                <w:noProof/>
              </w:rPr>
            </w:pPr>
            <w:r w:rsidRPr="00607BF9">
              <w:t xml:space="preserve">„4a. </w:t>
            </w:r>
            <w:proofErr w:type="spellStart"/>
            <w:r w:rsidRPr="00607BF9">
              <w:t>Trifosfátové</w:t>
            </w:r>
            <w:proofErr w:type="spellEnd"/>
            <w:r w:rsidRPr="00607BF9">
              <w:t xml:space="preserve"> zářivky pro všeobecné osvětlení, které nejsou zahrnuty do položky </w:t>
            </w:r>
            <w:r w:rsidRPr="00607BF9">
              <w:lastRenderedPageBreak/>
              <w:t>4 písm. a).</w:t>
            </w:r>
          </w:p>
        </w:tc>
        <w:tc>
          <w:tcPr>
            <w:tcW w:w="4876" w:type="dxa"/>
          </w:tcPr>
          <w:p w:rsidR="007459E2" w:rsidRPr="00607BF9" w:rsidRDefault="007459E2" w:rsidP="00647C27">
            <w:pPr>
              <w:pStyle w:val="Normal6a"/>
              <w:jc w:val="center"/>
              <w:rPr>
                <w:noProof/>
                <w:szCs w:val="24"/>
              </w:rPr>
            </w:pPr>
            <w:proofErr w:type="gramStart"/>
            <w:r w:rsidRPr="00607BF9">
              <w:rPr>
                <w:b/>
                <w:i/>
                <w:sz w:val="20"/>
              </w:rPr>
              <w:lastRenderedPageBreak/>
              <w:t>31.12.2025</w:t>
            </w:r>
            <w:proofErr w:type="gramEnd"/>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14</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Příloha – odst. 1 – bod 2</w:t>
      </w:r>
    </w:p>
    <w:p w:rsidR="007459E2" w:rsidRPr="00607BF9" w:rsidRDefault="007459E2" w:rsidP="007459E2">
      <w:pPr>
        <w:keepNext/>
      </w:pPr>
      <w:r w:rsidRPr="00607BF9">
        <w:t>Nařízení (EU) 2017/852</w:t>
      </w:r>
    </w:p>
    <w:p w:rsidR="007459E2" w:rsidRPr="00607BF9" w:rsidRDefault="007459E2" w:rsidP="007459E2">
      <w:r w:rsidRPr="00607BF9">
        <w:t>Příloha II – část A – údaj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pStyle w:val="ColumnHeading"/>
              <w:keepNext/>
            </w:pPr>
            <w:r w:rsidRPr="00607BF9">
              <w:t>Znění navržené Komisí</w:t>
            </w:r>
          </w:p>
        </w:tc>
      </w:tr>
      <w:tr w:rsidR="007459E2" w:rsidRPr="00607BF9" w:rsidTr="00647C27">
        <w:trPr>
          <w:jc w:val="center"/>
        </w:trPr>
        <w:tc>
          <w:tcPr>
            <w:tcW w:w="4876" w:type="dxa"/>
          </w:tcPr>
          <w:p w:rsidR="007459E2" w:rsidRPr="00607BF9" w:rsidRDefault="007459E2" w:rsidP="00647C27">
            <w:pPr>
              <w:pStyle w:val="Normal6a"/>
              <w:rPr>
                <w:noProof/>
              </w:rPr>
            </w:pPr>
            <w:r w:rsidRPr="00607BF9">
              <w:t xml:space="preserve">4c. Netrubicové </w:t>
            </w:r>
            <w:proofErr w:type="spellStart"/>
            <w:r w:rsidRPr="00607BF9">
              <w:t>trifosfátové</w:t>
            </w:r>
            <w:proofErr w:type="spellEnd"/>
            <w:r w:rsidRPr="00607BF9">
              <w:t xml:space="preserve"> zářivky.</w:t>
            </w:r>
          </w:p>
        </w:tc>
        <w:tc>
          <w:tcPr>
            <w:tcW w:w="4876" w:type="dxa"/>
          </w:tcPr>
          <w:p w:rsidR="007459E2" w:rsidRPr="00607BF9" w:rsidRDefault="007459E2" w:rsidP="00647C27">
            <w:pPr>
              <w:pStyle w:val="Normal6a"/>
              <w:jc w:val="center"/>
              <w:rPr>
                <w:noProof/>
                <w:szCs w:val="24"/>
              </w:rPr>
            </w:pPr>
            <w:proofErr w:type="gramStart"/>
            <w:r w:rsidRPr="00607BF9">
              <w:rPr>
                <w:b/>
                <w:i/>
                <w:sz w:val="20"/>
              </w:rPr>
              <w:t>31.12.2027</w:t>
            </w:r>
            <w:proofErr w:type="gramEnd"/>
          </w:p>
        </w:tc>
      </w:tr>
      <w:tr w:rsidR="007459E2" w:rsidRPr="00607BF9" w:rsidTr="00647C27">
        <w:trPr>
          <w:jc w:val="center"/>
        </w:trPr>
        <w:tc>
          <w:tcPr>
            <w:tcW w:w="9752" w:type="dxa"/>
            <w:gridSpan w:val="2"/>
          </w:tcPr>
          <w:p w:rsidR="007459E2" w:rsidRPr="00607BF9" w:rsidRDefault="007459E2" w:rsidP="00647C27">
            <w:pPr>
              <w:pStyle w:val="ColumnHeading"/>
              <w:keepNext/>
              <w:rPr>
                <w:szCs w:val="24"/>
              </w:rPr>
            </w:pPr>
            <w:r w:rsidRPr="00607BF9">
              <w:t>Pozměňovací návrh</w:t>
            </w:r>
          </w:p>
        </w:tc>
      </w:tr>
      <w:tr w:rsidR="007459E2" w:rsidRPr="00607BF9" w:rsidTr="00647C27">
        <w:trPr>
          <w:jc w:val="center"/>
        </w:trPr>
        <w:tc>
          <w:tcPr>
            <w:tcW w:w="4876" w:type="dxa"/>
          </w:tcPr>
          <w:p w:rsidR="007459E2" w:rsidRPr="00607BF9" w:rsidRDefault="007459E2" w:rsidP="00647C27">
            <w:pPr>
              <w:pStyle w:val="Normal6a"/>
            </w:pPr>
            <w:r w:rsidRPr="00607BF9">
              <w:t xml:space="preserve">4c. Netrubicové </w:t>
            </w:r>
            <w:proofErr w:type="spellStart"/>
            <w:r w:rsidRPr="00607BF9">
              <w:t>trifosfátové</w:t>
            </w:r>
            <w:proofErr w:type="spellEnd"/>
            <w:r w:rsidRPr="00607BF9">
              <w:t xml:space="preserve"> zářivky.</w:t>
            </w:r>
          </w:p>
        </w:tc>
        <w:tc>
          <w:tcPr>
            <w:tcW w:w="4876" w:type="dxa"/>
          </w:tcPr>
          <w:p w:rsidR="007459E2" w:rsidRPr="00607BF9" w:rsidRDefault="007459E2" w:rsidP="00647C27">
            <w:pPr>
              <w:pStyle w:val="Normal6a"/>
              <w:jc w:val="center"/>
            </w:pPr>
            <w:proofErr w:type="gramStart"/>
            <w:r w:rsidRPr="00607BF9">
              <w:rPr>
                <w:b/>
                <w:i/>
                <w:sz w:val="20"/>
              </w:rPr>
              <w:t>31.12.2025</w:t>
            </w:r>
            <w:proofErr w:type="gramEnd"/>
          </w:p>
        </w:tc>
      </w:tr>
    </w:tbl>
    <w:p w:rsidR="007459E2" w:rsidRPr="00607BF9" w:rsidRDefault="007459E2" w:rsidP="007459E2"/>
    <w:p w:rsidR="007459E2" w:rsidRPr="00607BF9" w:rsidRDefault="007459E2" w:rsidP="007459E2">
      <w:pPr>
        <w:pStyle w:val="AmNumberTabs"/>
      </w:pPr>
      <w:r w:rsidRPr="00607BF9">
        <w:t>Pozměňovací návrh</w:t>
      </w:r>
      <w:r w:rsidRPr="00607BF9">
        <w:tab/>
      </w:r>
      <w:r w:rsidRPr="00607BF9">
        <w:tab/>
        <w:t>15</w:t>
      </w:r>
    </w:p>
    <w:p w:rsidR="007459E2" w:rsidRPr="00607BF9" w:rsidRDefault="007459E2" w:rsidP="007459E2"/>
    <w:p w:rsidR="007459E2" w:rsidRPr="00607BF9" w:rsidRDefault="007459E2" w:rsidP="007459E2">
      <w:pPr>
        <w:pStyle w:val="NormalBold"/>
        <w:keepNext/>
      </w:pPr>
      <w:r w:rsidRPr="00607BF9">
        <w:t>Návrh nařízení</w:t>
      </w:r>
    </w:p>
    <w:p w:rsidR="007459E2" w:rsidRPr="00607BF9" w:rsidRDefault="007459E2" w:rsidP="007459E2">
      <w:pPr>
        <w:pStyle w:val="NormalBold"/>
      </w:pPr>
      <w:r w:rsidRPr="00607BF9">
        <w:t>Příloha – odst. 1 – bod 3</w:t>
      </w:r>
    </w:p>
    <w:p w:rsidR="007459E2" w:rsidRPr="00607BF9" w:rsidRDefault="007459E2" w:rsidP="007459E2">
      <w:pPr>
        <w:keepNext/>
      </w:pPr>
      <w:r w:rsidRPr="00607BF9">
        <w:t>Nařízení (EU) 2017/852</w:t>
      </w:r>
    </w:p>
    <w:p w:rsidR="007459E2" w:rsidRPr="00607BF9" w:rsidRDefault="007459E2" w:rsidP="007459E2">
      <w:r w:rsidRPr="00607BF9">
        <w:t>Příloha II – část A – údaj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7459E2" w:rsidRPr="00607BF9" w:rsidTr="00647C27">
        <w:trPr>
          <w:jc w:val="center"/>
        </w:trPr>
        <w:tc>
          <w:tcPr>
            <w:tcW w:w="9752" w:type="dxa"/>
            <w:gridSpan w:val="2"/>
          </w:tcPr>
          <w:p w:rsidR="007459E2" w:rsidRPr="00607BF9" w:rsidRDefault="007459E2" w:rsidP="00647C27">
            <w:pPr>
              <w:pStyle w:val="ColumnHeading"/>
              <w:keepNext/>
            </w:pPr>
            <w:r w:rsidRPr="00607BF9">
              <w:t>Znění navržené Komisí</w:t>
            </w:r>
          </w:p>
        </w:tc>
      </w:tr>
      <w:tr w:rsidR="007459E2" w:rsidRPr="00607BF9" w:rsidTr="00647C27">
        <w:trPr>
          <w:jc w:val="center"/>
        </w:trPr>
        <w:tc>
          <w:tcPr>
            <w:tcW w:w="4876" w:type="dxa"/>
          </w:tcPr>
          <w:p w:rsidR="007459E2" w:rsidRPr="00607BF9" w:rsidRDefault="007459E2" w:rsidP="00647C27">
            <w:pPr>
              <w:pStyle w:val="Normal6a"/>
              <w:jc w:val="center"/>
              <w:rPr>
                <w:noProof/>
              </w:rPr>
            </w:pPr>
            <w:r w:rsidRPr="00607BF9">
              <w:t>5a. Vysokotlaké rtuťové sodíkové výbojky (HPS) pro všeobecné osvětlení.</w:t>
            </w:r>
          </w:p>
        </w:tc>
        <w:tc>
          <w:tcPr>
            <w:tcW w:w="4876" w:type="dxa"/>
          </w:tcPr>
          <w:p w:rsidR="007459E2" w:rsidRPr="00607BF9" w:rsidRDefault="007459E2" w:rsidP="00647C27">
            <w:pPr>
              <w:pStyle w:val="Normal6a"/>
              <w:jc w:val="center"/>
              <w:rPr>
                <w:noProof/>
              </w:rPr>
            </w:pPr>
            <w:proofErr w:type="gramStart"/>
            <w:r w:rsidRPr="00607BF9">
              <w:t>31.12.2025</w:t>
            </w:r>
            <w:proofErr w:type="gramEnd"/>
          </w:p>
        </w:tc>
      </w:tr>
      <w:tr w:rsidR="007459E2" w:rsidRPr="00607BF9" w:rsidTr="00647C27">
        <w:trPr>
          <w:jc w:val="center"/>
        </w:trPr>
        <w:tc>
          <w:tcPr>
            <w:tcW w:w="9752" w:type="dxa"/>
            <w:gridSpan w:val="2"/>
          </w:tcPr>
          <w:p w:rsidR="007459E2" w:rsidRPr="00607BF9" w:rsidRDefault="007459E2" w:rsidP="00647C27">
            <w:pPr>
              <w:pStyle w:val="ColumnHeading"/>
              <w:keepNext/>
              <w:rPr>
                <w:szCs w:val="24"/>
              </w:rPr>
            </w:pPr>
            <w:r w:rsidRPr="00607BF9">
              <w:t>Pozměňovací návrh</w:t>
            </w:r>
          </w:p>
        </w:tc>
      </w:tr>
      <w:tr w:rsidR="007459E2" w:rsidRPr="00607BF9" w:rsidTr="00647C27">
        <w:trPr>
          <w:jc w:val="center"/>
        </w:trPr>
        <w:tc>
          <w:tcPr>
            <w:tcW w:w="4876" w:type="dxa"/>
          </w:tcPr>
          <w:p w:rsidR="007459E2" w:rsidRPr="00607BF9" w:rsidRDefault="007459E2" w:rsidP="00647C27">
            <w:pPr>
              <w:jc w:val="center"/>
              <w:rPr>
                <w:rFonts w:eastAsia="Arial"/>
                <w:b/>
                <w:i/>
              </w:rPr>
            </w:pPr>
            <w:r w:rsidRPr="00607BF9">
              <w:t xml:space="preserve">5a. Vysokotlaké rtuťové sodíkové výbojky (HPS) pro všeobecné osvětlení </w:t>
            </w:r>
            <w:r w:rsidRPr="00607BF9">
              <w:rPr>
                <w:b/>
                <w:bCs/>
                <w:i/>
                <w:iCs/>
              </w:rPr>
              <w:t>s:</w:t>
            </w:r>
          </w:p>
          <w:p w:rsidR="007459E2" w:rsidRPr="00607BF9" w:rsidRDefault="007459E2" w:rsidP="00647C27">
            <w:pPr>
              <w:jc w:val="center"/>
              <w:rPr>
                <w:rFonts w:eastAsia="Arial"/>
                <w:b/>
                <w:i/>
              </w:rPr>
            </w:pPr>
          </w:p>
          <w:p w:rsidR="007459E2" w:rsidRPr="00607BF9" w:rsidRDefault="007459E2" w:rsidP="00647C27">
            <w:pPr>
              <w:widowControl/>
              <w:spacing w:after="120"/>
              <w:ind w:left="714" w:hanging="357"/>
              <w:jc w:val="center"/>
              <w:rPr>
                <w:rFonts w:eastAsia="Arial"/>
                <w:b/>
                <w:i/>
                <w:color w:val="000000"/>
              </w:rPr>
            </w:pPr>
            <w:r w:rsidRPr="00607BF9">
              <w:rPr>
                <w:b/>
                <w:i/>
                <w:color w:val="000000"/>
              </w:rPr>
              <w:t>a)</w:t>
            </w:r>
            <w:r w:rsidRPr="00607BF9">
              <w:rPr>
                <w:b/>
                <w:i/>
                <w:color w:val="000000"/>
              </w:rPr>
              <w:tab/>
              <w:t xml:space="preserve">P ≤ 105 W převyšujícím 16 mg </w:t>
            </w:r>
            <w:proofErr w:type="spellStart"/>
            <w:r w:rsidRPr="00607BF9">
              <w:rPr>
                <w:b/>
                <w:i/>
                <w:color w:val="000000"/>
              </w:rPr>
              <w:t>Hg</w:t>
            </w:r>
            <w:proofErr w:type="spellEnd"/>
            <w:r w:rsidRPr="00607BF9">
              <w:rPr>
                <w:b/>
                <w:i/>
                <w:color w:val="000000"/>
              </w:rPr>
              <w:t>;</w:t>
            </w:r>
          </w:p>
          <w:p w:rsidR="007459E2" w:rsidRPr="00607BF9" w:rsidRDefault="007459E2" w:rsidP="00647C27">
            <w:pPr>
              <w:widowControl/>
              <w:spacing w:after="120"/>
              <w:ind w:left="714" w:hanging="357"/>
              <w:jc w:val="center"/>
              <w:rPr>
                <w:rFonts w:eastAsia="Arial"/>
                <w:b/>
                <w:i/>
                <w:color w:val="000000"/>
              </w:rPr>
            </w:pPr>
            <w:r w:rsidRPr="00607BF9">
              <w:rPr>
                <w:b/>
                <w:i/>
                <w:color w:val="000000"/>
              </w:rPr>
              <w:t>b)</w:t>
            </w:r>
            <w:r w:rsidRPr="00607BF9">
              <w:rPr>
                <w:b/>
                <w:i/>
                <w:color w:val="000000"/>
              </w:rPr>
              <w:tab/>
              <w:t xml:space="preserve">105 W &lt; P ≤ 155 W  převyšujícím 20 mg </w:t>
            </w:r>
            <w:proofErr w:type="spellStart"/>
            <w:r w:rsidRPr="00607BF9">
              <w:rPr>
                <w:b/>
                <w:i/>
                <w:color w:val="000000"/>
              </w:rPr>
              <w:t>Hg</w:t>
            </w:r>
            <w:proofErr w:type="spellEnd"/>
            <w:r w:rsidRPr="00607BF9">
              <w:rPr>
                <w:b/>
                <w:i/>
                <w:color w:val="000000"/>
              </w:rPr>
              <w:t>;</w:t>
            </w:r>
          </w:p>
          <w:p w:rsidR="007459E2" w:rsidRPr="00607BF9" w:rsidRDefault="007459E2" w:rsidP="00647C27">
            <w:pPr>
              <w:widowControl/>
              <w:spacing w:after="120"/>
              <w:ind w:left="714" w:hanging="357"/>
              <w:jc w:val="center"/>
              <w:rPr>
                <w:rFonts w:eastAsia="Arial"/>
                <w:b/>
                <w:i/>
                <w:color w:val="000000"/>
              </w:rPr>
            </w:pPr>
            <w:r w:rsidRPr="00607BF9">
              <w:rPr>
                <w:b/>
                <w:i/>
                <w:color w:val="000000"/>
              </w:rPr>
              <w:t>c)</w:t>
            </w:r>
            <w:r w:rsidRPr="00607BF9">
              <w:rPr>
                <w:b/>
                <w:i/>
                <w:color w:val="000000"/>
              </w:rPr>
              <w:tab/>
              <w:t xml:space="preserve">P &gt; 155 W převyšujícím 25 mg </w:t>
            </w:r>
            <w:proofErr w:type="spellStart"/>
            <w:r w:rsidRPr="00607BF9">
              <w:rPr>
                <w:b/>
                <w:i/>
                <w:color w:val="000000"/>
              </w:rPr>
              <w:t>Hg</w:t>
            </w:r>
            <w:proofErr w:type="spellEnd"/>
            <w:r w:rsidRPr="00607BF9">
              <w:rPr>
                <w:b/>
                <w:i/>
                <w:color w:val="000000"/>
              </w:rPr>
              <w:t>.</w:t>
            </w:r>
          </w:p>
        </w:tc>
        <w:tc>
          <w:tcPr>
            <w:tcW w:w="4876" w:type="dxa"/>
          </w:tcPr>
          <w:p w:rsidR="007459E2" w:rsidRPr="00607BF9" w:rsidRDefault="007459E2" w:rsidP="00647C27">
            <w:pPr>
              <w:pStyle w:val="Normal6a"/>
              <w:jc w:val="center"/>
              <w:rPr>
                <w:noProof/>
              </w:rPr>
            </w:pPr>
            <w:proofErr w:type="gramStart"/>
            <w:r w:rsidRPr="00607BF9">
              <w:t>31.12.2025</w:t>
            </w:r>
            <w:proofErr w:type="gramEnd"/>
          </w:p>
        </w:tc>
      </w:tr>
    </w:tbl>
    <w:p w:rsidR="007459E2" w:rsidRPr="00607BF9" w:rsidRDefault="007459E2" w:rsidP="007459E2"/>
    <w:sectPr w:rsidR="007459E2" w:rsidRPr="00607BF9" w:rsidSect="00607B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84C" w:rsidRPr="00607BF9" w:rsidRDefault="0027084C">
      <w:r w:rsidRPr="00607BF9">
        <w:separator/>
      </w:r>
    </w:p>
  </w:endnote>
  <w:endnote w:type="continuationSeparator" w:id="0">
    <w:p w:rsidR="0027084C" w:rsidRPr="00607BF9" w:rsidRDefault="0027084C">
      <w:r w:rsidRPr="00607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B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B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B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84C" w:rsidRPr="00607BF9" w:rsidRDefault="0027084C">
      <w:r w:rsidRPr="00607BF9">
        <w:separator/>
      </w:r>
    </w:p>
  </w:footnote>
  <w:footnote w:type="continuationSeparator" w:id="0">
    <w:p w:rsidR="0027084C" w:rsidRPr="00607BF9" w:rsidRDefault="0027084C">
      <w:r w:rsidRPr="00607BF9">
        <w:continuationSeparator/>
      </w:r>
    </w:p>
  </w:footnote>
  <w:footnote w:id="1">
    <w:p w:rsidR="005261EB" w:rsidRPr="00FD079D" w:rsidRDefault="005261EB" w:rsidP="005261EB">
      <w:pPr>
        <w:pStyle w:val="FootnoteText"/>
        <w:ind w:left="600" w:hanging="600"/>
        <w:rPr>
          <w:sz w:val="24"/>
          <w:szCs w:val="24"/>
          <w:lang w:val="cs-CZ"/>
        </w:rPr>
      </w:pPr>
      <w:r>
        <w:rPr>
          <w:rStyle w:val="FootnoteReference"/>
        </w:rPr>
        <w:footnoteRef/>
      </w:r>
      <w:r>
        <w:t xml:space="preserve"> </w:t>
      </w:r>
      <w:r>
        <w:rPr>
          <w:lang w:val="cs-CZ"/>
        </w:rPr>
        <w:tab/>
      </w:r>
      <w:proofErr w:type="spellStart"/>
      <w:r w:rsidRPr="00FD079D">
        <w:rPr>
          <w:sz w:val="24"/>
          <w:szCs w:val="24"/>
        </w:rPr>
        <w:t>Věc</w:t>
      </w:r>
      <w:proofErr w:type="spellEnd"/>
      <w:r w:rsidRPr="00FD079D">
        <w:rPr>
          <w:sz w:val="24"/>
          <w:szCs w:val="24"/>
        </w:rPr>
        <w:t xml:space="preserve"> </w:t>
      </w:r>
      <w:proofErr w:type="spellStart"/>
      <w:r w:rsidRPr="00FD079D">
        <w:rPr>
          <w:sz w:val="24"/>
          <w:szCs w:val="24"/>
        </w:rPr>
        <w:t>byla</w:t>
      </w:r>
      <w:proofErr w:type="spellEnd"/>
      <w:r w:rsidRPr="00FD079D">
        <w:rPr>
          <w:sz w:val="24"/>
          <w:szCs w:val="24"/>
        </w:rPr>
        <w:t xml:space="preserve"> </w:t>
      </w:r>
      <w:proofErr w:type="spellStart"/>
      <w:r w:rsidRPr="00FD079D">
        <w:rPr>
          <w:sz w:val="24"/>
          <w:szCs w:val="24"/>
        </w:rPr>
        <w:t>vrácena</w:t>
      </w:r>
      <w:proofErr w:type="spellEnd"/>
      <w:r w:rsidRPr="00FD079D">
        <w:rPr>
          <w:sz w:val="24"/>
          <w:szCs w:val="24"/>
        </w:rPr>
        <w:t xml:space="preserve"> </w:t>
      </w:r>
      <w:proofErr w:type="spellStart"/>
      <w:r w:rsidRPr="00FD079D">
        <w:rPr>
          <w:sz w:val="24"/>
          <w:szCs w:val="24"/>
        </w:rPr>
        <w:t>příslušnému</w:t>
      </w:r>
      <w:proofErr w:type="spellEnd"/>
      <w:r w:rsidRPr="00FD079D">
        <w:rPr>
          <w:sz w:val="24"/>
          <w:szCs w:val="24"/>
        </w:rPr>
        <w:t xml:space="preserve"> </w:t>
      </w:r>
      <w:proofErr w:type="spellStart"/>
      <w:r w:rsidRPr="00FD079D">
        <w:rPr>
          <w:sz w:val="24"/>
          <w:szCs w:val="24"/>
        </w:rPr>
        <w:t>výboru</w:t>
      </w:r>
      <w:proofErr w:type="spellEnd"/>
      <w:r w:rsidRPr="00FD079D">
        <w:rPr>
          <w:sz w:val="24"/>
          <w:szCs w:val="24"/>
        </w:rPr>
        <w:t xml:space="preserve"> pro </w:t>
      </w:r>
      <w:proofErr w:type="spellStart"/>
      <w:r w:rsidRPr="00FD079D">
        <w:rPr>
          <w:sz w:val="24"/>
          <w:szCs w:val="24"/>
        </w:rPr>
        <w:t>účely</w:t>
      </w:r>
      <w:proofErr w:type="spellEnd"/>
      <w:r w:rsidRPr="00FD079D">
        <w:rPr>
          <w:sz w:val="24"/>
          <w:szCs w:val="24"/>
        </w:rPr>
        <w:t xml:space="preserve"> </w:t>
      </w:r>
      <w:proofErr w:type="spellStart"/>
      <w:r w:rsidRPr="00FD079D">
        <w:rPr>
          <w:sz w:val="24"/>
          <w:szCs w:val="24"/>
        </w:rPr>
        <w:t>interinstitucionálních</w:t>
      </w:r>
      <w:proofErr w:type="spellEnd"/>
      <w:r w:rsidRPr="00FD079D">
        <w:rPr>
          <w:sz w:val="24"/>
          <w:szCs w:val="24"/>
        </w:rPr>
        <w:t xml:space="preserve"> </w:t>
      </w:r>
      <w:proofErr w:type="spellStart"/>
      <w:r w:rsidRPr="00FD079D">
        <w:rPr>
          <w:sz w:val="24"/>
          <w:szCs w:val="24"/>
        </w:rPr>
        <w:t>jednání</w:t>
      </w:r>
      <w:proofErr w:type="spellEnd"/>
      <w:r w:rsidRPr="00FD079D">
        <w:rPr>
          <w:sz w:val="24"/>
          <w:szCs w:val="24"/>
        </w:rPr>
        <w:t xml:space="preserve"> </w:t>
      </w:r>
      <w:proofErr w:type="spellStart"/>
      <w:r w:rsidRPr="00FD079D">
        <w:rPr>
          <w:sz w:val="24"/>
          <w:szCs w:val="24"/>
        </w:rPr>
        <w:t>podle</w:t>
      </w:r>
      <w:proofErr w:type="spellEnd"/>
      <w:r w:rsidRPr="00FD079D">
        <w:rPr>
          <w:sz w:val="24"/>
          <w:szCs w:val="24"/>
        </w:rPr>
        <w:t xml:space="preserve"> </w:t>
      </w:r>
      <w:proofErr w:type="spellStart"/>
      <w:r w:rsidRPr="00FD079D">
        <w:rPr>
          <w:sz w:val="24"/>
          <w:szCs w:val="24"/>
        </w:rPr>
        <w:t>čl</w:t>
      </w:r>
      <w:proofErr w:type="spellEnd"/>
      <w:r w:rsidRPr="00FD079D">
        <w:rPr>
          <w:sz w:val="24"/>
          <w:szCs w:val="24"/>
        </w:rPr>
        <w:t xml:space="preserve">. 59 </w:t>
      </w:r>
      <w:proofErr w:type="spellStart"/>
      <w:r w:rsidRPr="00FD079D">
        <w:rPr>
          <w:sz w:val="24"/>
          <w:szCs w:val="24"/>
        </w:rPr>
        <w:t>odst</w:t>
      </w:r>
      <w:proofErr w:type="spellEnd"/>
      <w:r w:rsidRPr="00FD079D">
        <w:rPr>
          <w:sz w:val="24"/>
          <w:szCs w:val="24"/>
        </w:rPr>
        <w:t xml:space="preserve">. 4 </w:t>
      </w:r>
      <w:proofErr w:type="spellStart"/>
      <w:r w:rsidRPr="00FD079D">
        <w:rPr>
          <w:sz w:val="24"/>
          <w:szCs w:val="24"/>
        </w:rPr>
        <w:t>čtvrtého</w:t>
      </w:r>
      <w:proofErr w:type="spellEnd"/>
      <w:r>
        <w:rPr>
          <w:sz w:val="24"/>
          <w:szCs w:val="24"/>
        </w:rPr>
        <w:t xml:space="preserve"> </w:t>
      </w:r>
      <w:proofErr w:type="spellStart"/>
      <w:r>
        <w:rPr>
          <w:sz w:val="24"/>
          <w:szCs w:val="24"/>
        </w:rPr>
        <w:t>pododstavce</w:t>
      </w:r>
      <w:proofErr w:type="spellEnd"/>
      <w:r>
        <w:rPr>
          <w:sz w:val="24"/>
          <w:szCs w:val="24"/>
        </w:rPr>
        <w:t xml:space="preserve"> (A9-0002/2024</w:t>
      </w:r>
      <w:r w:rsidRPr="00FD079D">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B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B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B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CS"/>
    <w:docVar w:name="dvnumam" w:val="15"/>
    <w:docVar w:name="dvpe" w:val="753.554"/>
    <w:docVar w:name="dvrapporteur" w:val="Zpravodajka: "/>
    <w:docVar w:name="dvstar" w:val="***I"/>
    <w:docVar w:name="dvtitre" w:val="Legislativní usnesení Evropského parlamentu ze dne.... 2024 k návrhu nařízení Evropského parlamentu a Rady, kterým se mění nařízení Evropského parlamentu a Rady (EU) 2017/852 ze dne 17. května 2017 o rtuti, pokud jde o zubní amalgám a další výrobky s přidanou rtutí, na které se vztahuje omezení výroby, dovozu a vývozu(COM(2023)0395 – C9-0309/2023 – 2023/0272(COD))"/>
  </w:docVars>
  <w:rsids>
    <w:rsidRoot w:val="0027084C"/>
    <w:rsid w:val="00002272"/>
    <w:rsid w:val="00064002"/>
    <w:rsid w:val="000677B9"/>
    <w:rsid w:val="000831BA"/>
    <w:rsid w:val="000A42CC"/>
    <w:rsid w:val="000E7DD9"/>
    <w:rsid w:val="0010095E"/>
    <w:rsid w:val="00125B37"/>
    <w:rsid w:val="00187494"/>
    <w:rsid w:val="001F32AE"/>
    <w:rsid w:val="0027084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1EB"/>
    <w:rsid w:val="00545827"/>
    <w:rsid w:val="00560270"/>
    <w:rsid w:val="005C2568"/>
    <w:rsid w:val="006028B7"/>
    <w:rsid w:val="006037C0"/>
    <w:rsid w:val="00607BF9"/>
    <w:rsid w:val="006631B6"/>
    <w:rsid w:val="00680577"/>
    <w:rsid w:val="006A3EBE"/>
    <w:rsid w:val="006F74FA"/>
    <w:rsid w:val="00731ADD"/>
    <w:rsid w:val="00734777"/>
    <w:rsid w:val="007459E2"/>
    <w:rsid w:val="00747932"/>
    <w:rsid w:val="00751A4A"/>
    <w:rsid w:val="00756632"/>
    <w:rsid w:val="00762C74"/>
    <w:rsid w:val="00786EC0"/>
    <w:rsid w:val="007D1690"/>
    <w:rsid w:val="007E22AD"/>
    <w:rsid w:val="00817416"/>
    <w:rsid w:val="00842779"/>
    <w:rsid w:val="00865F67"/>
    <w:rsid w:val="00880B13"/>
    <w:rsid w:val="00881A7B"/>
    <w:rsid w:val="008840E5"/>
    <w:rsid w:val="00887B3E"/>
    <w:rsid w:val="008C2AC6"/>
    <w:rsid w:val="008D1507"/>
    <w:rsid w:val="00930C23"/>
    <w:rsid w:val="0093193B"/>
    <w:rsid w:val="009509D8"/>
    <w:rsid w:val="00950B64"/>
    <w:rsid w:val="00981893"/>
    <w:rsid w:val="00A1687D"/>
    <w:rsid w:val="00A43E52"/>
    <w:rsid w:val="00A4678D"/>
    <w:rsid w:val="00A57578"/>
    <w:rsid w:val="00A778C7"/>
    <w:rsid w:val="00AB441E"/>
    <w:rsid w:val="00AB6293"/>
    <w:rsid w:val="00AE0928"/>
    <w:rsid w:val="00AF3B82"/>
    <w:rsid w:val="00B12E95"/>
    <w:rsid w:val="00B22876"/>
    <w:rsid w:val="00B558F0"/>
    <w:rsid w:val="00BD48FE"/>
    <w:rsid w:val="00BD7BD8"/>
    <w:rsid w:val="00BE6ADC"/>
    <w:rsid w:val="00C004C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92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F94D9"/>
  <w15:chartTrackingRefBased/>
  <w15:docId w15:val="{4BB0CC2F-A392-4AB5-878B-4DC536D0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459E2"/>
    <w:pPr>
      <w:spacing w:after="120"/>
    </w:pPr>
  </w:style>
  <w:style w:type="paragraph" w:customStyle="1" w:styleId="NormalBold">
    <w:name w:val="NormalBold"/>
    <w:basedOn w:val="Normal"/>
    <w:link w:val="NormalBoldChar"/>
    <w:rsid w:val="007459E2"/>
    <w:rPr>
      <w:b/>
    </w:rPr>
  </w:style>
  <w:style w:type="paragraph" w:customStyle="1" w:styleId="NormalHanging12a">
    <w:name w:val="NormalHanging12a"/>
    <w:basedOn w:val="Normal"/>
    <w:rsid w:val="007459E2"/>
    <w:pPr>
      <w:spacing w:after="240"/>
      <w:ind w:left="567" w:hanging="567"/>
    </w:pPr>
  </w:style>
  <w:style w:type="paragraph" w:customStyle="1" w:styleId="AmColumnHeading">
    <w:name w:val="AmColumnHeading"/>
    <w:basedOn w:val="Normal"/>
    <w:rsid w:val="007459E2"/>
    <w:pPr>
      <w:spacing w:after="240"/>
      <w:jc w:val="center"/>
    </w:pPr>
    <w:rPr>
      <w:i/>
    </w:rPr>
  </w:style>
  <w:style w:type="paragraph" w:customStyle="1" w:styleId="AmNumberTabs">
    <w:name w:val="AmNumberTabs"/>
    <w:basedOn w:val="Normal"/>
    <w:link w:val="AmNumberTabsChar"/>
    <w:rsid w:val="007459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459E2"/>
    <w:pPr>
      <w:spacing w:before="240"/>
    </w:pPr>
    <w:rPr>
      <w:b/>
    </w:rPr>
  </w:style>
  <w:style w:type="paragraph" w:customStyle="1" w:styleId="EPComma">
    <w:name w:val="EPComma"/>
    <w:basedOn w:val="Normal"/>
    <w:rsid w:val="007459E2"/>
    <w:pPr>
      <w:spacing w:before="480" w:after="240"/>
    </w:pPr>
  </w:style>
  <w:style w:type="character" w:customStyle="1" w:styleId="NormalBoldChar">
    <w:name w:val="NormalBold Char"/>
    <w:basedOn w:val="DefaultParagraphFont"/>
    <w:link w:val="NormalBold"/>
    <w:locked/>
    <w:rsid w:val="007459E2"/>
    <w:rPr>
      <w:b/>
      <w:sz w:val="24"/>
      <w:lang w:val="cs-CZ"/>
    </w:rPr>
  </w:style>
  <w:style w:type="character" w:customStyle="1" w:styleId="Normal6Char">
    <w:name w:val="Normal6 Char"/>
    <w:basedOn w:val="DefaultParagraphFont"/>
    <w:link w:val="Normal6"/>
    <w:locked/>
    <w:rsid w:val="007459E2"/>
    <w:rPr>
      <w:sz w:val="24"/>
      <w:lang w:val="cs-CZ"/>
    </w:rPr>
  </w:style>
  <w:style w:type="paragraph" w:customStyle="1" w:styleId="Normal6">
    <w:name w:val="Normal6"/>
    <w:basedOn w:val="Normal"/>
    <w:link w:val="Normal6Char"/>
    <w:rsid w:val="007459E2"/>
    <w:pPr>
      <w:spacing w:after="120"/>
    </w:pPr>
  </w:style>
  <w:style w:type="paragraph" w:customStyle="1" w:styleId="ColumnHeading">
    <w:name w:val="ColumnHeading"/>
    <w:basedOn w:val="Normal"/>
    <w:rsid w:val="007459E2"/>
    <w:pPr>
      <w:spacing w:after="240"/>
      <w:jc w:val="center"/>
    </w:pPr>
    <w:rPr>
      <w:i/>
    </w:rPr>
  </w:style>
  <w:style w:type="character" w:customStyle="1" w:styleId="AmNumberTabsChar">
    <w:name w:val="AmNumberTabs Char"/>
    <w:basedOn w:val="DefaultParagraphFont"/>
    <w:link w:val="AmNumberTabs"/>
    <w:rsid w:val="007459E2"/>
    <w:rPr>
      <w:b/>
      <w:sz w:val="24"/>
      <w:lang w:val="cs-CZ"/>
    </w:rPr>
  </w:style>
  <w:style w:type="character" w:customStyle="1" w:styleId="NormalBold12bChar">
    <w:name w:val="NormalBold12b Char"/>
    <w:basedOn w:val="AmNumberTabsChar"/>
    <w:link w:val="NormalBold12b"/>
    <w:rsid w:val="007459E2"/>
    <w:rPr>
      <w:b/>
      <w:sz w:val="24"/>
      <w:lang w:val="cs-CZ"/>
    </w:rPr>
  </w:style>
  <w:style w:type="paragraph" w:customStyle="1" w:styleId="CrossRef">
    <w:name w:val="CrossRef"/>
    <w:basedOn w:val="Normal"/>
    <w:rsid w:val="007459E2"/>
    <w:pPr>
      <w:spacing w:before="240"/>
      <w:jc w:val="center"/>
    </w:pPr>
    <w:rPr>
      <w:i/>
    </w:rPr>
  </w:style>
  <w:style w:type="paragraph" w:styleId="BalloonText">
    <w:name w:val="Balloon Text"/>
    <w:basedOn w:val="Normal"/>
    <w:link w:val="BalloonTextChar"/>
    <w:rsid w:val="00C004C1"/>
    <w:rPr>
      <w:rFonts w:ascii="Segoe UI" w:hAnsi="Segoe UI" w:cs="Segoe UI"/>
      <w:sz w:val="18"/>
      <w:szCs w:val="18"/>
    </w:rPr>
  </w:style>
  <w:style w:type="character" w:customStyle="1" w:styleId="BalloonTextChar">
    <w:name w:val="Balloon Text Char"/>
    <w:basedOn w:val="DefaultParagraphFont"/>
    <w:link w:val="BalloonText"/>
    <w:rsid w:val="00C004C1"/>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B331E-4470-4980-A176-35C7DAE08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2286</Words>
  <Characters>13101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2024-05-21T13:44:00Z</dcterms:created>
  <dcterms:modified xsi:type="dcterms:W3CDTF">2024-05-21T13:44:00Z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P9_TA(2024)0019_</vt:lpwstr>
  </property>
  <property fmtid="{D5CDD505-2E9C-101B-9397-08002B2CF9AE}" pid="4" name="&lt;Type&gt;">
    <vt:lpwstr>RR</vt:lpwstr>
  </property>
</Properties>
</file>