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B1924" w:rsidTr="0010095E">
        <w:trPr>
          <w:trHeight w:hRule="exact" w:val="1418"/>
        </w:trPr>
        <w:tc>
          <w:tcPr>
            <w:tcW w:w="6804" w:type="dxa"/>
            <w:shd w:val="clear" w:color="auto" w:fill="auto"/>
            <w:vAlign w:val="center"/>
          </w:tcPr>
          <w:p w:rsidR="00751A4A" w:rsidRPr="00EB1924" w:rsidRDefault="00C80647" w:rsidP="0010095E">
            <w:pPr>
              <w:pStyle w:val="EPName"/>
            </w:pPr>
            <w:r w:rsidRPr="00EB1924">
              <w:t>Parlement européen</w:t>
            </w:r>
          </w:p>
          <w:p w:rsidR="00751A4A" w:rsidRPr="00EB1924" w:rsidRDefault="00817416" w:rsidP="00756632">
            <w:pPr>
              <w:pStyle w:val="EPTerm"/>
              <w:rPr>
                <w:rStyle w:val="HideTWBExt"/>
                <w:noProof w:val="0"/>
                <w:vanish w:val="0"/>
                <w:color w:val="auto"/>
              </w:rPr>
            </w:pPr>
            <w:r w:rsidRPr="00EB1924">
              <w:t>2019-2024</w:t>
            </w:r>
          </w:p>
        </w:tc>
        <w:tc>
          <w:tcPr>
            <w:tcW w:w="2268" w:type="dxa"/>
            <w:shd w:val="clear" w:color="auto" w:fill="auto"/>
          </w:tcPr>
          <w:p w:rsidR="00751A4A" w:rsidRPr="00EB1924" w:rsidRDefault="00187494" w:rsidP="0010095E">
            <w:pPr>
              <w:pStyle w:val="EPLogo"/>
            </w:pPr>
            <w:r w:rsidRPr="00EB1924">
              <w:rPr>
                <w:noProof/>
                <w:lang w:eastAsia="fr-FR"/>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B1924" w:rsidRDefault="00D058B8" w:rsidP="004C5D52">
      <w:pPr>
        <w:pStyle w:val="LineTop"/>
      </w:pPr>
    </w:p>
    <w:p w:rsidR="00680577" w:rsidRPr="00EB1924" w:rsidRDefault="00C80647" w:rsidP="00680577">
      <w:pPr>
        <w:pStyle w:val="EPBodyTA1"/>
      </w:pPr>
      <w:r w:rsidRPr="00EB1924">
        <w:t>TEXTES ADOPTÉS</w:t>
      </w:r>
    </w:p>
    <w:p w:rsidR="00D058B8" w:rsidRPr="00EB1924" w:rsidRDefault="00D058B8" w:rsidP="00D058B8">
      <w:pPr>
        <w:pStyle w:val="LineBottom"/>
      </w:pPr>
    </w:p>
    <w:p w:rsidR="00C80647" w:rsidRPr="00EB1924" w:rsidRDefault="00C80647" w:rsidP="00C80647">
      <w:pPr>
        <w:pStyle w:val="ATHeading1"/>
      </w:pPr>
      <w:bookmarkStart w:id="0" w:name="TANumber"/>
      <w:r w:rsidRPr="00EB1924">
        <w:t>P9_TA(2024)00</w:t>
      </w:r>
      <w:r w:rsidR="00AD10F9">
        <w:t>19</w:t>
      </w:r>
      <w:bookmarkEnd w:id="0"/>
    </w:p>
    <w:p w:rsidR="00C80647" w:rsidRPr="00EB1924" w:rsidRDefault="00C80647" w:rsidP="00C80647">
      <w:pPr>
        <w:pStyle w:val="ATHeading2"/>
      </w:pPr>
      <w:bookmarkStart w:id="1" w:name="title"/>
      <w:r w:rsidRPr="00EB1924">
        <w:t>M</w:t>
      </w:r>
      <w:r w:rsidR="007316BE" w:rsidRPr="007316BE">
        <w:t>ercure: amalgames dentaires et autres produits contenant du mercure ajouté faisant l’objet de restrictions de fabrication, d’importation et d’exportation</w:t>
      </w:r>
      <w:bookmarkEnd w:id="1"/>
    </w:p>
    <w:p w:rsidR="00C80647" w:rsidRPr="00EB1924" w:rsidRDefault="00C80647" w:rsidP="00C80647">
      <w:pPr>
        <w:rPr>
          <w:i/>
          <w:vanish/>
        </w:rPr>
      </w:pPr>
      <w:r w:rsidRPr="00EB1924">
        <w:rPr>
          <w:i/>
        </w:rPr>
        <w:fldChar w:fldCharType="begin"/>
      </w:r>
      <w:r w:rsidRPr="00EB1924">
        <w:rPr>
          <w:i/>
        </w:rPr>
        <w:instrText xml:space="preserve"> TC"(</w:instrText>
      </w:r>
      <w:bookmarkStart w:id="2" w:name="DocNumber"/>
      <w:r w:rsidRPr="00EB1924">
        <w:rPr>
          <w:i/>
        </w:rPr>
        <w:instrText>A9-0002/2024</w:instrText>
      </w:r>
      <w:bookmarkEnd w:id="2"/>
      <w:r w:rsidRPr="00EB1924">
        <w:rPr>
          <w:i/>
        </w:rPr>
        <w:instrText xml:space="preserve"> - Rapporteure: Marlene Mortler)"\l3 \n&gt; \* MERGEFORMAT </w:instrText>
      </w:r>
      <w:r w:rsidRPr="00EB1924">
        <w:rPr>
          <w:i/>
        </w:rPr>
        <w:fldChar w:fldCharType="end"/>
      </w:r>
    </w:p>
    <w:p w:rsidR="00C80647" w:rsidRPr="00EB1924" w:rsidRDefault="00C80647" w:rsidP="00C80647">
      <w:pPr>
        <w:rPr>
          <w:vanish/>
        </w:rPr>
      </w:pPr>
      <w:bookmarkStart w:id="3" w:name="Commission"/>
      <w:r w:rsidRPr="00EB1924">
        <w:rPr>
          <w:vanish/>
        </w:rPr>
        <w:t>Commission de l’environnement, de la santé publique et de la sécurité alimentaire</w:t>
      </w:r>
      <w:bookmarkEnd w:id="3"/>
    </w:p>
    <w:p w:rsidR="00C80647" w:rsidRPr="00EB1924" w:rsidRDefault="00C80647" w:rsidP="00C80647">
      <w:pPr>
        <w:rPr>
          <w:vanish/>
        </w:rPr>
      </w:pPr>
      <w:bookmarkStart w:id="4" w:name="PE"/>
      <w:r w:rsidRPr="00EB1924">
        <w:rPr>
          <w:vanish/>
        </w:rPr>
        <w:t>PE753.554</w:t>
      </w:r>
      <w:bookmarkEnd w:id="4"/>
    </w:p>
    <w:p w:rsidR="00C80647" w:rsidRPr="00EB1924" w:rsidRDefault="00AD10F9" w:rsidP="00C80647">
      <w:pPr>
        <w:pStyle w:val="ATHeading3"/>
      </w:pPr>
      <w:bookmarkStart w:id="5" w:name="Sujet"/>
      <w:r w:rsidRPr="00AD10F9">
        <w:t>Amendements du Parlement européen, adoptés le</w:t>
      </w:r>
      <w:r w:rsidR="007316BE">
        <w:t xml:space="preserve"> </w:t>
      </w:r>
      <w:r w:rsidR="00971B4E">
        <w:t>17</w:t>
      </w:r>
      <w:r w:rsidR="007316BE">
        <w:t xml:space="preserve"> janvier</w:t>
      </w:r>
      <w:r w:rsidR="00C80647" w:rsidRPr="00EB1924">
        <w:t xml:space="preserve"> 2024</w:t>
      </w:r>
      <w:r>
        <w:t>,</w:t>
      </w:r>
      <w:r w:rsidR="00C80647" w:rsidRPr="00EB1924">
        <w:t xml:space="preserve"> </w:t>
      </w:r>
      <w:r>
        <w:t>à</w:t>
      </w:r>
      <w:r w:rsidR="00C80647" w:rsidRPr="00EB1924">
        <w:t xml:space="preserve"> la proposition de règlement du Parlement européen et du Conseil modifiant le règlement (UE) 2017/852 du Parlement européen et du Conseil du 17 mai 2017 relatif au mercure en ce qui concerne les amalgames dentaires et les autres produits contenant du mercure ajouté faisant l’objet de restrictions de fabrication, d’importation et d’exportation</w:t>
      </w:r>
      <w:bookmarkEnd w:id="5"/>
      <w:r w:rsidR="00C80647" w:rsidRPr="00EB1924">
        <w:t xml:space="preserve"> </w:t>
      </w:r>
      <w:bookmarkStart w:id="6" w:name="References"/>
      <w:r w:rsidR="00C80647" w:rsidRPr="00EB1924">
        <w:t>(COM(2023)0395 – C9-0309/2023 – 2023/0272(COD))</w:t>
      </w:r>
      <w:bookmarkEnd w:id="6"/>
      <w:r>
        <w:rPr>
          <w:rStyle w:val="FootnoteReference"/>
        </w:rPr>
        <w:footnoteReference w:id="1"/>
      </w:r>
    </w:p>
    <w:p w:rsidR="00C80647" w:rsidRPr="00EB1924" w:rsidRDefault="00C80647" w:rsidP="00C80647"/>
    <w:p w:rsidR="00EB7824" w:rsidRPr="00EB1924" w:rsidRDefault="00EB7824" w:rsidP="00EB7824">
      <w:pPr>
        <w:pStyle w:val="NormalBold"/>
        <w:widowControl/>
      </w:pPr>
      <w:bookmarkStart w:id="7" w:name="TextBodyBegin"/>
      <w:bookmarkEnd w:id="7"/>
      <w:r w:rsidRPr="00EB1924">
        <w:t>(Procédure législative ordinaire: première lecture)</w:t>
      </w:r>
    </w:p>
    <w:p w:rsidR="00EB7824" w:rsidRPr="00EB1924" w:rsidRDefault="00EB7824" w:rsidP="00EB7824">
      <w:pPr>
        <w:widowControl/>
        <w:rPr>
          <w:b/>
        </w:rPr>
      </w:pPr>
    </w:p>
    <w:p w:rsidR="00EB7824" w:rsidRPr="00EB1924" w:rsidRDefault="00EB7824" w:rsidP="00EB7824">
      <w:pPr>
        <w:widowControl/>
      </w:pPr>
      <w:r w:rsidRPr="00EB1924">
        <w:br w:type="page"/>
      </w:r>
    </w:p>
    <w:p w:rsidR="00EB7824" w:rsidRPr="00EB1924" w:rsidRDefault="00EB7824" w:rsidP="00EB7824">
      <w:pPr>
        <w:widowControl/>
      </w:pPr>
    </w:p>
    <w:p w:rsidR="00EB7824" w:rsidRPr="00EB1924" w:rsidRDefault="00EB7824" w:rsidP="00EB7824">
      <w:pPr>
        <w:pStyle w:val="AmNumberTabs"/>
        <w:widowControl/>
      </w:pPr>
      <w:r w:rsidRPr="00EB1924">
        <w:t>Amendement</w:t>
      </w:r>
      <w:r w:rsidRPr="00EB1924">
        <w:tab/>
      </w:r>
      <w:r w:rsidRPr="00EB1924">
        <w:tab/>
        <w:t>1</w:t>
      </w:r>
    </w:p>
    <w:p w:rsidR="00EB7824" w:rsidRPr="00EB1924" w:rsidRDefault="00EB7824" w:rsidP="00EB7824">
      <w:pPr>
        <w:widowControl/>
      </w:pPr>
    </w:p>
    <w:p w:rsidR="00EB7824" w:rsidRPr="00EB1924" w:rsidRDefault="00EB7824" w:rsidP="00EB7824">
      <w:pPr>
        <w:pStyle w:val="NormalBold"/>
        <w:keepNext/>
        <w:widowControl/>
      </w:pPr>
      <w:r w:rsidRPr="00EB1924">
        <w:t>Proposition de règlement</w:t>
      </w:r>
    </w:p>
    <w:p w:rsidR="00EB7824" w:rsidRPr="00EB1924" w:rsidRDefault="00EB7824" w:rsidP="00EB7824">
      <w:pPr>
        <w:pStyle w:val="NormalBold"/>
        <w:widowControl/>
      </w:pPr>
      <w:r w:rsidRPr="00EB1924">
        <w:t>Considérant 1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824" w:rsidRPr="00EB1924" w:rsidTr="0037396F">
        <w:trPr>
          <w:jc w:val="center"/>
        </w:trPr>
        <w:tc>
          <w:tcPr>
            <w:tcW w:w="9752" w:type="dxa"/>
            <w:gridSpan w:val="2"/>
          </w:tcPr>
          <w:p w:rsidR="00EB7824" w:rsidRPr="00EB1924" w:rsidRDefault="00EB7824" w:rsidP="0037396F">
            <w:pPr>
              <w:keepNext/>
              <w:widowControl/>
            </w:pPr>
          </w:p>
        </w:tc>
      </w:tr>
      <w:tr w:rsidR="00EB7824" w:rsidRPr="00EB1924" w:rsidTr="0037396F">
        <w:trPr>
          <w:jc w:val="center"/>
        </w:trPr>
        <w:tc>
          <w:tcPr>
            <w:tcW w:w="4876" w:type="dxa"/>
          </w:tcPr>
          <w:p w:rsidR="00EB7824" w:rsidRPr="00EB1924" w:rsidRDefault="00EB7824" w:rsidP="0037396F">
            <w:pPr>
              <w:pStyle w:val="ColumnHeading"/>
              <w:keepNext/>
              <w:widowControl/>
            </w:pPr>
            <w:r w:rsidRPr="00EB1924">
              <w:t>Texte proposé par la Commission</w:t>
            </w:r>
          </w:p>
        </w:tc>
        <w:tc>
          <w:tcPr>
            <w:tcW w:w="4876" w:type="dxa"/>
          </w:tcPr>
          <w:p w:rsidR="00EB7824" w:rsidRPr="00EB1924" w:rsidRDefault="00EB7824" w:rsidP="0037396F">
            <w:pPr>
              <w:pStyle w:val="ColumnHeading"/>
              <w:keepNext/>
              <w:widowControl/>
            </w:pPr>
            <w:r w:rsidRPr="00EB1924">
              <w:t>Amendement</w:t>
            </w:r>
          </w:p>
        </w:tc>
      </w:tr>
      <w:tr w:rsidR="00EB7824" w:rsidRPr="00EB1924" w:rsidTr="0037396F">
        <w:trPr>
          <w:jc w:val="center"/>
        </w:trPr>
        <w:tc>
          <w:tcPr>
            <w:tcW w:w="4876" w:type="dxa"/>
          </w:tcPr>
          <w:p w:rsidR="00EB7824" w:rsidRPr="00EB1924" w:rsidRDefault="00EB7824" w:rsidP="0037396F">
            <w:pPr>
              <w:pStyle w:val="Normal6"/>
              <w:widowControl/>
            </w:pPr>
          </w:p>
        </w:tc>
        <w:tc>
          <w:tcPr>
            <w:tcW w:w="4876" w:type="dxa"/>
          </w:tcPr>
          <w:p w:rsidR="00EB7824" w:rsidRPr="00EB1924" w:rsidRDefault="00EB7824" w:rsidP="0037396F">
            <w:pPr>
              <w:pStyle w:val="Normal6"/>
              <w:widowControl/>
              <w:rPr>
                <w:szCs w:val="24"/>
              </w:rPr>
            </w:pPr>
            <w:r w:rsidRPr="00EB1924">
              <w:rPr>
                <w:b/>
                <w:i/>
              </w:rPr>
              <w:t>(1 bis)</w:t>
            </w:r>
            <w:r w:rsidRPr="00EB1924">
              <w:rPr>
                <w:b/>
                <w:i/>
              </w:rPr>
              <w:tab/>
              <w:t>Le mercure est une substance chimique préoccupante pour l’environnement à l’échelle mondiale, vu sa propagation atmosphérique à longue distance, sa persistance dans l’environnement dès lors qu’il a été introduit par l’homme et son potentiel de bioaccumulation dans les écosystèmes. Le mercure a également des effets négatifs importants sur la santé humaine et est transmis de la mère à l’enfant via le placenta ou par l’allaitement. La pollution de l’environnement par le mercure peut résulter d’activités anthropiques, notamment d’une gestion insuffisante des déchets de mercure, de la crémation ou de l’application incorrecte de séparateurs obligatoires dans les cabinets dentaires.</w:t>
            </w:r>
          </w:p>
        </w:tc>
      </w:tr>
    </w:tbl>
    <w:p w:rsidR="00EB7824" w:rsidRPr="00EB1924" w:rsidRDefault="00EB7824" w:rsidP="00EB7824">
      <w:pPr>
        <w:widowControl/>
      </w:pPr>
    </w:p>
    <w:p w:rsidR="00EB7824" w:rsidRPr="00EB1924" w:rsidRDefault="00EB7824" w:rsidP="00EB7824">
      <w:pPr>
        <w:pStyle w:val="AmNumberTabs"/>
        <w:widowControl/>
      </w:pPr>
      <w:r w:rsidRPr="00EB1924">
        <w:t>Amendement</w:t>
      </w:r>
      <w:r w:rsidRPr="00EB1924">
        <w:tab/>
      </w:r>
      <w:r w:rsidRPr="00EB1924">
        <w:tab/>
        <w:t>2</w:t>
      </w:r>
    </w:p>
    <w:p w:rsidR="00EB7824" w:rsidRPr="00EB1924" w:rsidRDefault="00EB7824" w:rsidP="00EB7824">
      <w:pPr>
        <w:widowControl/>
      </w:pPr>
    </w:p>
    <w:p w:rsidR="00EB7824" w:rsidRPr="00EB1924" w:rsidRDefault="00EB7824" w:rsidP="00EB7824">
      <w:pPr>
        <w:pStyle w:val="NormalBold"/>
        <w:keepNext/>
        <w:widowControl/>
      </w:pPr>
      <w:r w:rsidRPr="00EB1924">
        <w:t>Proposition de règlement</w:t>
      </w:r>
    </w:p>
    <w:p w:rsidR="00EB7824" w:rsidRPr="00EB1924" w:rsidRDefault="00EB7824" w:rsidP="00EB7824">
      <w:pPr>
        <w:pStyle w:val="NormalBold"/>
        <w:widowControl/>
      </w:pPr>
      <w:r w:rsidRPr="00EB1924">
        <w:t>Considérant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824" w:rsidRPr="00EB1924" w:rsidTr="0037396F">
        <w:trPr>
          <w:jc w:val="center"/>
        </w:trPr>
        <w:tc>
          <w:tcPr>
            <w:tcW w:w="9752" w:type="dxa"/>
            <w:gridSpan w:val="2"/>
          </w:tcPr>
          <w:p w:rsidR="00EB7824" w:rsidRPr="00EB1924" w:rsidRDefault="00EB7824" w:rsidP="0037396F">
            <w:pPr>
              <w:keepNext/>
              <w:widowControl/>
            </w:pPr>
          </w:p>
        </w:tc>
      </w:tr>
      <w:tr w:rsidR="00EB7824" w:rsidRPr="00EB1924" w:rsidTr="0037396F">
        <w:trPr>
          <w:jc w:val="center"/>
        </w:trPr>
        <w:tc>
          <w:tcPr>
            <w:tcW w:w="4876" w:type="dxa"/>
          </w:tcPr>
          <w:p w:rsidR="00EB7824" w:rsidRPr="00EB1924" w:rsidRDefault="00EB7824" w:rsidP="0037396F">
            <w:pPr>
              <w:pStyle w:val="ColumnHeading"/>
              <w:keepNext/>
              <w:widowControl/>
            </w:pPr>
            <w:r w:rsidRPr="00EB1924">
              <w:t>Texte proposé par la Commission</w:t>
            </w:r>
          </w:p>
        </w:tc>
        <w:tc>
          <w:tcPr>
            <w:tcW w:w="4876" w:type="dxa"/>
          </w:tcPr>
          <w:p w:rsidR="00EB7824" w:rsidRPr="00EB1924" w:rsidRDefault="00EB7824" w:rsidP="0037396F">
            <w:pPr>
              <w:pStyle w:val="ColumnHeading"/>
              <w:keepNext/>
              <w:widowControl/>
            </w:pPr>
            <w:r w:rsidRPr="00EB1924">
              <w:t>Amendement</w:t>
            </w:r>
          </w:p>
        </w:tc>
      </w:tr>
      <w:tr w:rsidR="00EB7824" w:rsidRPr="00EB1924" w:rsidTr="0037396F">
        <w:trPr>
          <w:jc w:val="center"/>
        </w:trPr>
        <w:tc>
          <w:tcPr>
            <w:tcW w:w="4876" w:type="dxa"/>
          </w:tcPr>
          <w:p w:rsidR="00EB7824" w:rsidRPr="00EB1924" w:rsidRDefault="00EB7824" w:rsidP="0037396F">
            <w:pPr>
              <w:pStyle w:val="Normal6"/>
              <w:widowControl/>
            </w:pPr>
            <w:r w:rsidRPr="00EB1924">
              <w:t>(4)</w:t>
            </w:r>
            <w:r w:rsidRPr="00EB1924">
              <w:tab/>
              <w:t xml:space="preserve">Compte tenu de la disponibilité de solutions de remplacement sans mercure, il convient d’interdire l’utilisation d’amalgames dentaires dans les traitements dentaires de tous les membres de la population tout en maintenant la possibilité d’utiliser des amalgames dentaires pour les patients ayant des besoins médicaux spécifiques. Afin d’éviter que les amalgames dentaires, interdits sur le marché de l’Union, ne soient fabriqués afin d’être exportés hors de l’Union, il est nécessaire d’interdire leur fabrication et </w:t>
            </w:r>
            <w:r w:rsidRPr="00EB1924">
              <w:lastRenderedPageBreak/>
              <w:t>leur exportation. Il convient dès lors de modifier l’article 10 du règlement (UE) 2017/852 en conséquence.</w:t>
            </w:r>
          </w:p>
        </w:tc>
        <w:tc>
          <w:tcPr>
            <w:tcW w:w="4876" w:type="dxa"/>
          </w:tcPr>
          <w:p w:rsidR="00EB7824" w:rsidRPr="00EB1924" w:rsidRDefault="00EB7824" w:rsidP="0037396F">
            <w:pPr>
              <w:pStyle w:val="Normal6"/>
              <w:widowControl/>
              <w:rPr>
                <w:szCs w:val="24"/>
              </w:rPr>
            </w:pPr>
            <w:r w:rsidRPr="00EB1924">
              <w:lastRenderedPageBreak/>
              <w:t>(4)</w:t>
            </w:r>
            <w:r w:rsidRPr="00EB1924">
              <w:tab/>
              <w:t xml:space="preserve">Compte tenu de la disponibilité de solutions de remplacement sans mercure, </w:t>
            </w:r>
            <w:r w:rsidRPr="00EB1924">
              <w:rPr>
                <w:b/>
                <w:i/>
              </w:rPr>
              <w:t xml:space="preserve">du caractère abordable des matériaux de remplacement et de la transition actuelle vers des produits d’obturation sans mercure dans de nombreux États membres, </w:t>
            </w:r>
            <w:r w:rsidRPr="00EB1924">
              <w:t>il convient d’interdire l’utilisation d’amalgames dentaires dans les traitements dentaires de tous les membres de la population tout en maintenant la possibilité d’utiliser des amalgames dentaires pour les patients ayant des besoins médicaux spécifiques</w:t>
            </w:r>
            <w:r w:rsidRPr="00EB1924">
              <w:rPr>
                <w:b/>
                <w:i/>
              </w:rPr>
              <w:t xml:space="preserve">. </w:t>
            </w:r>
            <w:r w:rsidRPr="00EB1924">
              <w:rPr>
                <w:b/>
                <w:i/>
              </w:rPr>
              <w:lastRenderedPageBreak/>
              <w:t>La transition vers des solutions de remplacement sans mercure pour les produits d’obturation dentaire a déjà progressé dans de nombreux États membres, ce qui a mis en évidence la faisabilité et la nécessité de cette interdiction en tant que moyen rentable de prévenir une pollution supplémentaire par le mercure</w:t>
            </w:r>
            <w:r w:rsidRPr="00EB1924">
              <w:t>.</w:t>
            </w:r>
            <w:r w:rsidRPr="00EB1924">
              <w:rPr>
                <w:b/>
                <w:i/>
              </w:rPr>
              <w:t xml:space="preserve"> </w:t>
            </w:r>
            <w:r w:rsidRPr="00EB1924">
              <w:t>Afin d’éviter que les amalgames dentaires, interdits sur le marché de l’Union, ne soient fabriqués afin d’être exportés hors de l’Union, il est nécessaire d’interdire leur fabrication et leur exportation. Il convient dès lors de modifier l’article 10 du règlement (UE) 2017/852 en conséquence.</w:t>
            </w:r>
          </w:p>
        </w:tc>
      </w:tr>
    </w:tbl>
    <w:p w:rsidR="00EB7824" w:rsidRPr="00EB1924" w:rsidRDefault="00EB7824" w:rsidP="00EB7824">
      <w:pPr>
        <w:widowControl/>
      </w:pPr>
    </w:p>
    <w:p w:rsidR="00EB7824" w:rsidRPr="00EB1924" w:rsidRDefault="00EB7824" w:rsidP="00EB7824">
      <w:pPr>
        <w:pStyle w:val="AmNumberTabs"/>
        <w:widowControl/>
      </w:pPr>
      <w:r w:rsidRPr="00EB1924">
        <w:t>Amendement</w:t>
      </w:r>
      <w:r w:rsidRPr="00EB1924">
        <w:tab/>
      </w:r>
      <w:r w:rsidRPr="00EB1924">
        <w:tab/>
        <w:t>3</w:t>
      </w:r>
    </w:p>
    <w:p w:rsidR="00EB7824" w:rsidRPr="00EB1924" w:rsidRDefault="00EB7824" w:rsidP="00EB7824">
      <w:pPr>
        <w:widowControl/>
      </w:pPr>
    </w:p>
    <w:p w:rsidR="00EB7824" w:rsidRPr="00EB1924" w:rsidRDefault="00EB7824" w:rsidP="00EB7824">
      <w:pPr>
        <w:pStyle w:val="NormalBold"/>
        <w:keepNext/>
        <w:widowControl/>
      </w:pPr>
      <w:r w:rsidRPr="00EB1924">
        <w:t>Proposition de règlement</w:t>
      </w:r>
    </w:p>
    <w:p w:rsidR="00EB7824" w:rsidRPr="00EB1924" w:rsidRDefault="00EB7824" w:rsidP="00EB7824">
      <w:pPr>
        <w:pStyle w:val="NormalBold"/>
        <w:widowControl/>
      </w:pPr>
      <w:r w:rsidRPr="00EB1924">
        <w:t>Considérant 4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824" w:rsidRPr="00EB1924" w:rsidTr="0037396F">
        <w:trPr>
          <w:jc w:val="center"/>
        </w:trPr>
        <w:tc>
          <w:tcPr>
            <w:tcW w:w="9752" w:type="dxa"/>
            <w:gridSpan w:val="2"/>
          </w:tcPr>
          <w:p w:rsidR="00EB7824" w:rsidRPr="00EB1924" w:rsidRDefault="00EB7824" w:rsidP="0037396F">
            <w:pPr>
              <w:keepNext/>
              <w:widowControl/>
            </w:pPr>
          </w:p>
        </w:tc>
      </w:tr>
      <w:tr w:rsidR="00EB7824" w:rsidRPr="00EB1924" w:rsidTr="0037396F">
        <w:trPr>
          <w:jc w:val="center"/>
        </w:trPr>
        <w:tc>
          <w:tcPr>
            <w:tcW w:w="4876" w:type="dxa"/>
          </w:tcPr>
          <w:p w:rsidR="00EB7824" w:rsidRPr="00EB1924" w:rsidRDefault="00EB7824" w:rsidP="0037396F">
            <w:pPr>
              <w:pStyle w:val="ColumnHeading"/>
              <w:keepNext/>
              <w:widowControl/>
            </w:pPr>
            <w:r w:rsidRPr="00EB1924">
              <w:t>Texte proposé par la Commission</w:t>
            </w:r>
          </w:p>
        </w:tc>
        <w:tc>
          <w:tcPr>
            <w:tcW w:w="4876" w:type="dxa"/>
          </w:tcPr>
          <w:p w:rsidR="00EB7824" w:rsidRPr="00EB1924" w:rsidRDefault="00EB7824" w:rsidP="0037396F">
            <w:pPr>
              <w:pStyle w:val="ColumnHeading"/>
              <w:keepNext/>
              <w:widowControl/>
            </w:pPr>
            <w:r w:rsidRPr="00EB1924">
              <w:t>Amendement</w:t>
            </w:r>
          </w:p>
        </w:tc>
      </w:tr>
      <w:tr w:rsidR="00EB7824" w:rsidRPr="00EB1924" w:rsidTr="0037396F">
        <w:trPr>
          <w:jc w:val="center"/>
        </w:trPr>
        <w:tc>
          <w:tcPr>
            <w:tcW w:w="4876" w:type="dxa"/>
          </w:tcPr>
          <w:p w:rsidR="00EB7824" w:rsidRPr="00EB1924" w:rsidRDefault="00EB7824" w:rsidP="0037396F">
            <w:pPr>
              <w:pStyle w:val="Normal6"/>
              <w:widowControl/>
            </w:pPr>
          </w:p>
        </w:tc>
        <w:tc>
          <w:tcPr>
            <w:tcW w:w="4876" w:type="dxa"/>
          </w:tcPr>
          <w:p w:rsidR="00EB7824" w:rsidRPr="00EB1924" w:rsidRDefault="00EB7824" w:rsidP="0037396F">
            <w:pPr>
              <w:pStyle w:val="Normal6"/>
              <w:widowControl/>
              <w:rPr>
                <w:szCs w:val="24"/>
              </w:rPr>
            </w:pPr>
            <w:r w:rsidRPr="00EB1924">
              <w:rPr>
                <w:b/>
                <w:i/>
              </w:rPr>
              <w:t>(4 bis)</w:t>
            </w:r>
            <w:r w:rsidRPr="00EB1924">
              <w:rPr>
                <w:b/>
                <w:i/>
              </w:rPr>
              <w:tab/>
              <w:t>Les crématoriums sont une source importante de rejets de mercure dans l’atmosphère et, même avec l’abandon progressif des amalgames dentaires, les crématoriums continueront de contribuer à la pollution de l’air, de l’eau et des sols par le mercure. Il est nécessaire de recueillir des informations sur les mesures mises en œuvre dans les États membres et d’élaborer des lignes directrices pour les crématoriums, afin de parvenir à une prévention appropriée de la pollution et d’atténuer les effets sur l’environnement et la santé humaine.</w:t>
            </w:r>
          </w:p>
        </w:tc>
      </w:tr>
    </w:tbl>
    <w:p w:rsidR="00EB7824" w:rsidRDefault="00EB7824" w:rsidP="00EB7824">
      <w:pPr>
        <w:widowControl/>
      </w:pPr>
    </w:p>
    <w:p w:rsidR="004F2A66" w:rsidRPr="007849CF" w:rsidRDefault="004F2A66" w:rsidP="004F2A66">
      <w:pPr>
        <w:pStyle w:val="AmNumberTabs"/>
      </w:pPr>
      <w:r>
        <w:t>Amendement</w:t>
      </w:r>
      <w:r>
        <w:tab/>
      </w:r>
      <w:r>
        <w:tab/>
        <w:t>16</w:t>
      </w:r>
    </w:p>
    <w:p w:rsidR="004F2A66" w:rsidRPr="007849CF" w:rsidRDefault="004F2A66" w:rsidP="004F2A66">
      <w:pPr>
        <w:pStyle w:val="NormalBold12b"/>
      </w:pPr>
      <w:r>
        <w:t>Proposition de règlement</w:t>
      </w:r>
    </w:p>
    <w:p w:rsidR="004F2A66" w:rsidRPr="007849CF" w:rsidRDefault="004F2A66" w:rsidP="004F2A66">
      <w:pPr>
        <w:pStyle w:val="NormalBold"/>
      </w:pPr>
      <w:r>
        <w:t>Considérant 4 </w:t>
      </w:r>
      <w:r w:rsidR="00742906">
        <w:t>ter</w:t>
      </w:r>
      <w:r>
        <w:t xml:space="preserve">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2A66" w:rsidTr="00146419">
        <w:trPr>
          <w:trHeight w:hRule="exact" w:val="240"/>
          <w:jc w:val="center"/>
        </w:trPr>
        <w:tc>
          <w:tcPr>
            <w:tcW w:w="9752" w:type="dxa"/>
            <w:gridSpan w:val="2"/>
          </w:tcPr>
          <w:p w:rsidR="004F2A66" w:rsidRPr="007849CF" w:rsidRDefault="004F2A66" w:rsidP="00146419"/>
        </w:tc>
      </w:tr>
      <w:tr w:rsidR="004F2A66" w:rsidTr="00146419">
        <w:trPr>
          <w:trHeight w:val="240"/>
          <w:jc w:val="center"/>
        </w:trPr>
        <w:tc>
          <w:tcPr>
            <w:tcW w:w="4876" w:type="dxa"/>
          </w:tcPr>
          <w:p w:rsidR="004F2A66" w:rsidRPr="007849CF" w:rsidRDefault="004F2A66" w:rsidP="00146419">
            <w:pPr>
              <w:pStyle w:val="AmColumnHeading"/>
            </w:pPr>
            <w:r>
              <w:t>Texte proposé par la Commission</w:t>
            </w:r>
          </w:p>
        </w:tc>
        <w:tc>
          <w:tcPr>
            <w:tcW w:w="4876" w:type="dxa"/>
          </w:tcPr>
          <w:p w:rsidR="004F2A66" w:rsidRPr="007849CF" w:rsidRDefault="004F2A66" w:rsidP="00146419">
            <w:pPr>
              <w:pStyle w:val="AmColumnHeading"/>
            </w:pPr>
            <w:r>
              <w:t>Amendement</w:t>
            </w:r>
          </w:p>
        </w:tc>
      </w:tr>
      <w:tr w:rsidR="004F2A66" w:rsidTr="00146419">
        <w:trPr>
          <w:jc w:val="center"/>
        </w:trPr>
        <w:tc>
          <w:tcPr>
            <w:tcW w:w="4876" w:type="dxa"/>
          </w:tcPr>
          <w:p w:rsidR="004F2A66" w:rsidRPr="007849CF" w:rsidRDefault="004F2A66" w:rsidP="00146419">
            <w:pPr>
              <w:pStyle w:val="Normal6a"/>
            </w:pPr>
          </w:p>
        </w:tc>
        <w:tc>
          <w:tcPr>
            <w:tcW w:w="4876" w:type="dxa"/>
          </w:tcPr>
          <w:p w:rsidR="004F2A66" w:rsidRPr="007849CF" w:rsidRDefault="004F2A66" w:rsidP="00742906">
            <w:pPr>
              <w:pStyle w:val="Normal6a"/>
            </w:pPr>
            <w:r>
              <w:rPr>
                <w:b/>
                <w:i/>
              </w:rPr>
              <w:t>(4 </w:t>
            </w:r>
            <w:r w:rsidR="00742906">
              <w:rPr>
                <w:b/>
                <w:i/>
              </w:rPr>
              <w:t>ter</w:t>
            </w:r>
            <w:r>
              <w:rPr>
                <w:b/>
                <w:i/>
              </w:rPr>
              <w:t>)</w:t>
            </w:r>
            <w:r>
              <w:tab/>
            </w:r>
            <w:r>
              <w:rPr>
                <w:b/>
                <w:i/>
              </w:rPr>
              <w:t xml:space="preserve">Afin de limiter l’incidence socio-économique d’un passage à des produits </w:t>
            </w:r>
            <w:r>
              <w:rPr>
                <w:b/>
                <w:i/>
              </w:rPr>
              <w:lastRenderedPageBreak/>
              <w:t>d’obturation sans mercure sur les coûts des soins dentaires pour les patients et les dentistes, les États membres devraient s’attacher à faire en sorte que des remboursements appropriés soient disponibles pour les solutions de remplacement sans mercure. L’abandon progressif des amalgames dentaires devrait s’accompagner d’une formation professionnelle pour les dentistes, selon les besoins, afin de s’adapter aux nouvelles techniques.</w:t>
            </w:r>
          </w:p>
        </w:tc>
      </w:tr>
    </w:tbl>
    <w:p w:rsidR="004F2A66" w:rsidRPr="00EB1924" w:rsidRDefault="004F2A66" w:rsidP="00EB7824">
      <w:pPr>
        <w:widowControl/>
      </w:pPr>
    </w:p>
    <w:p w:rsidR="00EB7824" w:rsidRPr="00EB1924" w:rsidRDefault="00EB7824" w:rsidP="00EB7824">
      <w:pPr>
        <w:pStyle w:val="AmNumberTabs"/>
        <w:widowControl/>
      </w:pPr>
      <w:r w:rsidRPr="00EB1924">
        <w:t>Amendement</w:t>
      </w:r>
      <w:r w:rsidRPr="00EB1924">
        <w:tab/>
      </w:r>
      <w:r w:rsidRPr="00EB1924">
        <w:tab/>
        <w:t>4</w:t>
      </w:r>
    </w:p>
    <w:p w:rsidR="00EB7824" w:rsidRPr="00EB1924" w:rsidRDefault="00EB7824" w:rsidP="00EB7824">
      <w:pPr>
        <w:widowControl/>
      </w:pPr>
    </w:p>
    <w:p w:rsidR="00EB7824" w:rsidRPr="00EB1924" w:rsidRDefault="00EB7824" w:rsidP="00EB7824">
      <w:pPr>
        <w:pStyle w:val="NormalBold"/>
        <w:keepNext/>
        <w:widowControl/>
      </w:pPr>
      <w:r w:rsidRPr="00EB1924">
        <w:t>Proposition de règlement</w:t>
      </w:r>
    </w:p>
    <w:p w:rsidR="00EB7824" w:rsidRPr="00EB1924" w:rsidRDefault="00EB7824" w:rsidP="00EB7824">
      <w:pPr>
        <w:pStyle w:val="NormalBold"/>
        <w:widowControl/>
      </w:pPr>
      <w:r w:rsidRPr="00EB1924">
        <w:t>Considérant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824" w:rsidRPr="00EB1924" w:rsidTr="0037396F">
        <w:trPr>
          <w:jc w:val="center"/>
        </w:trPr>
        <w:tc>
          <w:tcPr>
            <w:tcW w:w="9752" w:type="dxa"/>
            <w:gridSpan w:val="2"/>
          </w:tcPr>
          <w:p w:rsidR="00EB7824" w:rsidRPr="00EB1924" w:rsidRDefault="00EB7824" w:rsidP="0037396F">
            <w:pPr>
              <w:keepNext/>
              <w:widowControl/>
            </w:pPr>
          </w:p>
        </w:tc>
      </w:tr>
      <w:tr w:rsidR="00EB7824" w:rsidRPr="00EB1924" w:rsidTr="0037396F">
        <w:trPr>
          <w:jc w:val="center"/>
        </w:trPr>
        <w:tc>
          <w:tcPr>
            <w:tcW w:w="4876" w:type="dxa"/>
          </w:tcPr>
          <w:p w:rsidR="00EB7824" w:rsidRPr="00EB1924" w:rsidRDefault="00EB7824" w:rsidP="0037396F">
            <w:pPr>
              <w:pStyle w:val="ColumnHeading"/>
              <w:keepNext/>
              <w:widowControl/>
            </w:pPr>
            <w:r w:rsidRPr="00EB1924">
              <w:t>Texte proposé par la Commission</w:t>
            </w:r>
          </w:p>
        </w:tc>
        <w:tc>
          <w:tcPr>
            <w:tcW w:w="4876" w:type="dxa"/>
          </w:tcPr>
          <w:p w:rsidR="00EB7824" w:rsidRPr="00EB1924" w:rsidRDefault="00EB7824" w:rsidP="0037396F">
            <w:pPr>
              <w:pStyle w:val="ColumnHeading"/>
              <w:keepNext/>
              <w:widowControl/>
            </w:pPr>
            <w:r w:rsidRPr="00EB1924">
              <w:t>Amendement</w:t>
            </w:r>
          </w:p>
        </w:tc>
      </w:tr>
      <w:tr w:rsidR="00EB7824" w:rsidRPr="00EB1924" w:rsidTr="0037396F">
        <w:trPr>
          <w:jc w:val="center"/>
        </w:trPr>
        <w:tc>
          <w:tcPr>
            <w:tcW w:w="4876" w:type="dxa"/>
          </w:tcPr>
          <w:p w:rsidR="00EB7824" w:rsidRPr="00EB1924" w:rsidRDefault="00EB7824" w:rsidP="0037396F">
            <w:pPr>
              <w:pStyle w:val="Normal6"/>
              <w:widowControl/>
            </w:pPr>
            <w:r w:rsidRPr="00EB1924">
              <w:t>(5)</w:t>
            </w:r>
            <w:r w:rsidRPr="00EB1924">
              <w:tab/>
              <w:t>L’article 4, paragraphe 1, de la directive 2011/65/UE du Parlement européen et du Conseil</w:t>
            </w:r>
            <w:r w:rsidRPr="00EB1924">
              <w:rPr>
                <w:vertAlign w:val="superscript"/>
              </w:rPr>
              <w:t>44</w:t>
            </w:r>
            <w:r w:rsidRPr="00EB1924">
              <w:t xml:space="preserve"> interdit la mise sur le marché de l’Union et l’importation dans l’Union de certains équipements électriques et électroniques contenant du mercure. L’annexe III de cette même directive énumère, entre autres, certaines lampes contenant du mercure ajouté qui sont exemptées de ladite interdiction jusqu’aux dates qui y sont spécifiées. Cette exemption a déjà expiré le 13 avril 2016 dans le cas des lampes </w:t>
            </w:r>
            <w:proofErr w:type="spellStart"/>
            <w:r w:rsidRPr="00EB1924">
              <w:t>halophosphate</w:t>
            </w:r>
            <w:proofErr w:type="spellEnd"/>
            <w:r w:rsidRPr="00EB1924">
              <w:t xml:space="preserve"> non linéaires</w:t>
            </w:r>
            <w:r w:rsidRPr="00EB1924">
              <w:rPr>
                <w:b/>
                <w:i/>
              </w:rPr>
              <w:t xml:space="preserve"> et expirera</w:t>
            </w:r>
            <w:r w:rsidRPr="00EB1924">
              <w:t xml:space="preserve"> le 24 février 2023 </w:t>
            </w:r>
            <w:r w:rsidRPr="00EB1924">
              <w:rPr>
                <w:b/>
                <w:i/>
              </w:rPr>
              <w:t xml:space="preserve">ou le 24 février 2027 </w:t>
            </w:r>
            <w:r w:rsidRPr="00EB1924">
              <w:t xml:space="preserve">dans le cas de certaines lampes fluorescentes compactes, </w:t>
            </w:r>
            <w:r w:rsidRPr="00EB1924">
              <w:rPr>
                <w:b/>
                <w:i/>
              </w:rPr>
              <w:t>de certains</w:t>
            </w:r>
            <w:r w:rsidRPr="00EB1924">
              <w:t xml:space="preserve"> tubes fluorescents linéaires </w:t>
            </w:r>
            <w:r w:rsidRPr="00EB1924">
              <w:rPr>
                <w:b/>
                <w:i/>
              </w:rPr>
              <w:t>et de certaines</w:t>
            </w:r>
            <w:r w:rsidRPr="00EB1924">
              <w:t xml:space="preserve"> lampes d’éclairage ordinaire à vapeur de sodium haute pression, </w:t>
            </w:r>
            <w:r w:rsidRPr="00EB1924">
              <w:rPr>
                <w:b/>
                <w:i/>
              </w:rPr>
              <w:t>ainsi que</w:t>
            </w:r>
            <w:r w:rsidRPr="00EB1924">
              <w:t xml:space="preserve"> des </w:t>
            </w:r>
            <w:r w:rsidRPr="00EB1924">
              <w:rPr>
                <w:b/>
                <w:i/>
              </w:rPr>
              <w:t>tubes fluorescents non linéaires au phosphore</w:t>
            </w:r>
            <w:r w:rsidRPr="00EB1924">
              <w:t xml:space="preserve"> à </w:t>
            </w:r>
            <w:r w:rsidRPr="00EB1924">
              <w:rPr>
                <w:b/>
                <w:i/>
              </w:rPr>
              <w:t>trois bandes</w:t>
            </w:r>
            <w:r w:rsidRPr="00EB1924">
              <w:t>. En outre, certains tubes fluorescents linéaires d’éclairage ordinaire sont énumérés en vue d’une interdiction future dans la décision MC-4/3, adoptée lors de la quatrième réunion de la conférence des parties à la convention de Minamata sur le mercure, qui s’est tenue du 21 au 25 mars 2022</w:t>
            </w:r>
            <w:r w:rsidRPr="00EB1924">
              <w:rPr>
                <w:vertAlign w:val="superscript"/>
              </w:rPr>
              <w:t>45</w:t>
            </w:r>
            <w:r w:rsidRPr="00EB1924">
              <w:t xml:space="preserve">. Cette décision a été soutenue par l’Union </w:t>
            </w:r>
            <w:r w:rsidRPr="00EB1924">
              <w:lastRenderedPageBreak/>
              <w:t>au moyen de la décision (UE) 2022/549 du Conseil</w:t>
            </w:r>
            <w:r w:rsidRPr="00EB1924">
              <w:rPr>
                <w:vertAlign w:val="superscript"/>
              </w:rPr>
              <w:t>46</w:t>
            </w:r>
            <w:r w:rsidRPr="00EB1924">
              <w:t xml:space="preserve">. Étant donné que certaines de ces lampes ne sont actuellement pas couvertes par l’annexe II, partie A, du règlement (UE) 2017/852, il convient, par souci de cohérence, de les y inclure afin d’interdire leur fabrication et leur exportation à partir des dates </w:t>
            </w:r>
            <w:r w:rsidRPr="00EB1924">
              <w:rPr>
                <w:b/>
                <w:i/>
              </w:rPr>
              <w:t>prévues</w:t>
            </w:r>
            <w:r w:rsidRPr="00EB1924">
              <w:t xml:space="preserve"> à l’annexe III de la directive</w:t>
            </w:r>
            <w:r w:rsidRPr="00EB1924">
              <w:rPr>
                <w:b/>
                <w:i/>
              </w:rPr>
              <w:t xml:space="preserve"> </w:t>
            </w:r>
            <w:r w:rsidRPr="00EB1924">
              <w:t>2011/65/UE et des dates les plus ambitieuses figurant dans la décision MC-4/3.</w:t>
            </w:r>
          </w:p>
        </w:tc>
        <w:tc>
          <w:tcPr>
            <w:tcW w:w="4876" w:type="dxa"/>
          </w:tcPr>
          <w:p w:rsidR="00EB7824" w:rsidRPr="00EB1924" w:rsidRDefault="00EB7824" w:rsidP="0037396F">
            <w:pPr>
              <w:pStyle w:val="Normal6"/>
              <w:widowControl/>
              <w:rPr>
                <w:szCs w:val="24"/>
              </w:rPr>
            </w:pPr>
            <w:r w:rsidRPr="00EB1924">
              <w:lastRenderedPageBreak/>
              <w:t>(5)</w:t>
            </w:r>
            <w:r w:rsidRPr="00EB1924">
              <w:tab/>
              <w:t>L’article 4, paragraphe 1, de la directive 2011/65/UE du Parlement européen et du Conseil</w:t>
            </w:r>
            <w:r w:rsidRPr="00EB1924">
              <w:rPr>
                <w:vertAlign w:val="superscript"/>
              </w:rPr>
              <w:t>44</w:t>
            </w:r>
            <w:r w:rsidRPr="00EB1924">
              <w:t xml:space="preserve"> interdit la mise sur le marché de l’Union et l’importation dans l’Union de certains équipements électriques et électroniques contenant du mercure. L’annexe III de cette même directive énumère, entre autres, certaines lampes contenant du mercure ajouté qui sont exemptées de ladite interdiction jusqu’aux dates qui y sont spécifiées. Cette exemption a déjà expiré le 13 avril 2016 dans le cas des lampes </w:t>
            </w:r>
            <w:proofErr w:type="spellStart"/>
            <w:r w:rsidRPr="00EB1924">
              <w:t>halophosphate</w:t>
            </w:r>
            <w:proofErr w:type="spellEnd"/>
            <w:r w:rsidRPr="00EB1924">
              <w:t xml:space="preserve"> non linéaires</w:t>
            </w:r>
            <w:r w:rsidRPr="00EB1924">
              <w:rPr>
                <w:b/>
                <w:i/>
              </w:rPr>
              <w:t>,</w:t>
            </w:r>
            <w:r w:rsidRPr="00EB1924">
              <w:t xml:space="preserve"> le 24 février 2023 dans le cas de certaines lampes fluorescentes compactes, </w:t>
            </w:r>
            <w:r w:rsidRPr="00EB1924">
              <w:rPr>
                <w:b/>
                <w:i/>
              </w:rPr>
              <w:t>et le 24 août 2023 pour les</w:t>
            </w:r>
            <w:r w:rsidRPr="00EB1924">
              <w:t xml:space="preserve"> tubes fluorescents linéaires </w:t>
            </w:r>
            <w:r w:rsidRPr="00EB1924">
              <w:rPr>
                <w:b/>
                <w:i/>
              </w:rPr>
              <w:t>d’éclairage ordinaire. Pour les tubes fluorescents non linéaires au phosphore à trois bandes, l’exemption expire le 24 février 2025. L’exemption pour la plupart des</w:t>
            </w:r>
            <w:r w:rsidRPr="00EB1924">
              <w:t xml:space="preserve"> lampes d’éclairage ordinaire à vapeur de sodium haute pression, </w:t>
            </w:r>
            <w:r w:rsidRPr="00EB1924">
              <w:rPr>
                <w:b/>
                <w:i/>
              </w:rPr>
              <w:t>avec des indices de rendu</w:t>
            </w:r>
            <w:r w:rsidRPr="00EB1924">
              <w:t xml:space="preserve"> des </w:t>
            </w:r>
            <w:r w:rsidRPr="00EB1924">
              <w:rPr>
                <w:b/>
                <w:i/>
              </w:rPr>
              <w:t>couleurs améliorés, a expiré le 24 février 2023, tandis que pour celles qui restent, ainsi que pour les autres lampes d’éclairage ordinaire</w:t>
            </w:r>
            <w:r w:rsidRPr="00EB1924">
              <w:t xml:space="preserve"> à </w:t>
            </w:r>
            <w:r w:rsidRPr="00EB1924">
              <w:rPr>
                <w:b/>
                <w:i/>
              </w:rPr>
              <w:t>vapeur de sodium haute pression, l’exemption expirera le 24 février 2025</w:t>
            </w:r>
            <w:r w:rsidRPr="00EB1924">
              <w:t xml:space="preserve">. En outre, certains tubes </w:t>
            </w:r>
            <w:r w:rsidRPr="00EB1924">
              <w:lastRenderedPageBreak/>
              <w:t>fluorescents linéaires d’éclairage ordinaire sont énumérés en vue d’une interdiction future dans la décision MC-4/3, adoptée lors de la quatrième réunion de la conférence des parties à la convention de Minamata sur le mercure, qui s’est tenue du 21 au 25 mars 2022</w:t>
            </w:r>
            <w:r w:rsidRPr="00EB1924">
              <w:rPr>
                <w:vertAlign w:val="superscript"/>
              </w:rPr>
              <w:t>45</w:t>
            </w:r>
            <w:r w:rsidRPr="00EB1924">
              <w:t>. Cette décision a été soutenue par l’Union au moyen de la décision (UE) 2022/549 du Conseil</w:t>
            </w:r>
            <w:r w:rsidRPr="00EB1924">
              <w:rPr>
                <w:vertAlign w:val="superscript"/>
              </w:rPr>
              <w:t>46</w:t>
            </w:r>
            <w:r w:rsidRPr="00EB1924">
              <w:t xml:space="preserve">. Étant donné </w:t>
            </w:r>
            <w:r w:rsidRPr="00EB1924">
              <w:rPr>
                <w:b/>
                <w:i/>
              </w:rPr>
              <w:t xml:space="preserve">qu’il convient d’interdire dès que possible l’exportation par l’Union des lampes contenant du mercure ajouté restantes et </w:t>
            </w:r>
            <w:r w:rsidRPr="00EB1924">
              <w:t xml:space="preserve">que certaines de ces lampes ne sont actuellement pas couvertes par l’annexe II, partie A, du règlement (UE) 2017/852, il convient, par souci de cohérence, de les y inclure afin d’interdire leur fabrication et leur exportation à partir des dates </w:t>
            </w:r>
            <w:r w:rsidRPr="00EB1924">
              <w:rPr>
                <w:b/>
                <w:i/>
              </w:rPr>
              <w:t>précisées</w:t>
            </w:r>
            <w:r w:rsidRPr="00EB1924">
              <w:t xml:space="preserve"> à l’annexe III de la directive</w:t>
            </w:r>
            <w:r w:rsidRPr="00EB1924">
              <w:rPr>
                <w:b/>
                <w:i/>
              </w:rPr>
              <w:t> </w:t>
            </w:r>
            <w:r w:rsidRPr="00EB1924">
              <w:t xml:space="preserve">2011/65/UE et des dates les plus ambitieuses figurant dans la décision MC-4/3. </w:t>
            </w:r>
            <w:r w:rsidRPr="00EB1924">
              <w:rPr>
                <w:b/>
                <w:i/>
              </w:rPr>
              <w:t>En outre, des avantages connexes importants peuvent être obtenus en abandonnant progressivement les exportations de lampes contenant du mercure ajouté dès que possible, étant donné que les solutions de remplacement sans mercure sont plus efficaces sur le plan énergétique et empêcheraient donc l’émission de tonnes de CO</w:t>
            </w:r>
            <w:r w:rsidRPr="00EB1924">
              <w:rPr>
                <w:b/>
                <w:i/>
                <w:vertAlign w:val="subscript"/>
              </w:rPr>
              <w:t>2</w:t>
            </w:r>
            <w:r w:rsidRPr="00EB1924">
              <w:rPr>
                <w:b/>
                <w:i/>
              </w:rPr>
              <w:t>.</w:t>
            </w:r>
          </w:p>
        </w:tc>
      </w:tr>
      <w:tr w:rsidR="00EB7824" w:rsidRPr="00EB1924" w:rsidTr="0037396F">
        <w:trPr>
          <w:jc w:val="center"/>
        </w:trPr>
        <w:tc>
          <w:tcPr>
            <w:tcW w:w="4876" w:type="dxa"/>
          </w:tcPr>
          <w:p w:rsidR="00EB7824" w:rsidRPr="00EB1924" w:rsidRDefault="00EB7824" w:rsidP="0037396F">
            <w:pPr>
              <w:pStyle w:val="Normal6"/>
              <w:widowControl/>
            </w:pPr>
            <w:r w:rsidRPr="00EB1924">
              <w:lastRenderedPageBreak/>
              <w:t>__________________</w:t>
            </w:r>
          </w:p>
        </w:tc>
        <w:tc>
          <w:tcPr>
            <w:tcW w:w="4876" w:type="dxa"/>
          </w:tcPr>
          <w:p w:rsidR="00EB7824" w:rsidRPr="00EB1924" w:rsidRDefault="00EB7824" w:rsidP="0037396F">
            <w:pPr>
              <w:pStyle w:val="Normal6"/>
              <w:widowControl/>
              <w:rPr>
                <w:szCs w:val="24"/>
              </w:rPr>
            </w:pPr>
            <w:r w:rsidRPr="00EB1924">
              <w:t>__________________</w:t>
            </w:r>
          </w:p>
        </w:tc>
      </w:tr>
      <w:tr w:rsidR="00EB7824" w:rsidRPr="00EB1924" w:rsidTr="0037396F">
        <w:trPr>
          <w:jc w:val="center"/>
        </w:trPr>
        <w:tc>
          <w:tcPr>
            <w:tcW w:w="4876" w:type="dxa"/>
          </w:tcPr>
          <w:p w:rsidR="00EB7824" w:rsidRPr="00EB1924" w:rsidRDefault="00EB7824" w:rsidP="0037396F">
            <w:pPr>
              <w:pStyle w:val="Normal6"/>
              <w:widowControl/>
            </w:pPr>
            <w:r w:rsidRPr="00EB1924">
              <w:rPr>
                <w:vertAlign w:val="superscript"/>
              </w:rPr>
              <w:t>44</w:t>
            </w:r>
            <w:r w:rsidRPr="00EB1924">
              <w:t xml:space="preserve"> Directive 2011/65/UE du Parlement européen et du Conseil du 8 juin 2011 relative à la limitation de l’utilisation de certaines substances dangereuses dans les équipements électriques et électroniques (JO L 174 du 1.7.2011).</w:t>
            </w:r>
          </w:p>
        </w:tc>
        <w:tc>
          <w:tcPr>
            <w:tcW w:w="4876" w:type="dxa"/>
          </w:tcPr>
          <w:p w:rsidR="00EB7824" w:rsidRPr="00EB1924" w:rsidRDefault="00EB7824" w:rsidP="0037396F">
            <w:pPr>
              <w:pStyle w:val="Normal6"/>
              <w:widowControl/>
              <w:rPr>
                <w:szCs w:val="24"/>
              </w:rPr>
            </w:pPr>
            <w:r w:rsidRPr="00EB1924">
              <w:rPr>
                <w:vertAlign w:val="superscript"/>
              </w:rPr>
              <w:t>44</w:t>
            </w:r>
            <w:r w:rsidRPr="00EB1924">
              <w:t xml:space="preserve"> Directive 2011/65/UE du Parlement européen et du Conseil du 8 juin 2011 relative à la limitation de l’utilisation de certaines substances dangereuses dans les équipements électriques et électroniques (JO L 174 du 1.7.2011).</w:t>
            </w:r>
          </w:p>
        </w:tc>
      </w:tr>
      <w:tr w:rsidR="00EB7824" w:rsidRPr="00EB1924" w:rsidTr="0037396F">
        <w:trPr>
          <w:jc w:val="center"/>
        </w:trPr>
        <w:tc>
          <w:tcPr>
            <w:tcW w:w="4876" w:type="dxa"/>
          </w:tcPr>
          <w:p w:rsidR="00EB7824" w:rsidRPr="00EB1924" w:rsidRDefault="00EB7824" w:rsidP="0037396F">
            <w:pPr>
              <w:pStyle w:val="Normal6"/>
              <w:widowControl/>
            </w:pPr>
            <w:r w:rsidRPr="00EB1924">
              <w:rPr>
                <w:vertAlign w:val="superscript"/>
              </w:rPr>
              <w:t>45</w:t>
            </w:r>
            <w:r w:rsidRPr="00EB1924">
              <w:t xml:space="preserve"> Décision (UE) 2022/549 du Conseil du 17 mars 2022 relative à la position à prendre, au nom de l’Union européenne, lors du deuxième segment de la quatrième réunion de la conférence des parties à la convention de Minamata sur le mercure, en ce qui concerne l’adoption d’une décision visant à amender les annexes A et B de ladite convention (JO L 107 du 6.4.2022, p. 78).</w:t>
            </w:r>
          </w:p>
        </w:tc>
        <w:tc>
          <w:tcPr>
            <w:tcW w:w="4876" w:type="dxa"/>
          </w:tcPr>
          <w:p w:rsidR="00EB7824" w:rsidRPr="00EB1924" w:rsidRDefault="00EB7824" w:rsidP="0037396F">
            <w:pPr>
              <w:pStyle w:val="Normal6"/>
              <w:widowControl/>
              <w:rPr>
                <w:szCs w:val="24"/>
              </w:rPr>
            </w:pPr>
            <w:r w:rsidRPr="00EB1924">
              <w:rPr>
                <w:vertAlign w:val="superscript"/>
              </w:rPr>
              <w:t>45</w:t>
            </w:r>
            <w:r w:rsidRPr="00EB1924">
              <w:t xml:space="preserve"> Décision (UE) 2022/549 du Conseil du 17 mars 2022 relative à la position à prendre, au nom de l’Union européenne, lors du deuxième segment de la quatrième réunion de la conférence des parties à la convention de Minamata sur le mercure, en ce qui concerne l’adoption d’une décision visant à amender les annexes A et B de ladite convention (JO L 107 du 6.4.2022, p. 78).</w:t>
            </w:r>
          </w:p>
        </w:tc>
      </w:tr>
      <w:tr w:rsidR="00EB7824" w:rsidRPr="00EB1924" w:rsidTr="0037396F">
        <w:trPr>
          <w:jc w:val="center"/>
        </w:trPr>
        <w:tc>
          <w:tcPr>
            <w:tcW w:w="4876" w:type="dxa"/>
          </w:tcPr>
          <w:p w:rsidR="00EB7824" w:rsidRPr="00EB1924" w:rsidRDefault="00EB7824" w:rsidP="0037396F">
            <w:pPr>
              <w:pStyle w:val="Normal6"/>
              <w:widowControl/>
            </w:pPr>
            <w:r w:rsidRPr="00EB1924">
              <w:rPr>
                <w:vertAlign w:val="superscript"/>
              </w:rPr>
              <w:t>46</w:t>
            </w:r>
            <w:r w:rsidRPr="00EB1924">
              <w:t xml:space="preserve"> Décision (UE) 2022/549 du Conseil du 17 mars 2022 relative à la position à </w:t>
            </w:r>
            <w:r w:rsidRPr="00EB1924">
              <w:lastRenderedPageBreak/>
              <w:t>prendre, au nom de l’Union européenne, lors du deuxième segment de la quatrième réunion de la conférence des parties à la convention de Minamata sur le mercure, en ce qui concerne l’adoption d’une décision visant à amender les annexes A et B de ladite convention (JO L 107 du 6.4.2022, p. 78).</w:t>
            </w:r>
          </w:p>
        </w:tc>
        <w:tc>
          <w:tcPr>
            <w:tcW w:w="4876" w:type="dxa"/>
          </w:tcPr>
          <w:p w:rsidR="00EB7824" w:rsidRPr="00EB1924" w:rsidRDefault="00EB7824" w:rsidP="0037396F">
            <w:pPr>
              <w:pStyle w:val="Normal6"/>
              <w:widowControl/>
              <w:rPr>
                <w:szCs w:val="24"/>
              </w:rPr>
            </w:pPr>
            <w:r w:rsidRPr="00EB1924">
              <w:rPr>
                <w:vertAlign w:val="superscript"/>
              </w:rPr>
              <w:lastRenderedPageBreak/>
              <w:t>46</w:t>
            </w:r>
            <w:r w:rsidRPr="00EB1924">
              <w:t xml:space="preserve"> Décision (UE) 2022/549 du Conseil du 17 mars 2022 relative à la position à </w:t>
            </w:r>
            <w:r w:rsidRPr="00EB1924">
              <w:lastRenderedPageBreak/>
              <w:t>prendre, au nom de l’Union européenne, lors du deuxième segment de la quatrième réunion de la conférence des parties à la convention de Minamata sur le mercure, en ce qui concerne l’adoption d’une décision visant à amender les annexes A et B de ladite convention (JO L 107 du 6.4.2022, p. 78).</w:t>
            </w:r>
          </w:p>
        </w:tc>
      </w:tr>
    </w:tbl>
    <w:p w:rsidR="00EB7824" w:rsidRPr="00EB1924" w:rsidRDefault="00EB7824" w:rsidP="00EB7824">
      <w:pPr>
        <w:widowControl/>
      </w:pPr>
    </w:p>
    <w:p w:rsidR="00EB7824" w:rsidRPr="00EB1924" w:rsidRDefault="00EB7824" w:rsidP="00EB7824">
      <w:pPr>
        <w:pStyle w:val="AmNumberTabs"/>
        <w:widowControl/>
      </w:pPr>
      <w:r w:rsidRPr="00EB1924">
        <w:t>Amendement</w:t>
      </w:r>
      <w:r w:rsidRPr="00EB1924">
        <w:tab/>
      </w:r>
      <w:r w:rsidRPr="00EB1924">
        <w:tab/>
        <w:t>5</w:t>
      </w:r>
    </w:p>
    <w:p w:rsidR="00EB7824" w:rsidRPr="00EB1924" w:rsidRDefault="00EB7824" w:rsidP="00EB7824">
      <w:pPr>
        <w:widowControl/>
      </w:pPr>
    </w:p>
    <w:p w:rsidR="00EB7824" w:rsidRPr="00EB1924" w:rsidRDefault="00EB7824" w:rsidP="00EB7824">
      <w:pPr>
        <w:pStyle w:val="NormalBold"/>
        <w:keepNext/>
        <w:widowControl/>
      </w:pPr>
      <w:r w:rsidRPr="00EB1924">
        <w:t>Proposition de règlement</w:t>
      </w:r>
    </w:p>
    <w:p w:rsidR="00EB7824" w:rsidRPr="00EB1924" w:rsidRDefault="00EB7824" w:rsidP="00EB7824">
      <w:pPr>
        <w:pStyle w:val="NormalBold"/>
        <w:widowControl/>
      </w:pPr>
      <w:r w:rsidRPr="00EB1924">
        <w:t>Considérant 5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824" w:rsidRPr="00EB1924" w:rsidTr="0037396F">
        <w:trPr>
          <w:jc w:val="center"/>
        </w:trPr>
        <w:tc>
          <w:tcPr>
            <w:tcW w:w="9752" w:type="dxa"/>
            <w:gridSpan w:val="2"/>
          </w:tcPr>
          <w:p w:rsidR="00EB7824" w:rsidRPr="00EB1924" w:rsidRDefault="00EB7824" w:rsidP="0037396F">
            <w:pPr>
              <w:keepNext/>
              <w:widowControl/>
            </w:pPr>
          </w:p>
        </w:tc>
      </w:tr>
      <w:tr w:rsidR="00EB7824" w:rsidRPr="00EB1924" w:rsidTr="0037396F">
        <w:trPr>
          <w:jc w:val="center"/>
        </w:trPr>
        <w:tc>
          <w:tcPr>
            <w:tcW w:w="4876" w:type="dxa"/>
          </w:tcPr>
          <w:p w:rsidR="00EB7824" w:rsidRPr="00EB1924" w:rsidRDefault="00EB7824" w:rsidP="0037396F">
            <w:pPr>
              <w:pStyle w:val="ColumnHeading"/>
              <w:keepNext/>
              <w:widowControl/>
            </w:pPr>
            <w:r w:rsidRPr="00EB1924">
              <w:t>Texte proposé par la Commission</w:t>
            </w:r>
          </w:p>
        </w:tc>
        <w:tc>
          <w:tcPr>
            <w:tcW w:w="4876" w:type="dxa"/>
          </w:tcPr>
          <w:p w:rsidR="00EB7824" w:rsidRPr="00EB1924" w:rsidRDefault="00EB7824" w:rsidP="0037396F">
            <w:pPr>
              <w:pStyle w:val="ColumnHeading"/>
              <w:keepNext/>
              <w:widowControl/>
            </w:pPr>
            <w:r w:rsidRPr="00EB1924">
              <w:t>Amendement</w:t>
            </w:r>
          </w:p>
        </w:tc>
      </w:tr>
      <w:tr w:rsidR="00EB7824" w:rsidRPr="00EB1924" w:rsidTr="0037396F">
        <w:trPr>
          <w:jc w:val="center"/>
        </w:trPr>
        <w:tc>
          <w:tcPr>
            <w:tcW w:w="4876" w:type="dxa"/>
          </w:tcPr>
          <w:p w:rsidR="00EB7824" w:rsidRPr="00EB1924" w:rsidRDefault="00EB7824" w:rsidP="0037396F">
            <w:pPr>
              <w:pStyle w:val="Normal6"/>
              <w:widowControl/>
            </w:pPr>
          </w:p>
        </w:tc>
        <w:tc>
          <w:tcPr>
            <w:tcW w:w="4876" w:type="dxa"/>
          </w:tcPr>
          <w:p w:rsidR="00EB7824" w:rsidRPr="00EB1924" w:rsidRDefault="00EB7824" w:rsidP="0037396F">
            <w:pPr>
              <w:pStyle w:val="Normal6"/>
              <w:widowControl/>
              <w:rPr>
                <w:szCs w:val="24"/>
              </w:rPr>
            </w:pPr>
            <w:r w:rsidRPr="00EB1924">
              <w:rPr>
                <w:b/>
                <w:i/>
              </w:rPr>
              <w:t>(5 bis)</w:t>
            </w:r>
            <w:r w:rsidRPr="00EB1924">
              <w:rPr>
                <w:b/>
                <w:i/>
              </w:rPr>
              <w:tab/>
              <w:t xml:space="preserve">Compte tenu des effets néfastes du mercure et de ses composés sur la santé humaine et l’environnement, l’exposition et les émissions devraient être réduites au minimum autant que possible. Des rapports récents montrent que des entreprises européennes fabriquent et exportent des composés du mercure qui servent à des usages non autorisés, en particulier dans le domaine des cosmétiques. Par conséquent, la Commission devrait rendre compte de la mise en œuvre et de l’application de la convention de Minamata, notamment en ce qui concerne l’utilisation du mercure et de ses composés dans les cosmétiques, ainsi que la fabrication, l’importation et l’exportation du mercure et de ses composés à des fins d’utilisations non autorisées. La Commission devrait continuer à évaluer les utilisations restantes du mercure, par exemple dans la </w:t>
            </w:r>
            <w:proofErr w:type="spellStart"/>
            <w:r w:rsidRPr="00EB1924">
              <w:rPr>
                <w:b/>
                <w:i/>
              </w:rPr>
              <w:t>porosimétrie</w:t>
            </w:r>
            <w:proofErr w:type="spellEnd"/>
            <w:r w:rsidRPr="00EB1924">
              <w:rPr>
                <w:b/>
                <w:i/>
              </w:rPr>
              <w:t>, les phares et les vaccins, ainsi que la nécessité de modifier la liste des grandes sources de déchets et, le cas échéant, proposer des mesures visant à supprimer progressivement ces utilisations et à réglementer la fabrication, l’importation et l’exportation à ces fins.</w:t>
            </w:r>
          </w:p>
        </w:tc>
      </w:tr>
    </w:tbl>
    <w:p w:rsidR="00EB7824" w:rsidRPr="00EB1924" w:rsidRDefault="00EB7824" w:rsidP="00EB7824">
      <w:pPr>
        <w:widowControl/>
      </w:pPr>
    </w:p>
    <w:p w:rsidR="00EB7824" w:rsidRPr="00EB1924" w:rsidRDefault="00EB7824" w:rsidP="00EB7824">
      <w:pPr>
        <w:pStyle w:val="AmNumberTabs"/>
        <w:widowControl/>
      </w:pPr>
      <w:r w:rsidRPr="00EB1924">
        <w:t>Amendement</w:t>
      </w:r>
      <w:r w:rsidRPr="00EB1924">
        <w:tab/>
      </w:r>
      <w:r w:rsidRPr="00EB1924">
        <w:tab/>
        <w:t>6</w:t>
      </w:r>
    </w:p>
    <w:p w:rsidR="00EB7824" w:rsidRPr="00EB1924" w:rsidRDefault="00EB7824" w:rsidP="00EB7824">
      <w:pPr>
        <w:pStyle w:val="NormalBold12b"/>
        <w:widowControl/>
      </w:pPr>
      <w:r w:rsidRPr="00EB1924">
        <w:lastRenderedPageBreak/>
        <w:t>Proposition de règlement</w:t>
      </w:r>
    </w:p>
    <w:p w:rsidR="00EB7824" w:rsidRPr="00EB1924" w:rsidRDefault="00EB7824" w:rsidP="00EB7824">
      <w:pPr>
        <w:pStyle w:val="NormalBold"/>
        <w:widowControl/>
      </w:pPr>
      <w:r w:rsidRPr="00EB1924">
        <w:t>Considérant 5 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824" w:rsidRPr="00EB1924" w:rsidTr="0037396F">
        <w:trPr>
          <w:trHeight w:hRule="exact" w:val="240"/>
          <w:jc w:val="center"/>
        </w:trPr>
        <w:tc>
          <w:tcPr>
            <w:tcW w:w="9752" w:type="dxa"/>
            <w:gridSpan w:val="2"/>
          </w:tcPr>
          <w:p w:rsidR="00EB7824" w:rsidRPr="00EB1924" w:rsidRDefault="00EB7824" w:rsidP="0037396F">
            <w:pPr>
              <w:widowControl/>
            </w:pPr>
          </w:p>
        </w:tc>
      </w:tr>
      <w:tr w:rsidR="00EB7824" w:rsidRPr="00EB1924" w:rsidTr="0037396F">
        <w:trPr>
          <w:trHeight w:val="240"/>
          <w:jc w:val="center"/>
        </w:trPr>
        <w:tc>
          <w:tcPr>
            <w:tcW w:w="4876" w:type="dxa"/>
          </w:tcPr>
          <w:p w:rsidR="00EB7824" w:rsidRPr="00EB1924" w:rsidRDefault="00EB7824" w:rsidP="0037396F">
            <w:pPr>
              <w:pStyle w:val="AmColumnHeading"/>
              <w:widowControl/>
            </w:pPr>
            <w:r w:rsidRPr="00EB1924">
              <w:t>Texte proposé par la Commission</w:t>
            </w:r>
          </w:p>
        </w:tc>
        <w:tc>
          <w:tcPr>
            <w:tcW w:w="4876" w:type="dxa"/>
          </w:tcPr>
          <w:p w:rsidR="00EB7824" w:rsidRPr="00EB1924" w:rsidRDefault="00EB7824" w:rsidP="0037396F">
            <w:pPr>
              <w:pStyle w:val="AmColumnHeading"/>
              <w:widowControl/>
            </w:pPr>
            <w:r w:rsidRPr="00EB1924">
              <w:t>Amendement</w:t>
            </w:r>
          </w:p>
        </w:tc>
      </w:tr>
      <w:tr w:rsidR="00EB7824" w:rsidRPr="00EB1924" w:rsidTr="0037396F">
        <w:trPr>
          <w:jc w:val="center"/>
        </w:trPr>
        <w:tc>
          <w:tcPr>
            <w:tcW w:w="4876" w:type="dxa"/>
          </w:tcPr>
          <w:p w:rsidR="00EB7824" w:rsidRPr="00EB1924" w:rsidRDefault="00EB7824" w:rsidP="0037396F">
            <w:pPr>
              <w:pStyle w:val="Normal6a"/>
              <w:widowControl/>
            </w:pPr>
          </w:p>
        </w:tc>
        <w:tc>
          <w:tcPr>
            <w:tcW w:w="4876" w:type="dxa"/>
          </w:tcPr>
          <w:p w:rsidR="00EB7824" w:rsidRPr="00EB1924" w:rsidRDefault="00EB7824" w:rsidP="0037396F">
            <w:pPr>
              <w:pStyle w:val="Normal6a"/>
              <w:widowControl/>
            </w:pPr>
            <w:r w:rsidRPr="00EB1924">
              <w:rPr>
                <w:b/>
                <w:i/>
              </w:rPr>
              <w:t>(5 ter)</w:t>
            </w:r>
            <w:r w:rsidRPr="00EB1924">
              <w:tab/>
            </w:r>
            <w:r w:rsidRPr="00EB1924">
              <w:rPr>
                <w:b/>
                <w:i/>
              </w:rPr>
              <w:t>Compte tenu de l’absence de systèmes de collecte appropriés pour les produits contenant du mercure ajouté dans les déchets non électroniques et électroniques, des émissions secondaires de mercure de décharges et d’incinérateurs de déchets continuent de se produire, ce qui met en évidence la nécessité de collecter ces déchets séparément et d’une manière écologiquement rationnelle.</w:t>
            </w:r>
          </w:p>
        </w:tc>
      </w:tr>
    </w:tbl>
    <w:p w:rsidR="00EB7824" w:rsidRPr="00EB1924" w:rsidRDefault="00EB7824" w:rsidP="00EB7824">
      <w:pPr>
        <w:widowControl/>
      </w:pPr>
    </w:p>
    <w:p w:rsidR="00EB7824" w:rsidRPr="00EB1924" w:rsidRDefault="00EB7824" w:rsidP="00EB7824">
      <w:pPr>
        <w:pStyle w:val="AmNumberTabs"/>
        <w:widowControl/>
      </w:pPr>
      <w:r w:rsidRPr="00EB1924">
        <w:t>Amendement</w:t>
      </w:r>
      <w:r w:rsidRPr="00EB1924">
        <w:tab/>
      </w:r>
      <w:r w:rsidRPr="00EB1924">
        <w:tab/>
        <w:t>7</w:t>
      </w:r>
    </w:p>
    <w:p w:rsidR="00EB7824" w:rsidRPr="00EB1924" w:rsidRDefault="00EB7824" w:rsidP="00EB7824">
      <w:pPr>
        <w:widowControl/>
      </w:pPr>
    </w:p>
    <w:p w:rsidR="00EB7824" w:rsidRPr="00EB1924" w:rsidRDefault="00EB7824" w:rsidP="00EB7824">
      <w:pPr>
        <w:pStyle w:val="NormalBold"/>
        <w:keepNext/>
        <w:widowControl/>
      </w:pPr>
      <w:r w:rsidRPr="00EB1924">
        <w:t>Proposition de règlement</w:t>
      </w:r>
    </w:p>
    <w:p w:rsidR="00EB7824" w:rsidRPr="00EB1924" w:rsidRDefault="00EB7824" w:rsidP="00EB7824">
      <w:pPr>
        <w:pStyle w:val="NormalBold"/>
        <w:widowControl/>
      </w:pPr>
      <w:r w:rsidRPr="00EB1924">
        <w:t>Article 1 – alinéa 1 – point 1 – sous-point a</w:t>
      </w:r>
    </w:p>
    <w:p w:rsidR="00EB7824" w:rsidRPr="00EB1924" w:rsidRDefault="00EB7824" w:rsidP="00EB7824">
      <w:pPr>
        <w:keepNext/>
        <w:widowControl/>
      </w:pPr>
      <w:r w:rsidRPr="00EB1924">
        <w:t>Règlement (UE) 2017/852.</w:t>
      </w:r>
    </w:p>
    <w:p w:rsidR="00EB7824" w:rsidRPr="00EB1924" w:rsidRDefault="00EB7824" w:rsidP="00EB7824">
      <w:pPr>
        <w:widowControl/>
      </w:pPr>
      <w:r w:rsidRPr="00EB1924">
        <w:t>Article 10 – paragraphe 2 bis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824" w:rsidRPr="00EB1924" w:rsidTr="0037396F">
        <w:trPr>
          <w:jc w:val="center"/>
        </w:trPr>
        <w:tc>
          <w:tcPr>
            <w:tcW w:w="9752" w:type="dxa"/>
            <w:gridSpan w:val="2"/>
          </w:tcPr>
          <w:p w:rsidR="00EB7824" w:rsidRPr="00EB1924" w:rsidRDefault="00EB7824" w:rsidP="0037396F">
            <w:pPr>
              <w:keepNext/>
              <w:widowControl/>
            </w:pPr>
          </w:p>
        </w:tc>
      </w:tr>
      <w:tr w:rsidR="00EB7824" w:rsidRPr="00EB1924" w:rsidTr="0037396F">
        <w:trPr>
          <w:jc w:val="center"/>
        </w:trPr>
        <w:tc>
          <w:tcPr>
            <w:tcW w:w="4876" w:type="dxa"/>
          </w:tcPr>
          <w:p w:rsidR="00EB7824" w:rsidRPr="00EB1924" w:rsidRDefault="00EB7824" w:rsidP="0037396F">
            <w:pPr>
              <w:pStyle w:val="ColumnHeading"/>
              <w:keepNext/>
              <w:widowControl/>
            </w:pPr>
            <w:r w:rsidRPr="00EB1924">
              <w:t>Texte proposé par la Commission</w:t>
            </w:r>
          </w:p>
        </w:tc>
        <w:tc>
          <w:tcPr>
            <w:tcW w:w="4876" w:type="dxa"/>
          </w:tcPr>
          <w:p w:rsidR="00EB7824" w:rsidRPr="00EB1924" w:rsidRDefault="00EB7824" w:rsidP="0037396F">
            <w:pPr>
              <w:pStyle w:val="ColumnHeading"/>
              <w:keepNext/>
              <w:widowControl/>
            </w:pPr>
            <w:r w:rsidRPr="00EB1924">
              <w:t>Amendement</w:t>
            </w:r>
          </w:p>
        </w:tc>
      </w:tr>
      <w:tr w:rsidR="00EB7824" w:rsidRPr="00EB1924" w:rsidTr="0037396F">
        <w:trPr>
          <w:jc w:val="center"/>
        </w:trPr>
        <w:tc>
          <w:tcPr>
            <w:tcW w:w="4876" w:type="dxa"/>
          </w:tcPr>
          <w:p w:rsidR="00EB7824" w:rsidRPr="00EB1924" w:rsidRDefault="00EB7824" w:rsidP="0037396F">
            <w:pPr>
              <w:pStyle w:val="Normal6"/>
              <w:widowControl/>
            </w:pPr>
            <w:r w:rsidRPr="00EB1924">
              <w:t>2 bis.</w:t>
            </w:r>
            <w:r w:rsidRPr="00EB1924">
              <w:tab/>
              <w:t>À partir du 1</w:t>
            </w:r>
            <w:r w:rsidRPr="00EB1924">
              <w:rPr>
                <w:vertAlign w:val="superscript"/>
              </w:rPr>
              <w:t>er</w:t>
            </w:r>
            <w:r w:rsidRPr="00EB1924">
              <w:t> </w:t>
            </w:r>
            <w:r w:rsidRPr="00EB1924">
              <w:rPr>
                <w:b/>
                <w:i/>
              </w:rPr>
              <w:t xml:space="preserve">juillet </w:t>
            </w:r>
            <w:r w:rsidRPr="00EB1924">
              <w:t>2025, les amalgames dentaires ne sont utilisés dans les traitements dentaires d’aucun membre de la population, à moins que le praticien de l’art dentaire ne le juge strictement nécessaire en raison des besoins médicaux spécifiques du patient.</w:t>
            </w:r>
          </w:p>
        </w:tc>
        <w:tc>
          <w:tcPr>
            <w:tcW w:w="4876" w:type="dxa"/>
          </w:tcPr>
          <w:p w:rsidR="00EB7824" w:rsidRPr="00EB1924" w:rsidRDefault="00EB7824" w:rsidP="0037396F">
            <w:pPr>
              <w:pStyle w:val="Normal6"/>
              <w:widowControl/>
              <w:rPr>
                <w:szCs w:val="24"/>
              </w:rPr>
            </w:pPr>
            <w:r w:rsidRPr="00EB1924">
              <w:t>2 bis.</w:t>
            </w:r>
            <w:r w:rsidRPr="00EB1924">
              <w:tab/>
              <w:t>À partir du 1</w:t>
            </w:r>
            <w:r w:rsidRPr="00EB1924">
              <w:rPr>
                <w:vertAlign w:val="superscript"/>
              </w:rPr>
              <w:t>er</w:t>
            </w:r>
            <w:r w:rsidRPr="00EB1924">
              <w:t> </w:t>
            </w:r>
            <w:r w:rsidRPr="00EB1924">
              <w:rPr>
                <w:b/>
                <w:i/>
              </w:rPr>
              <w:t>janvier </w:t>
            </w:r>
            <w:r w:rsidRPr="00EB1924">
              <w:t xml:space="preserve">2025, les amalgames dentaires ne sont utilisés dans les traitements dentaires d’aucun membre de la population, à moins que le praticien de l’art dentaire ne le juge strictement nécessaire en raison des besoins médicaux spécifiques </w:t>
            </w:r>
            <w:r w:rsidRPr="00EB1924">
              <w:rPr>
                <w:b/>
                <w:i/>
              </w:rPr>
              <w:t xml:space="preserve">et dûment justifiés </w:t>
            </w:r>
            <w:r w:rsidRPr="00EB1924">
              <w:t>du patient.</w:t>
            </w:r>
          </w:p>
        </w:tc>
      </w:tr>
    </w:tbl>
    <w:p w:rsidR="00EB7824" w:rsidRPr="00EB1924" w:rsidRDefault="00EB7824" w:rsidP="00EB7824">
      <w:pPr>
        <w:widowControl/>
      </w:pPr>
    </w:p>
    <w:p w:rsidR="00EB7824" w:rsidRPr="00EB1924" w:rsidRDefault="00EB7824" w:rsidP="00EB7824">
      <w:pPr>
        <w:pStyle w:val="AmNumberTabs"/>
        <w:widowControl/>
      </w:pPr>
      <w:r w:rsidRPr="00EB1924">
        <w:t>Amendement</w:t>
      </w:r>
      <w:r w:rsidRPr="00EB1924">
        <w:tab/>
      </w:r>
      <w:r w:rsidRPr="00EB1924">
        <w:tab/>
        <w:t>8</w:t>
      </w:r>
    </w:p>
    <w:p w:rsidR="00EB7824" w:rsidRPr="00EB1924" w:rsidRDefault="00EB7824" w:rsidP="00EB7824">
      <w:pPr>
        <w:pStyle w:val="NormalBold12b"/>
        <w:widowControl/>
      </w:pPr>
      <w:r w:rsidRPr="00EB1924">
        <w:t>Proposition de règlement</w:t>
      </w:r>
    </w:p>
    <w:p w:rsidR="00EB7824" w:rsidRPr="00EB1924" w:rsidRDefault="00EB7824" w:rsidP="00EB7824">
      <w:pPr>
        <w:pStyle w:val="NormalBold"/>
        <w:widowControl/>
      </w:pPr>
      <w:r w:rsidRPr="00EB1924">
        <w:t>Article 1 – alinéa 1 – point 1 bis (nouveau)</w:t>
      </w:r>
    </w:p>
    <w:p w:rsidR="00EB7824" w:rsidRPr="00EB1924" w:rsidRDefault="00EB7824" w:rsidP="00EB7824">
      <w:pPr>
        <w:widowControl/>
      </w:pPr>
      <w:r w:rsidRPr="00EB1924">
        <w:t>Règlement (UE) 2017/852.</w:t>
      </w:r>
    </w:p>
    <w:p w:rsidR="00EB7824" w:rsidRPr="00EB1924" w:rsidRDefault="00EB7824" w:rsidP="00EB7824">
      <w:pPr>
        <w:widowControl/>
      </w:pPr>
      <w:r w:rsidRPr="00EB1924">
        <w:t>Article 11 – alinéa 1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7824" w:rsidRPr="00EB1924" w:rsidTr="0037396F">
        <w:trPr>
          <w:trHeight w:hRule="exact" w:val="240"/>
          <w:jc w:val="center"/>
        </w:trPr>
        <w:tc>
          <w:tcPr>
            <w:tcW w:w="9752" w:type="dxa"/>
            <w:gridSpan w:val="2"/>
          </w:tcPr>
          <w:p w:rsidR="00EB7824" w:rsidRPr="00EB1924" w:rsidRDefault="00EB7824" w:rsidP="0037396F">
            <w:pPr>
              <w:widowControl/>
            </w:pPr>
          </w:p>
        </w:tc>
      </w:tr>
      <w:tr w:rsidR="00EB7824" w:rsidRPr="00EB1924" w:rsidTr="0037396F">
        <w:trPr>
          <w:trHeight w:val="240"/>
          <w:jc w:val="center"/>
        </w:trPr>
        <w:tc>
          <w:tcPr>
            <w:tcW w:w="4876" w:type="dxa"/>
          </w:tcPr>
          <w:p w:rsidR="00EB7824" w:rsidRPr="00EB1924" w:rsidRDefault="00EB7824" w:rsidP="0037396F">
            <w:pPr>
              <w:pStyle w:val="AmColumnHeading"/>
              <w:widowControl/>
            </w:pPr>
            <w:r w:rsidRPr="00EB1924">
              <w:t>Texte proposé par la Commission</w:t>
            </w:r>
          </w:p>
        </w:tc>
        <w:tc>
          <w:tcPr>
            <w:tcW w:w="4876" w:type="dxa"/>
          </w:tcPr>
          <w:p w:rsidR="00EB7824" w:rsidRPr="00EB1924" w:rsidRDefault="00EB7824" w:rsidP="0037396F">
            <w:pPr>
              <w:pStyle w:val="AmColumnHeading"/>
              <w:widowControl/>
            </w:pPr>
            <w:r w:rsidRPr="00EB1924">
              <w:t>Amendement</w:t>
            </w:r>
          </w:p>
        </w:tc>
      </w:tr>
      <w:tr w:rsidR="00EB7824" w:rsidRPr="00EB1924" w:rsidTr="0037396F">
        <w:trPr>
          <w:jc w:val="center"/>
        </w:trPr>
        <w:tc>
          <w:tcPr>
            <w:tcW w:w="4876" w:type="dxa"/>
          </w:tcPr>
          <w:p w:rsidR="00EB7824" w:rsidRPr="00EB1924" w:rsidRDefault="00EB7824" w:rsidP="0037396F">
            <w:pPr>
              <w:pStyle w:val="Normal6a"/>
              <w:widowControl/>
            </w:pPr>
          </w:p>
        </w:tc>
        <w:tc>
          <w:tcPr>
            <w:tcW w:w="4876" w:type="dxa"/>
          </w:tcPr>
          <w:p w:rsidR="00EB7824" w:rsidRPr="00EB1924" w:rsidRDefault="00EB7824" w:rsidP="0037396F">
            <w:pPr>
              <w:pStyle w:val="Normal6a"/>
              <w:widowControl/>
            </w:pPr>
            <w:r w:rsidRPr="00EB1924">
              <w:rPr>
                <w:b/>
                <w:i/>
              </w:rPr>
              <w:t>1 bis)</w:t>
            </w:r>
            <w:r w:rsidRPr="00EB1924">
              <w:tab/>
            </w:r>
            <w:r w:rsidRPr="00EB1924">
              <w:rPr>
                <w:b/>
                <w:i/>
              </w:rPr>
              <w:t>À l’article 11, l’alinéa suivant est ajouté:</w:t>
            </w:r>
          </w:p>
        </w:tc>
      </w:tr>
      <w:tr w:rsidR="00EB7824" w:rsidRPr="00EB1924" w:rsidTr="0037396F">
        <w:trPr>
          <w:jc w:val="center"/>
        </w:trPr>
        <w:tc>
          <w:tcPr>
            <w:tcW w:w="4876" w:type="dxa"/>
          </w:tcPr>
          <w:p w:rsidR="00EB7824" w:rsidRPr="00EB1924" w:rsidRDefault="00EB7824" w:rsidP="0037396F">
            <w:pPr>
              <w:pStyle w:val="Normal6a"/>
              <w:widowControl/>
            </w:pPr>
          </w:p>
        </w:tc>
        <w:tc>
          <w:tcPr>
            <w:tcW w:w="4876" w:type="dxa"/>
          </w:tcPr>
          <w:p w:rsidR="00EB7824" w:rsidRPr="00EB1924" w:rsidRDefault="00EB7824" w:rsidP="0037396F">
            <w:pPr>
              <w:pStyle w:val="Normal6a"/>
              <w:widowControl/>
            </w:pPr>
            <w:r w:rsidRPr="00EB1924">
              <w:rPr>
                <w:b/>
                <w:i/>
              </w:rPr>
              <w:t xml:space="preserve">«Les produits contenant du mercure ajouté qui sont toujours en circulation et qui ne peuvent plus être utilisés sont </w:t>
            </w:r>
            <w:r w:rsidRPr="00EB1924">
              <w:rPr>
                <w:b/>
                <w:i/>
              </w:rPr>
              <w:lastRenderedPageBreak/>
              <w:t>considérés comme des déchets et sont collectés séparément et d’une manière écologiquement rationnelle.»</w:t>
            </w:r>
          </w:p>
        </w:tc>
      </w:tr>
    </w:tbl>
    <w:p w:rsidR="00EB7824" w:rsidRPr="00EB1924" w:rsidRDefault="00EB7824" w:rsidP="00EB7824">
      <w:pPr>
        <w:widowControl/>
      </w:pPr>
    </w:p>
    <w:p w:rsidR="00EB7824" w:rsidRPr="00EB1924" w:rsidRDefault="00EB7824" w:rsidP="00EB7824">
      <w:pPr>
        <w:pStyle w:val="AmNumberTabs"/>
        <w:widowControl/>
      </w:pPr>
      <w:r w:rsidRPr="00EB1924">
        <w:t>Amendement</w:t>
      </w:r>
      <w:r w:rsidRPr="00EB1924">
        <w:tab/>
      </w:r>
      <w:r w:rsidRPr="00EB1924">
        <w:tab/>
        <w:t>9</w:t>
      </w:r>
    </w:p>
    <w:p w:rsidR="00EB7824" w:rsidRPr="00EB1924" w:rsidRDefault="00EB7824" w:rsidP="00EB7824">
      <w:pPr>
        <w:widowControl/>
      </w:pPr>
    </w:p>
    <w:p w:rsidR="00EB7824" w:rsidRPr="00EB1924" w:rsidRDefault="00EB7824" w:rsidP="00EB7824">
      <w:pPr>
        <w:pStyle w:val="NormalBold"/>
        <w:keepNext/>
        <w:widowControl/>
      </w:pPr>
      <w:r w:rsidRPr="00EB1924">
        <w:t>Proposition de règlement</w:t>
      </w:r>
    </w:p>
    <w:p w:rsidR="00EB7824" w:rsidRPr="00EB1924" w:rsidRDefault="00EB7824" w:rsidP="00EB7824">
      <w:pPr>
        <w:pStyle w:val="NormalBold"/>
        <w:widowControl/>
      </w:pPr>
      <w:r w:rsidRPr="00EB1924">
        <w:t>Article 1 – alinéa 1 – point 1 ter (nouveau)</w:t>
      </w:r>
    </w:p>
    <w:p w:rsidR="00EB7824" w:rsidRPr="00EB1924" w:rsidRDefault="00EB7824" w:rsidP="00EB7824">
      <w:pPr>
        <w:keepNext/>
        <w:widowControl/>
      </w:pPr>
      <w:r w:rsidRPr="00EB1924">
        <w:t>Règlement (UE) 2017/852</w:t>
      </w:r>
    </w:p>
    <w:p w:rsidR="00EB7824" w:rsidRPr="00EB1924" w:rsidRDefault="00EB7824" w:rsidP="00EB7824">
      <w:pPr>
        <w:widowControl/>
      </w:pPr>
      <w:r w:rsidRPr="00EB1924">
        <w:t>Article 18 – paragraphe 3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824" w:rsidRPr="00EB1924" w:rsidTr="0037396F">
        <w:trPr>
          <w:jc w:val="center"/>
        </w:trPr>
        <w:tc>
          <w:tcPr>
            <w:tcW w:w="9752" w:type="dxa"/>
            <w:gridSpan w:val="2"/>
          </w:tcPr>
          <w:p w:rsidR="00EB7824" w:rsidRPr="00EB1924" w:rsidRDefault="00EB7824" w:rsidP="0037396F">
            <w:pPr>
              <w:keepNext/>
              <w:widowControl/>
            </w:pPr>
          </w:p>
        </w:tc>
      </w:tr>
      <w:tr w:rsidR="00EB7824" w:rsidRPr="00EB1924" w:rsidTr="0037396F">
        <w:trPr>
          <w:jc w:val="center"/>
        </w:trPr>
        <w:tc>
          <w:tcPr>
            <w:tcW w:w="4876" w:type="dxa"/>
          </w:tcPr>
          <w:p w:rsidR="00EB7824" w:rsidRPr="00EB1924" w:rsidRDefault="00EB7824" w:rsidP="0037396F">
            <w:pPr>
              <w:pStyle w:val="ColumnHeading"/>
              <w:keepNext/>
              <w:widowControl/>
            </w:pPr>
            <w:r w:rsidRPr="00EB1924">
              <w:t>Texte proposé par la Commission</w:t>
            </w:r>
          </w:p>
        </w:tc>
        <w:tc>
          <w:tcPr>
            <w:tcW w:w="4876" w:type="dxa"/>
          </w:tcPr>
          <w:p w:rsidR="00EB7824" w:rsidRPr="00EB1924" w:rsidRDefault="00EB7824" w:rsidP="0037396F">
            <w:pPr>
              <w:pStyle w:val="ColumnHeading"/>
              <w:keepNext/>
              <w:widowControl/>
            </w:pPr>
            <w:r w:rsidRPr="00EB1924">
              <w:t>Amendement</w:t>
            </w:r>
          </w:p>
        </w:tc>
      </w:tr>
      <w:tr w:rsidR="00EB7824" w:rsidRPr="00EB1924" w:rsidTr="0037396F">
        <w:trPr>
          <w:jc w:val="center"/>
        </w:trPr>
        <w:tc>
          <w:tcPr>
            <w:tcW w:w="4876" w:type="dxa"/>
          </w:tcPr>
          <w:p w:rsidR="00EB7824" w:rsidRPr="00EB1924" w:rsidRDefault="00EB7824" w:rsidP="0037396F">
            <w:pPr>
              <w:pStyle w:val="Normal6"/>
              <w:widowControl/>
            </w:pPr>
          </w:p>
        </w:tc>
        <w:tc>
          <w:tcPr>
            <w:tcW w:w="4876" w:type="dxa"/>
          </w:tcPr>
          <w:p w:rsidR="00EB7824" w:rsidRPr="00EB1924" w:rsidRDefault="00EB7824" w:rsidP="0037396F">
            <w:pPr>
              <w:pStyle w:val="Normal6"/>
              <w:widowControl/>
              <w:rPr>
                <w:szCs w:val="24"/>
              </w:rPr>
            </w:pPr>
            <w:r w:rsidRPr="00EB1924">
              <w:rPr>
                <w:b/>
                <w:i/>
              </w:rPr>
              <w:t>1 ter)</w:t>
            </w:r>
            <w:r w:rsidRPr="00EB1924">
              <w:rPr>
                <w:b/>
                <w:i/>
              </w:rPr>
              <w:tab/>
              <w:t>À l’article 18, le paragraphe suivant est ajouté:</w:t>
            </w:r>
          </w:p>
        </w:tc>
      </w:tr>
      <w:tr w:rsidR="00EB7824" w:rsidRPr="00EB1924" w:rsidTr="0037396F">
        <w:trPr>
          <w:jc w:val="center"/>
        </w:trPr>
        <w:tc>
          <w:tcPr>
            <w:tcW w:w="4876" w:type="dxa"/>
          </w:tcPr>
          <w:p w:rsidR="00EB7824" w:rsidRPr="00EB1924" w:rsidRDefault="00EB7824" w:rsidP="0037396F">
            <w:pPr>
              <w:pStyle w:val="Normal6a"/>
              <w:widowControl/>
            </w:pPr>
          </w:p>
        </w:tc>
        <w:tc>
          <w:tcPr>
            <w:tcW w:w="4876" w:type="dxa"/>
          </w:tcPr>
          <w:p w:rsidR="00EB7824" w:rsidRPr="00EB1924" w:rsidRDefault="00EB7824" w:rsidP="00A26AD0">
            <w:pPr>
              <w:pStyle w:val="Normal6a"/>
              <w:widowControl/>
              <w:rPr>
                <w:szCs w:val="24"/>
              </w:rPr>
            </w:pPr>
            <w:r w:rsidRPr="00EB1924">
              <w:rPr>
                <w:b/>
                <w:i/>
              </w:rPr>
              <w:t>«3 bis.</w:t>
            </w:r>
            <w:r w:rsidRPr="00EB1924">
              <w:rPr>
                <w:b/>
                <w:i/>
              </w:rPr>
              <w:tab/>
              <w:t>Au plus tard le 3</w:t>
            </w:r>
            <w:r w:rsidR="00A26AD0">
              <w:rPr>
                <w:b/>
                <w:i/>
              </w:rPr>
              <w:t>0</w:t>
            </w:r>
            <w:r w:rsidRPr="00EB1924">
              <w:rPr>
                <w:b/>
                <w:i/>
              </w:rPr>
              <w:t> juin 2024, et tous les deux ans par la suite, les États membres font rapport à la Commission sur les mesures prévues et mises en œuvre pour réduire les émissions et les rejets de mercure provenant des crématoriums.</w:t>
            </w:r>
          </w:p>
        </w:tc>
      </w:tr>
      <w:tr w:rsidR="00EB7824" w:rsidRPr="00EB1924" w:rsidTr="0037396F">
        <w:trPr>
          <w:jc w:val="center"/>
        </w:trPr>
        <w:tc>
          <w:tcPr>
            <w:tcW w:w="4876" w:type="dxa"/>
          </w:tcPr>
          <w:p w:rsidR="00EB7824" w:rsidRPr="00EB1924" w:rsidRDefault="00EB7824" w:rsidP="0037396F">
            <w:pPr>
              <w:pStyle w:val="Normal6"/>
              <w:widowControl/>
            </w:pPr>
          </w:p>
        </w:tc>
        <w:tc>
          <w:tcPr>
            <w:tcW w:w="4876" w:type="dxa"/>
          </w:tcPr>
          <w:p w:rsidR="00EB7824" w:rsidRPr="00EB1924" w:rsidRDefault="00EB7824" w:rsidP="0037396F">
            <w:pPr>
              <w:pStyle w:val="Normal6"/>
              <w:widowControl/>
              <w:rPr>
                <w:szCs w:val="24"/>
              </w:rPr>
            </w:pPr>
            <w:r w:rsidRPr="00EB1924">
              <w:rPr>
                <w:b/>
                <w:i/>
              </w:rPr>
              <w:t>La Commission met à la disposition du public les données relatives aux mesures communiquées par les États membres conformément au premier alinéa.»</w:t>
            </w:r>
          </w:p>
        </w:tc>
      </w:tr>
    </w:tbl>
    <w:p w:rsidR="00EB7824" w:rsidRPr="00EB1924" w:rsidRDefault="00EB7824" w:rsidP="00EB7824">
      <w:pPr>
        <w:widowControl/>
      </w:pPr>
    </w:p>
    <w:p w:rsidR="00EB7824" w:rsidRPr="00EB1924" w:rsidRDefault="00EB7824" w:rsidP="00EB7824">
      <w:pPr>
        <w:pStyle w:val="AmNumberTabs"/>
        <w:widowControl/>
      </w:pPr>
      <w:r w:rsidRPr="00EB1924">
        <w:t>Amendement</w:t>
      </w:r>
      <w:r w:rsidRPr="00EB1924">
        <w:tab/>
      </w:r>
      <w:r w:rsidRPr="00EB1924">
        <w:tab/>
        <w:t>10</w:t>
      </w:r>
    </w:p>
    <w:p w:rsidR="00EB7824" w:rsidRPr="00EB1924" w:rsidRDefault="00EB7824" w:rsidP="00EB7824">
      <w:pPr>
        <w:widowControl/>
      </w:pPr>
    </w:p>
    <w:p w:rsidR="00EB7824" w:rsidRPr="00EB1924" w:rsidRDefault="00EB7824" w:rsidP="00EB7824">
      <w:pPr>
        <w:pStyle w:val="NormalBold"/>
        <w:keepNext/>
        <w:widowControl/>
      </w:pPr>
      <w:r w:rsidRPr="00EB1924">
        <w:t>Proposition de règlement</w:t>
      </w:r>
    </w:p>
    <w:p w:rsidR="00EB7824" w:rsidRPr="00EB1924" w:rsidRDefault="00EB7824" w:rsidP="00EB7824">
      <w:pPr>
        <w:pStyle w:val="NormalBold"/>
        <w:widowControl/>
      </w:pPr>
      <w:r w:rsidRPr="00EB1924">
        <w:t>Article 1 – alinéa 1 – point 1 quater (nouveau)</w:t>
      </w:r>
    </w:p>
    <w:p w:rsidR="00EB7824" w:rsidRPr="00EB1924" w:rsidRDefault="00EB7824" w:rsidP="00EB7824">
      <w:pPr>
        <w:keepNext/>
        <w:widowControl/>
      </w:pPr>
      <w:r w:rsidRPr="00EB1924">
        <w:t>Règlement (UE) 2017/852</w:t>
      </w:r>
    </w:p>
    <w:p w:rsidR="00EB7824" w:rsidRPr="00EB1924" w:rsidRDefault="00EB7824" w:rsidP="00EB7824">
      <w:pPr>
        <w:widowControl/>
      </w:pPr>
      <w:r w:rsidRPr="00EB1924">
        <w:t>Article 19 – paragraphe 1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824" w:rsidRPr="00EB1924" w:rsidTr="0037396F">
        <w:trPr>
          <w:jc w:val="center"/>
        </w:trPr>
        <w:tc>
          <w:tcPr>
            <w:tcW w:w="9752" w:type="dxa"/>
            <w:gridSpan w:val="2"/>
          </w:tcPr>
          <w:p w:rsidR="00EB7824" w:rsidRPr="00EB1924" w:rsidRDefault="00EB7824" w:rsidP="0037396F">
            <w:pPr>
              <w:keepNext/>
              <w:widowControl/>
            </w:pPr>
          </w:p>
        </w:tc>
      </w:tr>
      <w:tr w:rsidR="00EB7824" w:rsidRPr="00EB1924" w:rsidTr="0037396F">
        <w:trPr>
          <w:jc w:val="center"/>
        </w:trPr>
        <w:tc>
          <w:tcPr>
            <w:tcW w:w="4876" w:type="dxa"/>
          </w:tcPr>
          <w:p w:rsidR="00EB7824" w:rsidRPr="00EB1924" w:rsidRDefault="00EB7824" w:rsidP="0037396F">
            <w:pPr>
              <w:pStyle w:val="ColumnHeading"/>
              <w:keepNext/>
              <w:widowControl/>
            </w:pPr>
            <w:r w:rsidRPr="00EB1924">
              <w:t>Texte proposé par la Commission</w:t>
            </w:r>
          </w:p>
        </w:tc>
        <w:tc>
          <w:tcPr>
            <w:tcW w:w="4876" w:type="dxa"/>
          </w:tcPr>
          <w:p w:rsidR="00EB7824" w:rsidRPr="00EB1924" w:rsidRDefault="00EB7824" w:rsidP="0037396F">
            <w:pPr>
              <w:pStyle w:val="ColumnHeading"/>
              <w:keepNext/>
              <w:widowControl/>
            </w:pPr>
            <w:r w:rsidRPr="00EB1924">
              <w:t>Amendement</w:t>
            </w:r>
          </w:p>
        </w:tc>
      </w:tr>
      <w:tr w:rsidR="00EB7824" w:rsidRPr="00EB1924" w:rsidTr="0037396F">
        <w:trPr>
          <w:jc w:val="center"/>
        </w:trPr>
        <w:tc>
          <w:tcPr>
            <w:tcW w:w="4876" w:type="dxa"/>
          </w:tcPr>
          <w:p w:rsidR="00EB7824" w:rsidRPr="00EB1924" w:rsidRDefault="00EB7824" w:rsidP="0037396F">
            <w:pPr>
              <w:pStyle w:val="Normal6"/>
              <w:widowControl/>
            </w:pPr>
          </w:p>
        </w:tc>
        <w:tc>
          <w:tcPr>
            <w:tcW w:w="4876" w:type="dxa"/>
          </w:tcPr>
          <w:p w:rsidR="00EB7824" w:rsidRPr="00EB1924" w:rsidRDefault="00EB7824" w:rsidP="0037396F">
            <w:pPr>
              <w:pStyle w:val="Normal6"/>
              <w:widowControl/>
              <w:rPr>
                <w:szCs w:val="24"/>
              </w:rPr>
            </w:pPr>
            <w:r w:rsidRPr="00EB1924">
              <w:rPr>
                <w:b/>
                <w:i/>
              </w:rPr>
              <w:t>1 quater)</w:t>
            </w:r>
            <w:r w:rsidRPr="00EB1924">
              <w:rPr>
                <w:b/>
                <w:i/>
              </w:rPr>
              <w:tab/>
              <w:t>À l’article 19, le paragraphe suivant est inséré:</w:t>
            </w:r>
          </w:p>
        </w:tc>
      </w:tr>
      <w:tr w:rsidR="00EB7824" w:rsidRPr="00EB1924" w:rsidTr="0037396F">
        <w:trPr>
          <w:jc w:val="center"/>
        </w:trPr>
        <w:tc>
          <w:tcPr>
            <w:tcW w:w="4876" w:type="dxa"/>
          </w:tcPr>
          <w:p w:rsidR="00EB7824" w:rsidRPr="00EB1924" w:rsidRDefault="00EB7824" w:rsidP="0037396F">
            <w:pPr>
              <w:pStyle w:val="Normal6"/>
              <w:widowControl/>
            </w:pPr>
          </w:p>
        </w:tc>
        <w:tc>
          <w:tcPr>
            <w:tcW w:w="4876" w:type="dxa"/>
          </w:tcPr>
          <w:p w:rsidR="00EB7824" w:rsidRPr="00EB1924" w:rsidRDefault="00EB7824" w:rsidP="0037396F">
            <w:pPr>
              <w:pStyle w:val="Normal6"/>
              <w:widowControl/>
              <w:rPr>
                <w:szCs w:val="24"/>
              </w:rPr>
            </w:pPr>
            <w:r w:rsidRPr="00EB1924">
              <w:rPr>
                <w:b/>
                <w:i/>
              </w:rPr>
              <w:t xml:space="preserve">«1 bis. </w:t>
            </w:r>
            <w:r w:rsidRPr="00EB1924">
              <w:rPr>
                <w:b/>
                <w:i/>
              </w:rPr>
              <w:tab/>
              <w:t xml:space="preserve">Au plus tard le 31 décembre 2025, la Commission fait rapport au Parlement européen et au Conseil sur la réduction des émissions et des rejets de mercure provenant des crématoriums, sur la base des rapports visés à l’article 18, paragraphe 3 bis, et, le cas échéant, élabore des lignes directrices sur les technologies de réduction des émissions destinées à contrôler et à réduire les </w:t>
            </w:r>
            <w:r w:rsidRPr="00EB1924">
              <w:rPr>
                <w:b/>
                <w:i/>
              </w:rPr>
              <w:lastRenderedPageBreak/>
              <w:t>émissions et les rejets de mercure provenant des crématoriums, en tenant compte des lignes directrices existantes.»</w:t>
            </w:r>
          </w:p>
        </w:tc>
      </w:tr>
    </w:tbl>
    <w:p w:rsidR="00EB7824" w:rsidRPr="00EB1924" w:rsidRDefault="00EB7824" w:rsidP="00EB7824">
      <w:pPr>
        <w:widowControl/>
      </w:pPr>
    </w:p>
    <w:p w:rsidR="00EB7824" w:rsidRPr="00EB1924" w:rsidRDefault="00EB7824" w:rsidP="00EB7824">
      <w:pPr>
        <w:pStyle w:val="AmNumberTabs"/>
        <w:widowControl/>
      </w:pPr>
      <w:r w:rsidRPr="00EB1924">
        <w:t>Amendement</w:t>
      </w:r>
      <w:r w:rsidRPr="00EB1924">
        <w:tab/>
      </w:r>
      <w:r w:rsidRPr="00EB1924">
        <w:tab/>
        <w:t>11</w:t>
      </w:r>
    </w:p>
    <w:p w:rsidR="00EB7824" w:rsidRPr="00EB1924" w:rsidRDefault="00EB7824" w:rsidP="00EB7824">
      <w:pPr>
        <w:widowControl/>
      </w:pPr>
    </w:p>
    <w:p w:rsidR="00EB7824" w:rsidRPr="00EB1924" w:rsidRDefault="00EB7824" w:rsidP="00EB7824">
      <w:pPr>
        <w:pStyle w:val="NormalBold"/>
        <w:keepNext/>
        <w:widowControl/>
      </w:pPr>
      <w:r w:rsidRPr="00EB1924">
        <w:t>Proposition de règlement</w:t>
      </w:r>
    </w:p>
    <w:p w:rsidR="00EB7824" w:rsidRPr="00EB1924" w:rsidRDefault="00EB7824" w:rsidP="00EB7824">
      <w:pPr>
        <w:pStyle w:val="NormalBold"/>
        <w:widowControl/>
      </w:pPr>
      <w:r w:rsidRPr="00EB1924">
        <w:t xml:space="preserve">Article 1 – paragraphe 1 – point 1 </w:t>
      </w:r>
      <w:proofErr w:type="spellStart"/>
      <w:r w:rsidRPr="00EB1924">
        <w:t>quinquies</w:t>
      </w:r>
      <w:proofErr w:type="spellEnd"/>
      <w:r w:rsidRPr="00EB1924">
        <w:t xml:space="preserve"> (nouveau)</w:t>
      </w:r>
    </w:p>
    <w:p w:rsidR="00EB7824" w:rsidRPr="00EB1924" w:rsidRDefault="00EB7824" w:rsidP="00EB7824">
      <w:pPr>
        <w:keepNext/>
        <w:widowControl/>
      </w:pPr>
      <w:r w:rsidRPr="00EB1924">
        <w:t>Règlement (UE) 2017/852</w:t>
      </w:r>
    </w:p>
    <w:p w:rsidR="00EB7824" w:rsidRPr="00EB1924" w:rsidRDefault="00EB7824" w:rsidP="00EB7824">
      <w:pPr>
        <w:widowControl/>
      </w:pPr>
      <w:r w:rsidRPr="00EB1924">
        <w:t>Article 19 – paragraphe 2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7824" w:rsidRPr="00EB1924" w:rsidTr="0037396F">
        <w:trPr>
          <w:jc w:val="center"/>
        </w:trPr>
        <w:tc>
          <w:tcPr>
            <w:tcW w:w="9752" w:type="dxa"/>
            <w:gridSpan w:val="2"/>
          </w:tcPr>
          <w:p w:rsidR="00EB7824" w:rsidRPr="00EB1924" w:rsidRDefault="00EB7824" w:rsidP="0037396F">
            <w:pPr>
              <w:keepNext/>
              <w:widowControl/>
            </w:pPr>
          </w:p>
        </w:tc>
      </w:tr>
      <w:tr w:rsidR="00EB7824" w:rsidRPr="00EB1924" w:rsidTr="0037396F">
        <w:trPr>
          <w:jc w:val="center"/>
        </w:trPr>
        <w:tc>
          <w:tcPr>
            <w:tcW w:w="4876" w:type="dxa"/>
          </w:tcPr>
          <w:p w:rsidR="00EB7824" w:rsidRPr="00EB1924" w:rsidRDefault="00EB7824" w:rsidP="0037396F">
            <w:pPr>
              <w:pStyle w:val="ColumnHeading"/>
              <w:keepNext/>
              <w:widowControl/>
            </w:pPr>
            <w:r w:rsidRPr="00EB1924">
              <w:t>Texte proposé par la Commission</w:t>
            </w:r>
          </w:p>
        </w:tc>
        <w:tc>
          <w:tcPr>
            <w:tcW w:w="4876" w:type="dxa"/>
          </w:tcPr>
          <w:p w:rsidR="00EB7824" w:rsidRPr="00EB1924" w:rsidRDefault="00EB7824" w:rsidP="0037396F">
            <w:pPr>
              <w:pStyle w:val="ColumnHeading"/>
              <w:keepNext/>
              <w:widowControl/>
            </w:pPr>
            <w:r w:rsidRPr="00EB1924">
              <w:t>Amendement</w:t>
            </w:r>
          </w:p>
        </w:tc>
      </w:tr>
      <w:tr w:rsidR="00EB7824" w:rsidRPr="00EB1924" w:rsidTr="0037396F">
        <w:trPr>
          <w:jc w:val="center"/>
        </w:trPr>
        <w:tc>
          <w:tcPr>
            <w:tcW w:w="4876" w:type="dxa"/>
          </w:tcPr>
          <w:p w:rsidR="00EB7824" w:rsidRPr="00EB1924" w:rsidRDefault="00EB7824" w:rsidP="0037396F">
            <w:pPr>
              <w:pStyle w:val="Normal6"/>
              <w:widowControl/>
            </w:pPr>
          </w:p>
        </w:tc>
        <w:tc>
          <w:tcPr>
            <w:tcW w:w="4876" w:type="dxa"/>
          </w:tcPr>
          <w:p w:rsidR="00EB7824" w:rsidRPr="00EB1924" w:rsidRDefault="00EB7824" w:rsidP="0037396F">
            <w:pPr>
              <w:pStyle w:val="Normal6"/>
              <w:widowControl/>
              <w:rPr>
                <w:szCs w:val="24"/>
              </w:rPr>
            </w:pPr>
            <w:r w:rsidRPr="00EB1924">
              <w:rPr>
                <w:b/>
                <w:i/>
              </w:rPr>
              <w:t xml:space="preserve">1 </w:t>
            </w:r>
            <w:proofErr w:type="spellStart"/>
            <w:r w:rsidRPr="00EB1924">
              <w:rPr>
                <w:b/>
                <w:i/>
              </w:rPr>
              <w:t>quinquies</w:t>
            </w:r>
            <w:proofErr w:type="spellEnd"/>
            <w:r w:rsidRPr="00EB1924">
              <w:rPr>
                <w:b/>
                <w:i/>
              </w:rPr>
              <w:t>)</w:t>
            </w:r>
            <w:r w:rsidRPr="00EB1924">
              <w:rPr>
                <w:b/>
                <w:i/>
              </w:rPr>
              <w:tab/>
              <w:t>À l’article 19, le paragraphe suivant est inséré:</w:t>
            </w:r>
          </w:p>
        </w:tc>
      </w:tr>
      <w:tr w:rsidR="00EB7824" w:rsidRPr="00EB1924" w:rsidTr="0037396F">
        <w:trPr>
          <w:jc w:val="center"/>
        </w:trPr>
        <w:tc>
          <w:tcPr>
            <w:tcW w:w="4876" w:type="dxa"/>
          </w:tcPr>
          <w:p w:rsidR="00EB7824" w:rsidRPr="00EB1924" w:rsidRDefault="00EB7824" w:rsidP="0037396F">
            <w:pPr>
              <w:pStyle w:val="Normal6"/>
              <w:widowControl/>
            </w:pPr>
          </w:p>
        </w:tc>
        <w:tc>
          <w:tcPr>
            <w:tcW w:w="4876" w:type="dxa"/>
          </w:tcPr>
          <w:p w:rsidR="00EB7824" w:rsidRPr="00EB1924" w:rsidRDefault="00EB7824" w:rsidP="0037396F">
            <w:pPr>
              <w:pStyle w:val="Normal6"/>
              <w:widowControl/>
              <w:rPr>
                <w:szCs w:val="24"/>
              </w:rPr>
            </w:pPr>
            <w:r w:rsidRPr="00EB1924">
              <w:rPr>
                <w:b/>
                <w:i/>
              </w:rPr>
              <w:t>«2 bis.</w:t>
            </w:r>
            <w:r w:rsidRPr="00EB1924">
              <w:rPr>
                <w:b/>
                <w:i/>
              </w:rPr>
              <w:tab/>
              <w:t>Au plus tard le 30 juin 2026, la Commission présente au Parlement européen et au Conseil un rapport évaluant la faisabilité du retrait des exemptions relatives à l’utilisation d’amalgames dentaires, visées à l’article 10, d’ici à 2030. Ce rapport décrit également l’incidence sur la santé des patients en général et des patients tributaires des amalgames.</w:t>
            </w:r>
          </w:p>
        </w:tc>
      </w:tr>
      <w:tr w:rsidR="00EB7824" w:rsidRPr="00EB1924" w:rsidTr="0037396F">
        <w:trPr>
          <w:jc w:val="center"/>
        </w:trPr>
        <w:tc>
          <w:tcPr>
            <w:tcW w:w="4876" w:type="dxa"/>
          </w:tcPr>
          <w:p w:rsidR="00EB7824" w:rsidRPr="00EB1924" w:rsidRDefault="00EB7824" w:rsidP="0037396F">
            <w:pPr>
              <w:pStyle w:val="Normal6"/>
              <w:widowControl/>
            </w:pPr>
          </w:p>
        </w:tc>
        <w:tc>
          <w:tcPr>
            <w:tcW w:w="4876" w:type="dxa"/>
          </w:tcPr>
          <w:p w:rsidR="00EB7824" w:rsidRPr="00EB1924" w:rsidRDefault="00EB7824" w:rsidP="0037396F">
            <w:pPr>
              <w:pStyle w:val="Normal6"/>
              <w:widowControl/>
              <w:rPr>
                <w:szCs w:val="24"/>
              </w:rPr>
            </w:pPr>
            <w:r w:rsidRPr="00EB1924">
              <w:rPr>
                <w:b/>
                <w:i/>
              </w:rPr>
              <w:t>Le cas échéant, la Commission présente des mesures avec son rapport visé au premier alinéa.</w:t>
            </w:r>
          </w:p>
        </w:tc>
      </w:tr>
      <w:tr w:rsidR="00EB7824" w:rsidRPr="00EB1924" w:rsidTr="0037396F">
        <w:trPr>
          <w:jc w:val="center"/>
        </w:trPr>
        <w:tc>
          <w:tcPr>
            <w:tcW w:w="4876" w:type="dxa"/>
          </w:tcPr>
          <w:p w:rsidR="00EB7824" w:rsidRPr="00EB1924" w:rsidRDefault="00EB7824" w:rsidP="0037396F">
            <w:pPr>
              <w:pStyle w:val="Normal6"/>
              <w:widowControl/>
            </w:pPr>
          </w:p>
        </w:tc>
        <w:tc>
          <w:tcPr>
            <w:tcW w:w="4876" w:type="dxa"/>
          </w:tcPr>
          <w:p w:rsidR="00EB7824" w:rsidRPr="00EB1924" w:rsidRDefault="00EB7824" w:rsidP="0037396F">
            <w:pPr>
              <w:pStyle w:val="Normal6"/>
              <w:widowControl/>
              <w:rPr>
                <w:szCs w:val="24"/>
              </w:rPr>
            </w:pPr>
            <w:r w:rsidRPr="00EB1924">
              <w:rPr>
                <w:b/>
                <w:i/>
              </w:rPr>
              <w:t>Le 31 décembre 2026 au plus tard, la Commission présente un rapport au Parlement européen et au Conseil concernant:</w:t>
            </w:r>
          </w:p>
        </w:tc>
      </w:tr>
      <w:tr w:rsidR="00EB7824" w:rsidRPr="00EB1924" w:rsidTr="0037396F">
        <w:trPr>
          <w:jc w:val="center"/>
        </w:trPr>
        <w:tc>
          <w:tcPr>
            <w:tcW w:w="4876" w:type="dxa"/>
          </w:tcPr>
          <w:p w:rsidR="00EB7824" w:rsidRPr="00EB1924" w:rsidRDefault="00EB7824" w:rsidP="0037396F">
            <w:pPr>
              <w:pStyle w:val="Normal6"/>
              <w:widowControl/>
            </w:pPr>
          </w:p>
        </w:tc>
        <w:tc>
          <w:tcPr>
            <w:tcW w:w="4876" w:type="dxa"/>
          </w:tcPr>
          <w:p w:rsidR="00EB7824" w:rsidRPr="00EB1924" w:rsidRDefault="00EB7824" w:rsidP="0037396F">
            <w:pPr>
              <w:pStyle w:val="Normal6"/>
              <w:widowControl/>
              <w:rPr>
                <w:szCs w:val="24"/>
              </w:rPr>
            </w:pPr>
            <w:r w:rsidRPr="00EB1924">
              <w:rPr>
                <w:b/>
                <w:i/>
              </w:rPr>
              <w:t xml:space="preserve">a) </w:t>
            </w:r>
            <w:r w:rsidRPr="00EB1924">
              <w:rPr>
                <w:b/>
                <w:i/>
              </w:rPr>
              <w:tab/>
              <w:t>la mise en œuvre et l’application de la convention, y compris en ce qui concerne l’élimination progressive du mercure dans les cosmétiques d’ici à 2025 par les parties à la convention et le contrôle et l’élimination de la fabrication, de l’importation et de l’exportation de composés du mercure pour des pratiques illégales au sein de l’Union et dans le monde;</w:t>
            </w:r>
          </w:p>
        </w:tc>
      </w:tr>
      <w:tr w:rsidR="00EB7824" w:rsidRPr="00EB1924" w:rsidTr="0037396F">
        <w:trPr>
          <w:jc w:val="center"/>
        </w:trPr>
        <w:tc>
          <w:tcPr>
            <w:tcW w:w="4876" w:type="dxa"/>
          </w:tcPr>
          <w:p w:rsidR="00EB7824" w:rsidRPr="00EB1924" w:rsidRDefault="00EB7824" w:rsidP="0037396F">
            <w:pPr>
              <w:pStyle w:val="Normal6"/>
              <w:widowControl/>
            </w:pPr>
          </w:p>
        </w:tc>
        <w:tc>
          <w:tcPr>
            <w:tcW w:w="4876" w:type="dxa"/>
          </w:tcPr>
          <w:p w:rsidR="00EB7824" w:rsidRPr="00EB1924" w:rsidRDefault="00EB7824" w:rsidP="0037396F">
            <w:pPr>
              <w:pStyle w:val="Normal6"/>
              <w:widowControl/>
              <w:rPr>
                <w:szCs w:val="24"/>
              </w:rPr>
            </w:pPr>
            <w:r w:rsidRPr="00EB1924">
              <w:rPr>
                <w:b/>
                <w:i/>
              </w:rPr>
              <w:t>b)</w:t>
            </w:r>
            <w:r w:rsidRPr="00EB1924">
              <w:rPr>
                <w:b/>
                <w:i/>
              </w:rPr>
              <w:tab/>
              <w:t xml:space="preserve"> la nécessité d’éliminer progressivement les utilisations restantes du mercure, telles que les phares et la </w:t>
            </w:r>
            <w:proofErr w:type="spellStart"/>
            <w:r w:rsidRPr="00EB1924">
              <w:rPr>
                <w:b/>
                <w:i/>
              </w:rPr>
              <w:t>porosimétrie</w:t>
            </w:r>
            <w:proofErr w:type="spellEnd"/>
            <w:r w:rsidRPr="00EB1924">
              <w:rPr>
                <w:b/>
                <w:i/>
              </w:rPr>
              <w:t>;</w:t>
            </w:r>
          </w:p>
        </w:tc>
      </w:tr>
      <w:tr w:rsidR="00EB7824" w:rsidRPr="00EB1924" w:rsidTr="0037396F">
        <w:trPr>
          <w:jc w:val="center"/>
        </w:trPr>
        <w:tc>
          <w:tcPr>
            <w:tcW w:w="4876" w:type="dxa"/>
          </w:tcPr>
          <w:p w:rsidR="00EB7824" w:rsidRPr="00EB1924" w:rsidRDefault="00EB7824" w:rsidP="0037396F">
            <w:pPr>
              <w:pStyle w:val="Normal6"/>
              <w:widowControl/>
            </w:pPr>
          </w:p>
        </w:tc>
        <w:tc>
          <w:tcPr>
            <w:tcW w:w="4876" w:type="dxa"/>
          </w:tcPr>
          <w:p w:rsidR="00EB7824" w:rsidRPr="00EB1924" w:rsidRDefault="00EB7824" w:rsidP="0037396F">
            <w:pPr>
              <w:pStyle w:val="Normal6"/>
              <w:widowControl/>
              <w:rPr>
                <w:szCs w:val="24"/>
              </w:rPr>
            </w:pPr>
            <w:r w:rsidRPr="00EB1924">
              <w:rPr>
                <w:b/>
                <w:i/>
              </w:rPr>
              <w:t xml:space="preserve">c) </w:t>
            </w:r>
            <w:r w:rsidRPr="00EB1924">
              <w:rPr>
                <w:b/>
                <w:i/>
              </w:rPr>
              <w:tab/>
              <w:t>la nécessité d’élargir la liste des sources de déchets de mercure visée à l’article 11.</w:t>
            </w:r>
          </w:p>
        </w:tc>
      </w:tr>
      <w:tr w:rsidR="00EB7824" w:rsidRPr="00EB1924" w:rsidTr="0037396F">
        <w:trPr>
          <w:jc w:val="center"/>
        </w:trPr>
        <w:tc>
          <w:tcPr>
            <w:tcW w:w="4876" w:type="dxa"/>
          </w:tcPr>
          <w:p w:rsidR="00EB7824" w:rsidRPr="00EB1924" w:rsidRDefault="00EB7824" w:rsidP="0037396F">
            <w:pPr>
              <w:pStyle w:val="Normal6"/>
              <w:widowControl/>
            </w:pPr>
          </w:p>
        </w:tc>
        <w:tc>
          <w:tcPr>
            <w:tcW w:w="4876" w:type="dxa"/>
          </w:tcPr>
          <w:p w:rsidR="00EB7824" w:rsidRPr="00EB1924" w:rsidRDefault="00EB7824" w:rsidP="0037396F">
            <w:pPr>
              <w:pStyle w:val="Normal6"/>
              <w:widowControl/>
              <w:rPr>
                <w:szCs w:val="24"/>
              </w:rPr>
            </w:pPr>
            <w:r w:rsidRPr="00EB1924">
              <w:rPr>
                <w:b/>
                <w:i/>
              </w:rPr>
              <w:t>Parallèlement à son rapport visé au troisième alinéa du présent paragraphe, la Commission propose, le cas échéant, des mesures, telles qu’un réexamen du règlement (UE) nº 649/2012 du Parlement européen et du Conseil</w:t>
            </w:r>
            <w:r w:rsidRPr="00EB1924">
              <w:rPr>
                <w:b/>
                <w:i/>
                <w:vertAlign w:val="superscript"/>
              </w:rPr>
              <w:t>1 bis</w:t>
            </w:r>
            <w:r w:rsidRPr="00EB1924">
              <w:rPr>
                <w:b/>
                <w:i/>
              </w:rPr>
              <w:t xml:space="preserve"> et des restrictions à l’exportation du chlorure </w:t>
            </w:r>
            <w:proofErr w:type="spellStart"/>
            <w:r w:rsidRPr="00EB1924">
              <w:rPr>
                <w:b/>
                <w:i/>
              </w:rPr>
              <w:t>azanide</w:t>
            </w:r>
            <w:proofErr w:type="spellEnd"/>
            <w:r w:rsidRPr="00EB1924">
              <w:rPr>
                <w:b/>
                <w:i/>
              </w:rPr>
              <w:t xml:space="preserve"> de mercure (</w:t>
            </w:r>
            <w:r w:rsidRPr="00EB1924">
              <w:rPr>
                <w:b/>
                <w:i/>
                <w:sz w:val="21"/>
                <w:shd w:val="clear" w:color="auto" w:fill="FFFFFF"/>
              </w:rPr>
              <w:t>HgNH</w:t>
            </w:r>
            <w:r w:rsidRPr="00EB1924">
              <w:rPr>
                <w:b/>
                <w:i/>
                <w:sz w:val="21"/>
                <w:shd w:val="clear" w:color="auto" w:fill="FFFFFF"/>
                <w:vertAlign w:val="subscript"/>
              </w:rPr>
              <w:t>2</w:t>
            </w:r>
            <w:r w:rsidRPr="00EB1924">
              <w:rPr>
                <w:rStyle w:val="Emphasis"/>
                <w:b/>
                <w:sz w:val="21"/>
                <w:shd w:val="clear" w:color="auto" w:fill="FFFFFF"/>
              </w:rPr>
              <w:t>Cl</w:t>
            </w:r>
            <w:r w:rsidRPr="00EB1924">
              <w:rPr>
                <w:rStyle w:val="Emphasis"/>
                <w:rFonts w:ascii="Arial" w:hAnsi="Arial"/>
                <w:b/>
                <w:sz w:val="21"/>
                <w:shd w:val="clear" w:color="auto" w:fill="FFFFFF"/>
              </w:rPr>
              <w:t>)</w:t>
            </w:r>
            <w:r w:rsidRPr="00EB1924">
              <w:rPr>
                <w:b/>
                <w:i/>
              </w:rPr>
              <w:t>.</w:t>
            </w:r>
          </w:p>
        </w:tc>
      </w:tr>
      <w:tr w:rsidR="00EB7824" w:rsidRPr="00EB1924" w:rsidTr="0037396F">
        <w:trPr>
          <w:jc w:val="center"/>
        </w:trPr>
        <w:tc>
          <w:tcPr>
            <w:tcW w:w="4876" w:type="dxa"/>
          </w:tcPr>
          <w:p w:rsidR="00EB7824" w:rsidRPr="00EB1924" w:rsidRDefault="00EB7824" w:rsidP="0037396F">
            <w:pPr>
              <w:pStyle w:val="Normal6"/>
              <w:widowControl/>
            </w:pPr>
          </w:p>
        </w:tc>
        <w:tc>
          <w:tcPr>
            <w:tcW w:w="4876" w:type="dxa"/>
          </w:tcPr>
          <w:p w:rsidR="00EB7824" w:rsidRPr="00EB1924" w:rsidRDefault="00EB7824" w:rsidP="0037396F">
            <w:pPr>
              <w:pStyle w:val="Normal6"/>
              <w:widowControl/>
              <w:rPr>
                <w:b/>
                <w:i/>
              </w:rPr>
            </w:pPr>
            <w:r w:rsidRPr="00EB1924">
              <w:rPr>
                <w:b/>
                <w:i/>
              </w:rPr>
              <w:t>__________________________________</w:t>
            </w:r>
          </w:p>
        </w:tc>
      </w:tr>
      <w:tr w:rsidR="00EB7824" w:rsidRPr="00EB1924" w:rsidTr="0037396F">
        <w:trPr>
          <w:jc w:val="center"/>
        </w:trPr>
        <w:tc>
          <w:tcPr>
            <w:tcW w:w="4876" w:type="dxa"/>
          </w:tcPr>
          <w:p w:rsidR="00EB7824" w:rsidRPr="00EB1924" w:rsidRDefault="00EB7824" w:rsidP="0037396F">
            <w:pPr>
              <w:pStyle w:val="Normal6"/>
              <w:widowControl/>
            </w:pPr>
          </w:p>
        </w:tc>
        <w:tc>
          <w:tcPr>
            <w:tcW w:w="4876" w:type="dxa"/>
          </w:tcPr>
          <w:p w:rsidR="00EB7824" w:rsidRPr="00EB1924" w:rsidRDefault="00EB7824" w:rsidP="0037396F">
            <w:pPr>
              <w:pStyle w:val="Normal6"/>
              <w:widowControl/>
              <w:rPr>
                <w:b/>
                <w:i/>
              </w:rPr>
            </w:pPr>
            <w:r w:rsidRPr="00EB1924">
              <w:rPr>
                <w:b/>
                <w:i/>
                <w:vertAlign w:val="superscript"/>
              </w:rPr>
              <w:t>1 bis</w:t>
            </w:r>
            <w:r w:rsidRPr="00EB1924">
              <w:rPr>
                <w:b/>
                <w:i/>
              </w:rPr>
              <w:t xml:space="preserve"> Règlement (UE) nº 649/2012 du Parlement européen et du Conseil du 4 juillet 2012 concernant les exportations et importations de produits chimiques dangereux (JO L 201 du 27.7.2012, p. 60).</w:t>
            </w:r>
          </w:p>
        </w:tc>
      </w:tr>
    </w:tbl>
    <w:p w:rsidR="00EB7824" w:rsidRPr="00EB1924" w:rsidRDefault="00EB7824" w:rsidP="00EB7824">
      <w:pPr>
        <w:widowControl/>
      </w:pPr>
    </w:p>
    <w:p w:rsidR="00EB7824" w:rsidRPr="00EB1924" w:rsidRDefault="00EB7824" w:rsidP="00EB7824">
      <w:pPr>
        <w:pStyle w:val="AmNumberTabs"/>
        <w:widowControl/>
      </w:pPr>
      <w:r w:rsidRPr="00EB1924">
        <w:t>Amendement</w:t>
      </w:r>
      <w:r w:rsidRPr="00EB1924">
        <w:tab/>
      </w:r>
      <w:r w:rsidRPr="00EB1924">
        <w:tab/>
        <w:t>12</w:t>
      </w:r>
    </w:p>
    <w:p w:rsidR="00EB7824" w:rsidRPr="00EB1924" w:rsidRDefault="00EB7824" w:rsidP="00EB7824">
      <w:pPr>
        <w:widowControl/>
      </w:pPr>
    </w:p>
    <w:p w:rsidR="00EB7824" w:rsidRPr="00EB1924" w:rsidRDefault="00EB7824" w:rsidP="00EB7824">
      <w:pPr>
        <w:pStyle w:val="NormalBold"/>
        <w:keepNext/>
        <w:widowControl/>
      </w:pPr>
      <w:r w:rsidRPr="00EB1924">
        <w:t>Proposition de règlement</w:t>
      </w:r>
    </w:p>
    <w:p w:rsidR="00EB7824" w:rsidRPr="00EB1924" w:rsidRDefault="00EB7824" w:rsidP="00EB7824">
      <w:pPr>
        <w:pStyle w:val="NormalBold"/>
        <w:widowControl/>
      </w:pPr>
      <w:r w:rsidRPr="00EB1924">
        <w:t xml:space="preserve">Article 1 – paragraphe 1 – point 1 </w:t>
      </w:r>
      <w:proofErr w:type="spellStart"/>
      <w:r w:rsidRPr="00EB1924">
        <w:t>sexies</w:t>
      </w:r>
      <w:proofErr w:type="spellEnd"/>
      <w:r w:rsidRPr="00EB1924">
        <w:t xml:space="preserve"> (nouveau)</w:t>
      </w:r>
    </w:p>
    <w:p w:rsidR="00EB7824" w:rsidRPr="00EB1924" w:rsidRDefault="00EB7824" w:rsidP="00EB7824">
      <w:pPr>
        <w:keepNext/>
        <w:widowControl/>
      </w:pPr>
      <w:r w:rsidRPr="00EB1924">
        <w:t>Règlement (UE) 2017/852</w:t>
      </w:r>
    </w:p>
    <w:p w:rsidR="00EB7824" w:rsidRPr="00EB1924" w:rsidRDefault="00EB7824" w:rsidP="00EB7824">
      <w:pPr>
        <w:widowControl/>
      </w:pPr>
      <w:r w:rsidRPr="00EB1924">
        <w:t>Article 19 – paragraphe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B7824" w:rsidRPr="00EB1924" w:rsidTr="0037396F">
        <w:trPr>
          <w:jc w:val="center"/>
        </w:trPr>
        <w:tc>
          <w:tcPr>
            <w:tcW w:w="9752" w:type="dxa"/>
            <w:gridSpan w:val="2"/>
          </w:tcPr>
          <w:p w:rsidR="00EB7824" w:rsidRPr="00EB1924" w:rsidRDefault="00EB7824" w:rsidP="0037396F">
            <w:pPr>
              <w:keepNext/>
              <w:widowControl/>
            </w:pPr>
          </w:p>
        </w:tc>
      </w:tr>
      <w:tr w:rsidR="00EB7824" w:rsidRPr="00EB1924" w:rsidTr="0037396F">
        <w:trPr>
          <w:jc w:val="center"/>
        </w:trPr>
        <w:tc>
          <w:tcPr>
            <w:tcW w:w="4876" w:type="dxa"/>
          </w:tcPr>
          <w:p w:rsidR="00EB7824" w:rsidRPr="00EB1924" w:rsidRDefault="00EB7824" w:rsidP="0037396F">
            <w:pPr>
              <w:pStyle w:val="ColumnHeading"/>
              <w:keepNext/>
              <w:widowControl/>
            </w:pPr>
            <w:r w:rsidRPr="00EB1924">
              <w:t>Texte en vigueur</w:t>
            </w:r>
          </w:p>
        </w:tc>
        <w:tc>
          <w:tcPr>
            <w:tcW w:w="4876" w:type="dxa"/>
          </w:tcPr>
          <w:p w:rsidR="00EB7824" w:rsidRPr="00EB1924" w:rsidRDefault="00EB7824" w:rsidP="0037396F">
            <w:pPr>
              <w:pStyle w:val="ColumnHeading"/>
              <w:keepNext/>
              <w:widowControl/>
            </w:pPr>
            <w:r w:rsidRPr="00EB1924">
              <w:t>Amendement</w:t>
            </w:r>
          </w:p>
        </w:tc>
      </w:tr>
      <w:tr w:rsidR="00EB7824" w:rsidRPr="00EB1924" w:rsidTr="0037396F">
        <w:trPr>
          <w:jc w:val="center"/>
        </w:trPr>
        <w:tc>
          <w:tcPr>
            <w:tcW w:w="4876" w:type="dxa"/>
          </w:tcPr>
          <w:p w:rsidR="00EB7824" w:rsidRPr="00EB1924" w:rsidRDefault="00EB7824" w:rsidP="0037396F">
            <w:pPr>
              <w:pStyle w:val="Normal6"/>
              <w:widowControl/>
            </w:pPr>
          </w:p>
        </w:tc>
        <w:tc>
          <w:tcPr>
            <w:tcW w:w="4876" w:type="dxa"/>
          </w:tcPr>
          <w:p w:rsidR="00EB7824" w:rsidRPr="00EB1924" w:rsidRDefault="00EB7824" w:rsidP="0037396F">
            <w:pPr>
              <w:pStyle w:val="Normal6"/>
              <w:widowControl/>
              <w:rPr>
                <w:szCs w:val="24"/>
              </w:rPr>
            </w:pPr>
            <w:r w:rsidRPr="00EB1924">
              <w:rPr>
                <w:b/>
                <w:i/>
              </w:rPr>
              <w:t xml:space="preserve">1 </w:t>
            </w:r>
            <w:proofErr w:type="spellStart"/>
            <w:r w:rsidRPr="00EB1924">
              <w:rPr>
                <w:b/>
                <w:i/>
              </w:rPr>
              <w:t>sexies</w:t>
            </w:r>
            <w:proofErr w:type="spellEnd"/>
            <w:r w:rsidRPr="00EB1924">
              <w:rPr>
                <w:b/>
                <w:i/>
              </w:rPr>
              <w:t>)</w:t>
            </w:r>
            <w:r w:rsidRPr="00EB1924">
              <w:rPr>
                <w:b/>
                <w:i/>
              </w:rPr>
              <w:tab/>
              <w:t>À l’article 19, le paragraphe 3 est remplacé par le texte suivant:</w:t>
            </w:r>
          </w:p>
        </w:tc>
      </w:tr>
      <w:tr w:rsidR="00EB7824" w:rsidRPr="00EB1924" w:rsidTr="0037396F">
        <w:trPr>
          <w:jc w:val="center"/>
        </w:trPr>
        <w:tc>
          <w:tcPr>
            <w:tcW w:w="4876" w:type="dxa"/>
          </w:tcPr>
          <w:p w:rsidR="00EB7824" w:rsidRPr="00EB1924" w:rsidRDefault="00EB7824" w:rsidP="0037396F">
            <w:pPr>
              <w:pStyle w:val="Normal6"/>
              <w:widowControl/>
            </w:pPr>
            <w:r w:rsidRPr="00EB1924">
              <w:t xml:space="preserve">3. </w:t>
            </w:r>
            <w:r w:rsidRPr="00EB1924">
              <w:rPr>
                <w:b/>
                <w:i/>
              </w:rPr>
              <w:tab/>
            </w:r>
            <w:r w:rsidRPr="00EB1924">
              <w:t xml:space="preserve">Le cas échéant, la Commission présente une proposition législative avec ses rapports visés </w:t>
            </w:r>
            <w:r w:rsidRPr="00EB1924">
              <w:rPr>
                <w:b/>
                <w:i/>
              </w:rPr>
              <w:t>aux paragraphes 1 et 2</w:t>
            </w:r>
            <w:r w:rsidRPr="00EB1924">
              <w:t>.</w:t>
            </w:r>
          </w:p>
        </w:tc>
        <w:tc>
          <w:tcPr>
            <w:tcW w:w="4876" w:type="dxa"/>
          </w:tcPr>
          <w:p w:rsidR="00EB7824" w:rsidRPr="00EB1924" w:rsidRDefault="00EB7824" w:rsidP="0037396F">
            <w:pPr>
              <w:pStyle w:val="Normal6"/>
              <w:widowControl/>
              <w:rPr>
                <w:szCs w:val="24"/>
              </w:rPr>
            </w:pPr>
            <w:r w:rsidRPr="00EB1924">
              <w:rPr>
                <w:b/>
                <w:i/>
              </w:rPr>
              <w:t>«</w:t>
            </w:r>
            <w:r w:rsidRPr="00EB1924">
              <w:t xml:space="preserve">3. </w:t>
            </w:r>
            <w:r w:rsidRPr="00EB1924">
              <w:rPr>
                <w:b/>
                <w:i/>
              </w:rPr>
              <w:tab/>
            </w:r>
            <w:r w:rsidRPr="00EB1924">
              <w:t xml:space="preserve">Le cas échéant, la Commission présente une proposition législative avec ses rapports visés </w:t>
            </w:r>
            <w:r w:rsidRPr="00EB1924">
              <w:rPr>
                <w:b/>
                <w:i/>
              </w:rPr>
              <w:t>dans le présent article</w:t>
            </w:r>
            <w:r w:rsidRPr="00EB1924">
              <w:t>.</w:t>
            </w:r>
            <w:r w:rsidRPr="00EB1924">
              <w:rPr>
                <w:b/>
                <w:i/>
              </w:rPr>
              <w:t>»</w:t>
            </w:r>
          </w:p>
        </w:tc>
      </w:tr>
    </w:tbl>
    <w:p w:rsidR="00EB7824" w:rsidRPr="00EB1924" w:rsidRDefault="00EB7824" w:rsidP="00EB7824">
      <w:pPr>
        <w:pStyle w:val="CrossRef"/>
        <w:widowControl/>
      </w:pPr>
    </w:p>
    <w:p w:rsidR="00EB7824" w:rsidRPr="00EB1924" w:rsidRDefault="00EB7824" w:rsidP="00EB7824">
      <w:pPr>
        <w:widowControl/>
      </w:pPr>
    </w:p>
    <w:p w:rsidR="00EB7824" w:rsidRPr="00EB1924" w:rsidRDefault="00EB7824" w:rsidP="00EB7824">
      <w:pPr>
        <w:pStyle w:val="AmNumberTabs"/>
        <w:widowControl/>
      </w:pPr>
      <w:r w:rsidRPr="00EB1924">
        <w:t>Amendement</w:t>
      </w:r>
      <w:r w:rsidRPr="00EB1924">
        <w:tab/>
      </w:r>
      <w:r w:rsidRPr="00EB1924">
        <w:tab/>
        <w:t>13</w:t>
      </w:r>
    </w:p>
    <w:p w:rsidR="00EB7824" w:rsidRPr="00EB1924" w:rsidRDefault="00EB7824" w:rsidP="00EB7824">
      <w:pPr>
        <w:widowControl/>
      </w:pPr>
    </w:p>
    <w:p w:rsidR="00EB7824" w:rsidRPr="00EB1924" w:rsidRDefault="00EB7824" w:rsidP="00EB7824">
      <w:pPr>
        <w:pStyle w:val="NormalBold"/>
        <w:keepNext/>
        <w:widowControl/>
      </w:pPr>
      <w:r w:rsidRPr="00EB1924">
        <w:t>Proposition de règlement</w:t>
      </w:r>
    </w:p>
    <w:p w:rsidR="00EB7824" w:rsidRPr="00EB1924" w:rsidRDefault="00EB7824" w:rsidP="00EB7824">
      <w:pPr>
        <w:pStyle w:val="NormalBold"/>
        <w:widowControl/>
      </w:pPr>
      <w:r w:rsidRPr="00EB1924">
        <w:t>Annexe – alinéa 1 – point 2</w:t>
      </w:r>
    </w:p>
    <w:p w:rsidR="00EB7824" w:rsidRPr="00EB1924" w:rsidRDefault="00EB7824" w:rsidP="00EB7824">
      <w:pPr>
        <w:keepNext/>
        <w:widowControl/>
      </w:pPr>
      <w:r w:rsidRPr="00EB1924">
        <w:t>Règlement (UE) 2017/852</w:t>
      </w:r>
    </w:p>
    <w:p w:rsidR="00EB7824" w:rsidRPr="00EB1924" w:rsidRDefault="00EB7824" w:rsidP="00EB7824">
      <w:pPr>
        <w:widowControl/>
      </w:pPr>
      <w:r w:rsidRPr="00EB1924">
        <w:t>Annexe II – Partie A – entrée 4 bis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firstRow="0" w:lastRow="0" w:firstColumn="0" w:lastColumn="0" w:noHBand="0" w:noVBand="0"/>
      </w:tblPr>
      <w:tblGrid>
        <w:gridCol w:w="4876"/>
        <w:gridCol w:w="4876"/>
      </w:tblGrid>
      <w:tr w:rsidR="00EB7824" w:rsidRPr="00EB1924" w:rsidTr="0037396F">
        <w:trPr>
          <w:jc w:val="center"/>
        </w:trPr>
        <w:tc>
          <w:tcPr>
            <w:tcW w:w="9752" w:type="dxa"/>
            <w:gridSpan w:val="2"/>
          </w:tcPr>
          <w:p w:rsidR="00EB7824" w:rsidRPr="00EB1924" w:rsidRDefault="00EB7824" w:rsidP="0037396F">
            <w:pPr>
              <w:pStyle w:val="ColumnHeading"/>
              <w:keepNext/>
              <w:widowControl/>
            </w:pPr>
            <w:r w:rsidRPr="00EB1924">
              <w:t>Texte proposé par la Commission</w:t>
            </w:r>
          </w:p>
        </w:tc>
      </w:tr>
      <w:tr w:rsidR="00EB7824" w:rsidRPr="00EB1924" w:rsidTr="0037396F">
        <w:trPr>
          <w:jc w:val="center"/>
        </w:trPr>
        <w:tc>
          <w:tcPr>
            <w:tcW w:w="4876" w:type="dxa"/>
          </w:tcPr>
          <w:p w:rsidR="00EB7824" w:rsidRPr="00EB1924" w:rsidRDefault="00EB7824" w:rsidP="0037396F">
            <w:pPr>
              <w:pStyle w:val="Normal6a"/>
              <w:widowControl/>
              <w:rPr>
                <w:noProof/>
              </w:rPr>
            </w:pPr>
            <w:r w:rsidRPr="00EB1924">
              <w:t xml:space="preserve">«4 bis. «4 bis. Les tubes d’éclairage ordinaire au phosphore à trois bandes qui </w:t>
            </w:r>
            <w:r w:rsidRPr="00EB1924">
              <w:lastRenderedPageBreak/>
              <w:t>ne sont pas couverts par l’entrée 4, point a).</w:t>
            </w:r>
          </w:p>
        </w:tc>
        <w:tc>
          <w:tcPr>
            <w:tcW w:w="4876" w:type="dxa"/>
          </w:tcPr>
          <w:p w:rsidR="00EB7824" w:rsidRPr="00EB1924" w:rsidRDefault="00EB7824" w:rsidP="0037396F">
            <w:pPr>
              <w:pStyle w:val="Normal6a"/>
              <w:widowControl/>
              <w:jc w:val="center"/>
              <w:rPr>
                <w:noProof/>
                <w:szCs w:val="24"/>
              </w:rPr>
            </w:pPr>
            <w:r w:rsidRPr="00EB1924">
              <w:rPr>
                <w:b/>
                <w:i/>
                <w:sz w:val="20"/>
              </w:rPr>
              <w:lastRenderedPageBreak/>
              <w:t>31.12.2027</w:t>
            </w:r>
          </w:p>
        </w:tc>
      </w:tr>
      <w:tr w:rsidR="00EB7824" w:rsidRPr="00EB1924" w:rsidTr="0037396F">
        <w:trPr>
          <w:jc w:val="center"/>
        </w:trPr>
        <w:tc>
          <w:tcPr>
            <w:tcW w:w="9752" w:type="dxa"/>
            <w:gridSpan w:val="2"/>
          </w:tcPr>
          <w:p w:rsidR="00EB7824" w:rsidRPr="00EB1924" w:rsidRDefault="00EB7824" w:rsidP="0037396F">
            <w:pPr>
              <w:pStyle w:val="ColumnHeading"/>
              <w:keepNext/>
              <w:widowControl/>
              <w:rPr>
                <w:szCs w:val="24"/>
              </w:rPr>
            </w:pPr>
            <w:r w:rsidRPr="00EB1924">
              <w:t>Amendement</w:t>
            </w:r>
          </w:p>
        </w:tc>
      </w:tr>
      <w:tr w:rsidR="00EB7824" w:rsidRPr="00EB1924" w:rsidTr="0037396F">
        <w:trPr>
          <w:jc w:val="center"/>
        </w:trPr>
        <w:tc>
          <w:tcPr>
            <w:tcW w:w="4876" w:type="dxa"/>
          </w:tcPr>
          <w:p w:rsidR="00EB7824" w:rsidRPr="00EB1924" w:rsidRDefault="00EB7824" w:rsidP="0037396F">
            <w:pPr>
              <w:pStyle w:val="Normal6a"/>
              <w:widowControl/>
              <w:rPr>
                <w:noProof/>
              </w:rPr>
            </w:pPr>
            <w:r w:rsidRPr="00EB1924">
              <w:t>«4 bis. «4 bis. Les tubes d’éclairage ordinaire au phosphore à trois bandes qui ne sont pas couverts par l’entrée 4, point a).</w:t>
            </w:r>
          </w:p>
        </w:tc>
        <w:tc>
          <w:tcPr>
            <w:tcW w:w="4876" w:type="dxa"/>
          </w:tcPr>
          <w:p w:rsidR="00EB7824" w:rsidRPr="00EB1924" w:rsidRDefault="00EB7824" w:rsidP="0037396F">
            <w:pPr>
              <w:pStyle w:val="Normal6a"/>
              <w:widowControl/>
              <w:jc w:val="center"/>
              <w:rPr>
                <w:noProof/>
                <w:szCs w:val="24"/>
              </w:rPr>
            </w:pPr>
            <w:r w:rsidRPr="00EB1924">
              <w:rPr>
                <w:b/>
                <w:i/>
                <w:sz w:val="20"/>
              </w:rPr>
              <w:t>31.12.2025</w:t>
            </w:r>
          </w:p>
        </w:tc>
      </w:tr>
    </w:tbl>
    <w:p w:rsidR="00EB7824" w:rsidRPr="00EB1924" w:rsidRDefault="00EB7824" w:rsidP="00EB7824">
      <w:pPr>
        <w:widowControl/>
      </w:pPr>
    </w:p>
    <w:p w:rsidR="00EB7824" w:rsidRPr="00EB1924" w:rsidRDefault="00EB7824" w:rsidP="00EB7824">
      <w:pPr>
        <w:pStyle w:val="AmNumberTabs"/>
        <w:widowControl/>
      </w:pPr>
      <w:r w:rsidRPr="00EB1924">
        <w:t>Amendement</w:t>
      </w:r>
      <w:r w:rsidRPr="00EB1924">
        <w:tab/>
      </w:r>
      <w:r w:rsidRPr="00EB1924">
        <w:tab/>
        <w:t>14</w:t>
      </w:r>
    </w:p>
    <w:p w:rsidR="00EB7824" w:rsidRPr="00EB1924" w:rsidRDefault="00EB7824" w:rsidP="00EB7824">
      <w:pPr>
        <w:widowControl/>
      </w:pPr>
    </w:p>
    <w:p w:rsidR="00EB7824" w:rsidRPr="00EB1924" w:rsidRDefault="00EB7824" w:rsidP="00EB7824">
      <w:pPr>
        <w:pStyle w:val="NormalBold"/>
        <w:keepNext/>
        <w:widowControl/>
      </w:pPr>
      <w:r w:rsidRPr="00EB1924">
        <w:t>Proposition de règlement</w:t>
      </w:r>
    </w:p>
    <w:p w:rsidR="00EB7824" w:rsidRPr="00EB1924" w:rsidRDefault="00EB7824" w:rsidP="00EB7824">
      <w:pPr>
        <w:pStyle w:val="NormalBold"/>
        <w:widowControl/>
      </w:pPr>
      <w:r w:rsidRPr="00EB1924">
        <w:t>Annexe – alinéa 1 – point 2</w:t>
      </w:r>
    </w:p>
    <w:p w:rsidR="00EB7824" w:rsidRPr="00EB1924" w:rsidRDefault="00EB7824" w:rsidP="00EB7824">
      <w:pPr>
        <w:keepNext/>
        <w:widowControl/>
      </w:pPr>
      <w:r w:rsidRPr="00EB1924">
        <w:t>Règlement (UE) 2017/852</w:t>
      </w:r>
    </w:p>
    <w:p w:rsidR="00EB7824" w:rsidRPr="00EB1924" w:rsidRDefault="00EB7824" w:rsidP="00EB7824">
      <w:pPr>
        <w:widowControl/>
      </w:pPr>
      <w:r w:rsidRPr="00EB1924">
        <w:t>Annexe II – Partie A – entrée 4 quater</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firstRow="0" w:lastRow="0" w:firstColumn="0" w:lastColumn="0" w:noHBand="0" w:noVBand="0"/>
      </w:tblPr>
      <w:tblGrid>
        <w:gridCol w:w="4876"/>
        <w:gridCol w:w="4876"/>
      </w:tblGrid>
      <w:tr w:rsidR="00EB7824" w:rsidRPr="00EB1924" w:rsidTr="0037396F">
        <w:trPr>
          <w:jc w:val="center"/>
        </w:trPr>
        <w:tc>
          <w:tcPr>
            <w:tcW w:w="9752" w:type="dxa"/>
            <w:gridSpan w:val="2"/>
          </w:tcPr>
          <w:p w:rsidR="00EB7824" w:rsidRPr="00EB1924" w:rsidRDefault="00EB7824" w:rsidP="0037396F">
            <w:pPr>
              <w:pStyle w:val="ColumnHeading"/>
              <w:keepNext/>
              <w:widowControl/>
            </w:pPr>
            <w:r w:rsidRPr="00EB1924">
              <w:t>Texte proposé par la Commission</w:t>
            </w:r>
          </w:p>
        </w:tc>
      </w:tr>
      <w:tr w:rsidR="00EB7824" w:rsidRPr="00EB1924" w:rsidTr="0037396F">
        <w:trPr>
          <w:jc w:val="center"/>
        </w:trPr>
        <w:tc>
          <w:tcPr>
            <w:tcW w:w="4876" w:type="dxa"/>
          </w:tcPr>
          <w:p w:rsidR="00EB7824" w:rsidRPr="00EB1924" w:rsidRDefault="00EB7824" w:rsidP="0037396F">
            <w:pPr>
              <w:pStyle w:val="Normal6a"/>
              <w:widowControl/>
              <w:rPr>
                <w:noProof/>
              </w:rPr>
            </w:pPr>
            <w:r w:rsidRPr="00EB1924">
              <w:t>4 quater. Les tubes non linéaires au phosphore à trois bandes.</w:t>
            </w:r>
          </w:p>
        </w:tc>
        <w:tc>
          <w:tcPr>
            <w:tcW w:w="4876" w:type="dxa"/>
          </w:tcPr>
          <w:p w:rsidR="00EB7824" w:rsidRPr="00EB1924" w:rsidRDefault="00EB7824" w:rsidP="0037396F">
            <w:pPr>
              <w:pStyle w:val="Normal6a"/>
              <w:widowControl/>
              <w:jc w:val="center"/>
              <w:rPr>
                <w:noProof/>
                <w:szCs w:val="24"/>
              </w:rPr>
            </w:pPr>
            <w:r w:rsidRPr="00EB1924">
              <w:rPr>
                <w:b/>
                <w:i/>
                <w:sz w:val="20"/>
              </w:rPr>
              <w:t>31.12.2027</w:t>
            </w:r>
          </w:p>
        </w:tc>
      </w:tr>
      <w:tr w:rsidR="00EB7824" w:rsidRPr="00EB1924" w:rsidTr="0037396F">
        <w:trPr>
          <w:jc w:val="center"/>
        </w:trPr>
        <w:tc>
          <w:tcPr>
            <w:tcW w:w="9752" w:type="dxa"/>
            <w:gridSpan w:val="2"/>
          </w:tcPr>
          <w:p w:rsidR="00EB7824" w:rsidRPr="00EB1924" w:rsidRDefault="00EB7824" w:rsidP="0037396F">
            <w:pPr>
              <w:pStyle w:val="ColumnHeading"/>
              <w:keepNext/>
              <w:widowControl/>
              <w:rPr>
                <w:szCs w:val="24"/>
              </w:rPr>
            </w:pPr>
            <w:r w:rsidRPr="00EB1924">
              <w:t>Amendement</w:t>
            </w:r>
          </w:p>
        </w:tc>
      </w:tr>
      <w:tr w:rsidR="00EB7824" w:rsidRPr="00EB1924" w:rsidTr="0037396F">
        <w:trPr>
          <w:jc w:val="center"/>
        </w:trPr>
        <w:tc>
          <w:tcPr>
            <w:tcW w:w="4876" w:type="dxa"/>
          </w:tcPr>
          <w:p w:rsidR="00EB7824" w:rsidRPr="00EB1924" w:rsidRDefault="00EB7824" w:rsidP="0037396F">
            <w:pPr>
              <w:pStyle w:val="Normal6a"/>
              <w:widowControl/>
            </w:pPr>
            <w:r w:rsidRPr="00EB1924">
              <w:t>4 quater. Les tubes non linéaires au phosphore à trois bandes.</w:t>
            </w:r>
          </w:p>
        </w:tc>
        <w:tc>
          <w:tcPr>
            <w:tcW w:w="4876" w:type="dxa"/>
          </w:tcPr>
          <w:p w:rsidR="00EB7824" w:rsidRPr="00EB1924" w:rsidRDefault="00EB7824" w:rsidP="0037396F">
            <w:pPr>
              <w:pStyle w:val="Normal6a"/>
              <w:widowControl/>
              <w:jc w:val="center"/>
            </w:pPr>
            <w:r w:rsidRPr="00EB1924">
              <w:rPr>
                <w:b/>
                <w:i/>
                <w:sz w:val="20"/>
              </w:rPr>
              <w:t>31.12.2025</w:t>
            </w:r>
          </w:p>
        </w:tc>
      </w:tr>
    </w:tbl>
    <w:p w:rsidR="00EB7824" w:rsidRPr="00EB1924" w:rsidRDefault="00EB7824" w:rsidP="00EB7824">
      <w:pPr>
        <w:widowControl/>
      </w:pPr>
    </w:p>
    <w:p w:rsidR="00EB7824" w:rsidRPr="00EB1924" w:rsidRDefault="00EB7824" w:rsidP="00EB7824">
      <w:pPr>
        <w:pStyle w:val="AmNumberTabs"/>
        <w:widowControl/>
      </w:pPr>
      <w:r w:rsidRPr="00EB1924">
        <w:t>Amendement</w:t>
      </w:r>
      <w:r w:rsidRPr="00EB1924">
        <w:tab/>
      </w:r>
      <w:r w:rsidRPr="00EB1924">
        <w:tab/>
        <w:t>15</w:t>
      </w:r>
    </w:p>
    <w:p w:rsidR="00EB7824" w:rsidRPr="00EB1924" w:rsidRDefault="00EB7824" w:rsidP="00EB7824">
      <w:pPr>
        <w:widowControl/>
      </w:pPr>
    </w:p>
    <w:p w:rsidR="00EB7824" w:rsidRPr="00EB1924" w:rsidRDefault="00EB7824" w:rsidP="00EB7824">
      <w:pPr>
        <w:pStyle w:val="NormalBold"/>
        <w:keepNext/>
        <w:widowControl/>
      </w:pPr>
      <w:r w:rsidRPr="00EB1924">
        <w:t>Proposition de règlement</w:t>
      </w:r>
    </w:p>
    <w:p w:rsidR="00EB7824" w:rsidRPr="00EB1924" w:rsidRDefault="00EB7824" w:rsidP="00EB7824">
      <w:pPr>
        <w:pStyle w:val="NormalBold"/>
        <w:widowControl/>
      </w:pPr>
      <w:r w:rsidRPr="00EB1924">
        <w:t>Annexe – alinéa 1 – point 3</w:t>
      </w:r>
    </w:p>
    <w:p w:rsidR="00EB7824" w:rsidRPr="00EB1924" w:rsidRDefault="00EB7824" w:rsidP="00EB7824">
      <w:pPr>
        <w:keepNext/>
        <w:widowControl/>
      </w:pPr>
      <w:r w:rsidRPr="00EB1924">
        <w:t>Règlement (UE) 2017/852</w:t>
      </w:r>
    </w:p>
    <w:p w:rsidR="00EB7824" w:rsidRPr="00EB1924" w:rsidRDefault="00EB7824" w:rsidP="00EB7824">
      <w:pPr>
        <w:widowControl/>
      </w:pPr>
      <w:r w:rsidRPr="00EB1924">
        <w:t>Annexe II – Partie A – entrée 5 bis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firstRow="0" w:lastRow="0" w:firstColumn="0" w:lastColumn="0" w:noHBand="0" w:noVBand="0"/>
      </w:tblPr>
      <w:tblGrid>
        <w:gridCol w:w="4876"/>
        <w:gridCol w:w="4876"/>
      </w:tblGrid>
      <w:tr w:rsidR="00EB7824" w:rsidRPr="00EB1924" w:rsidTr="0037396F">
        <w:trPr>
          <w:jc w:val="center"/>
        </w:trPr>
        <w:tc>
          <w:tcPr>
            <w:tcW w:w="9752" w:type="dxa"/>
            <w:gridSpan w:val="2"/>
          </w:tcPr>
          <w:p w:rsidR="00EB7824" w:rsidRPr="00EB1924" w:rsidRDefault="00EB7824" w:rsidP="0037396F">
            <w:pPr>
              <w:pStyle w:val="ColumnHeading"/>
              <w:keepNext/>
              <w:widowControl/>
            </w:pPr>
            <w:r w:rsidRPr="00EB1924">
              <w:t>Texte proposé par la Commission</w:t>
            </w:r>
          </w:p>
        </w:tc>
      </w:tr>
      <w:tr w:rsidR="00EB7824" w:rsidRPr="00EB1924" w:rsidTr="0037396F">
        <w:trPr>
          <w:jc w:val="center"/>
        </w:trPr>
        <w:tc>
          <w:tcPr>
            <w:tcW w:w="4876" w:type="dxa"/>
          </w:tcPr>
          <w:p w:rsidR="00EB7824" w:rsidRPr="00EB1924" w:rsidRDefault="00EB7824" w:rsidP="0037396F">
            <w:pPr>
              <w:pStyle w:val="Normal6a"/>
              <w:widowControl/>
              <w:jc w:val="center"/>
              <w:rPr>
                <w:noProof/>
              </w:rPr>
            </w:pPr>
            <w:r w:rsidRPr="00EB1924">
              <w:t>5 bis. Les lampes d’éclairage ordinaire à vapeur de sodium haute pression</w:t>
            </w:r>
            <w:r w:rsidRPr="00EB1924">
              <w:rPr>
                <w:b/>
                <w:bCs/>
                <w:i/>
                <w:iCs/>
              </w:rPr>
              <w:t>.</w:t>
            </w:r>
          </w:p>
        </w:tc>
        <w:tc>
          <w:tcPr>
            <w:tcW w:w="4876" w:type="dxa"/>
          </w:tcPr>
          <w:p w:rsidR="00EB7824" w:rsidRPr="00EB1924" w:rsidRDefault="00EB7824" w:rsidP="0037396F">
            <w:pPr>
              <w:pStyle w:val="Normal6a"/>
              <w:widowControl/>
              <w:jc w:val="center"/>
              <w:rPr>
                <w:noProof/>
              </w:rPr>
            </w:pPr>
            <w:r w:rsidRPr="00EB1924">
              <w:t>31.12.2025</w:t>
            </w:r>
          </w:p>
        </w:tc>
      </w:tr>
      <w:tr w:rsidR="00EB7824" w:rsidRPr="00EB1924" w:rsidTr="0037396F">
        <w:trPr>
          <w:jc w:val="center"/>
        </w:trPr>
        <w:tc>
          <w:tcPr>
            <w:tcW w:w="9752" w:type="dxa"/>
            <w:gridSpan w:val="2"/>
          </w:tcPr>
          <w:p w:rsidR="00EB7824" w:rsidRPr="00EB1924" w:rsidRDefault="00EB7824" w:rsidP="0037396F">
            <w:pPr>
              <w:pStyle w:val="ColumnHeading"/>
              <w:keepNext/>
              <w:widowControl/>
              <w:rPr>
                <w:szCs w:val="24"/>
              </w:rPr>
            </w:pPr>
            <w:r w:rsidRPr="00EB1924">
              <w:t>Amendement</w:t>
            </w:r>
          </w:p>
        </w:tc>
      </w:tr>
      <w:tr w:rsidR="00EB7824" w:rsidRPr="00EB1924" w:rsidTr="0037396F">
        <w:trPr>
          <w:jc w:val="center"/>
        </w:trPr>
        <w:tc>
          <w:tcPr>
            <w:tcW w:w="4876" w:type="dxa"/>
          </w:tcPr>
          <w:p w:rsidR="00EB7824" w:rsidRPr="00EB1924" w:rsidRDefault="00EB7824" w:rsidP="0037396F">
            <w:pPr>
              <w:widowControl/>
              <w:jc w:val="center"/>
              <w:rPr>
                <w:rFonts w:eastAsia="Arial"/>
                <w:b/>
                <w:i/>
              </w:rPr>
            </w:pPr>
            <w:r w:rsidRPr="00EB1924">
              <w:t xml:space="preserve">5 bis. Les lampes d’éclairage ordinaire à vapeur de sodium haute pression </w:t>
            </w:r>
            <w:r w:rsidRPr="00EB1924">
              <w:rPr>
                <w:b/>
                <w:i/>
              </w:rPr>
              <w:t>pour lesquelles:</w:t>
            </w:r>
          </w:p>
          <w:p w:rsidR="00EB7824" w:rsidRPr="00EB1924" w:rsidRDefault="00EB7824" w:rsidP="0037396F">
            <w:pPr>
              <w:widowControl/>
              <w:jc w:val="center"/>
              <w:rPr>
                <w:rFonts w:eastAsia="Arial"/>
                <w:b/>
                <w:i/>
              </w:rPr>
            </w:pPr>
          </w:p>
          <w:p w:rsidR="00EB7824" w:rsidRPr="007316BE" w:rsidRDefault="00EB7824" w:rsidP="0037396F">
            <w:pPr>
              <w:widowControl/>
              <w:spacing w:after="120"/>
              <w:ind w:left="714" w:hanging="357"/>
              <w:jc w:val="center"/>
              <w:rPr>
                <w:rFonts w:eastAsia="Arial"/>
                <w:b/>
                <w:i/>
                <w:color w:val="000000"/>
                <w:lang w:val="pl-PL"/>
              </w:rPr>
            </w:pPr>
            <w:r w:rsidRPr="007316BE">
              <w:rPr>
                <w:b/>
                <w:i/>
                <w:color w:val="000000"/>
                <w:lang w:val="pl-PL"/>
              </w:rPr>
              <w:t>a)</w:t>
            </w:r>
            <w:r w:rsidRPr="007316BE">
              <w:rPr>
                <w:b/>
                <w:i/>
                <w:color w:val="000000"/>
                <w:lang w:val="pl-PL"/>
              </w:rPr>
              <w:tab/>
              <w:t xml:space="preserve">P ≤ 105 W </w:t>
            </w:r>
            <w:proofErr w:type="spellStart"/>
            <w:r w:rsidRPr="007316BE">
              <w:rPr>
                <w:b/>
                <w:i/>
                <w:color w:val="000000"/>
                <w:lang w:val="pl-PL"/>
              </w:rPr>
              <w:t>excédant</w:t>
            </w:r>
            <w:proofErr w:type="spellEnd"/>
            <w:r w:rsidRPr="007316BE">
              <w:rPr>
                <w:b/>
                <w:i/>
                <w:color w:val="000000"/>
                <w:lang w:val="pl-PL"/>
              </w:rPr>
              <w:t xml:space="preserve"> 16 mg Hg;</w:t>
            </w:r>
          </w:p>
          <w:p w:rsidR="00EB7824" w:rsidRPr="007316BE" w:rsidRDefault="00EB7824" w:rsidP="0037396F">
            <w:pPr>
              <w:widowControl/>
              <w:spacing w:after="120"/>
              <w:ind w:left="714" w:hanging="357"/>
              <w:jc w:val="center"/>
              <w:rPr>
                <w:rFonts w:eastAsia="Arial"/>
                <w:b/>
                <w:i/>
                <w:color w:val="000000"/>
                <w:lang w:val="pl-PL"/>
              </w:rPr>
            </w:pPr>
            <w:r w:rsidRPr="007316BE">
              <w:rPr>
                <w:b/>
                <w:i/>
                <w:color w:val="000000"/>
                <w:lang w:val="pl-PL"/>
              </w:rPr>
              <w:t>b)</w:t>
            </w:r>
            <w:r w:rsidRPr="007316BE">
              <w:rPr>
                <w:b/>
                <w:i/>
                <w:color w:val="000000"/>
                <w:lang w:val="pl-PL"/>
              </w:rPr>
              <w:tab/>
              <w:t xml:space="preserve">105 W &lt; P ≤ 155 W </w:t>
            </w:r>
            <w:proofErr w:type="spellStart"/>
            <w:r w:rsidRPr="007316BE">
              <w:rPr>
                <w:b/>
                <w:i/>
                <w:color w:val="000000"/>
                <w:lang w:val="pl-PL"/>
              </w:rPr>
              <w:t>excédant</w:t>
            </w:r>
            <w:proofErr w:type="spellEnd"/>
            <w:r w:rsidRPr="007316BE">
              <w:rPr>
                <w:b/>
                <w:i/>
                <w:color w:val="000000"/>
                <w:lang w:val="pl-PL"/>
              </w:rPr>
              <w:t xml:space="preserve"> 20 mg Hg;</w:t>
            </w:r>
          </w:p>
          <w:p w:rsidR="00EB7824" w:rsidRPr="007316BE" w:rsidRDefault="00EB7824" w:rsidP="0037396F">
            <w:pPr>
              <w:widowControl/>
              <w:spacing w:after="120"/>
              <w:ind w:left="714" w:hanging="357"/>
              <w:jc w:val="center"/>
              <w:rPr>
                <w:rFonts w:eastAsia="Arial"/>
                <w:b/>
                <w:i/>
                <w:color w:val="000000"/>
                <w:lang w:val="pl-PL"/>
              </w:rPr>
            </w:pPr>
            <w:r w:rsidRPr="007316BE">
              <w:rPr>
                <w:b/>
                <w:i/>
                <w:color w:val="000000"/>
                <w:lang w:val="pl-PL"/>
              </w:rPr>
              <w:t>c)</w:t>
            </w:r>
            <w:r w:rsidRPr="007316BE">
              <w:rPr>
                <w:b/>
                <w:i/>
                <w:color w:val="000000"/>
                <w:lang w:val="pl-PL"/>
              </w:rPr>
              <w:tab/>
              <w:t xml:space="preserve">P &gt; 155 W </w:t>
            </w:r>
            <w:proofErr w:type="spellStart"/>
            <w:r w:rsidRPr="007316BE">
              <w:rPr>
                <w:b/>
                <w:i/>
                <w:color w:val="000000"/>
                <w:lang w:val="pl-PL"/>
              </w:rPr>
              <w:t>excédant</w:t>
            </w:r>
            <w:proofErr w:type="spellEnd"/>
            <w:r w:rsidRPr="007316BE">
              <w:rPr>
                <w:b/>
                <w:i/>
                <w:color w:val="000000"/>
                <w:lang w:val="pl-PL"/>
              </w:rPr>
              <w:t xml:space="preserve"> 25 mg Hg.</w:t>
            </w:r>
          </w:p>
        </w:tc>
        <w:tc>
          <w:tcPr>
            <w:tcW w:w="4876" w:type="dxa"/>
          </w:tcPr>
          <w:p w:rsidR="00EB7824" w:rsidRPr="00EB1924" w:rsidRDefault="00EB7824" w:rsidP="0037396F">
            <w:pPr>
              <w:pStyle w:val="Normal6a"/>
              <w:widowControl/>
              <w:jc w:val="center"/>
              <w:rPr>
                <w:noProof/>
              </w:rPr>
            </w:pPr>
            <w:r w:rsidRPr="00EB1924">
              <w:t>31.12.2025</w:t>
            </w:r>
          </w:p>
        </w:tc>
      </w:tr>
    </w:tbl>
    <w:p w:rsidR="00EB7824" w:rsidRDefault="00EB7824" w:rsidP="007316BE">
      <w:pPr>
        <w:widowControl/>
      </w:pPr>
    </w:p>
    <w:p w:rsidR="00AD10F9" w:rsidRPr="00EB1924" w:rsidRDefault="00AD10F9" w:rsidP="004F2A66">
      <w:bookmarkStart w:id="8" w:name="_GoBack"/>
      <w:bookmarkEnd w:id="8"/>
    </w:p>
    <w:sectPr w:rsidR="00AD10F9" w:rsidRPr="00EB1924" w:rsidSect="00EB192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0647" w:rsidRPr="00EB1924" w:rsidRDefault="00C80647">
      <w:r w:rsidRPr="00EB1924">
        <w:separator/>
      </w:r>
    </w:p>
  </w:endnote>
  <w:endnote w:type="continuationSeparator" w:id="0">
    <w:p w:rsidR="00C80647" w:rsidRPr="00EB1924" w:rsidRDefault="00C80647">
      <w:r w:rsidRPr="00EB192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192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192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192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0647" w:rsidRPr="00EB1924" w:rsidRDefault="00C80647">
      <w:r w:rsidRPr="00EB1924">
        <w:separator/>
      </w:r>
    </w:p>
  </w:footnote>
  <w:footnote w:type="continuationSeparator" w:id="0">
    <w:p w:rsidR="00C80647" w:rsidRPr="00EB1924" w:rsidRDefault="00C80647">
      <w:r w:rsidRPr="00EB1924">
        <w:continuationSeparator/>
      </w:r>
    </w:p>
  </w:footnote>
  <w:footnote w:id="1">
    <w:p w:rsidR="00AD10F9" w:rsidRDefault="00AD10F9" w:rsidP="004F2A66">
      <w:pPr>
        <w:pStyle w:val="FootnoteText"/>
        <w:ind w:left="567" w:hanging="567"/>
      </w:pPr>
      <w:r>
        <w:rPr>
          <w:rStyle w:val="FootnoteReference"/>
        </w:rPr>
        <w:footnoteRef/>
      </w:r>
      <w:r>
        <w:t xml:space="preserve"> </w:t>
      </w:r>
      <w:r>
        <w:tab/>
      </w:r>
      <w:r w:rsidRPr="000B2E43">
        <w:rPr>
          <w:sz w:val="24"/>
          <w:szCs w:val="24"/>
        </w:rPr>
        <w:t>La question a été renvoyée à la commission compétente, aux fins de négociations interinstitutionnelles, conformément à l’article 59, paragraphe 4, quatrième alinéa, du règlement intérie</w:t>
      </w:r>
      <w:r w:rsidRPr="00AD10F9">
        <w:rPr>
          <w:sz w:val="24"/>
          <w:szCs w:val="24"/>
        </w:rPr>
        <w:t>ur (A9-</w:t>
      </w:r>
      <w:r w:rsidRPr="004F2A66">
        <w:rPr>
          <w:sz w:val="24"/>
          <w:szCs w:val="24"/>
        </w:rPr>
        <w:t>0002/2</w:t>
      </w:r>
      <w:r w:rsidRPr="00AD10F9">
        <w:rPr>
          <w:sz w:val="24"/>
          <w:szCs w:val="24"/>
        </w:rPr>
        <w:t>024</w:t>
      </w:r>
      <w:r w:rsidRPr="000B2E43">
        <w:rPr>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192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192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192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2/2024"/>
    <w:docVar w:name="dvlangue" w:val="FR"/>
    <w:docVar w:name="dvnumam" w:val="15"/>
    <w:docVar w:name="dvpe" w:val="753.554"/>
    <w:docVar w:name="dvrapporteur" w:val="Rapporteure: "/>
    <w:docVar w:name="dvstar" w:val="***I"/>
    <w:docVar w:name="dvtitre" w:val="Résolution législative du Parlement européen du ... 2024 sur la proposition de règlement du Parlement européen et du Conseil modifiant le règlement (UE) 2017/852 du Parlement européen et du Conseil du 17 mai 2017 relatif au mercure en ce qui concerne les amalgames dentaires et les autres produits contenant du mercure ajouté faisant l’objet de restrictions de fabrication, d’importation et d’exportation(COM(2023)0395 – C9-0309/2023 – 2023/0272(COD))"/>
  </w:docVars>
  <w:rsids>
    <w:rsidRoot w:val="00C80647"/>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2A66"/>
    <w:rsid w:val="0050519A"/>
    <w:rsid w:val="005072A1"/>
    <w:rsid w:val="00514517"/>
    <w:rsid w:val="00545827"/>
    <w:rsid w:val="00560270"/>
    <w:rsid w:val="005C2568"/>
    <w:rsid w:val="006037C0"/>
    <w:rsid w:val="006631B6"/>
    <w:rsid w:val="00680577"/>
    <w:rsid w:val="006F74FA"/>
    <w:rsid w:val="007316BE"/>
    <w:rsid w:val="00731ADD"/>
    <w:rsid w:val="00734777"/>
    <w:rsid w:val="00742906"/>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1B4E"/>
    <w:rsid w:val="00981893"/>
    <w:rsid w:val="00A1687D"/>
    <w:rsid w:val="00A26AD0"/>
    <w:rsid w:val="00A43E52"/>
    <w:rsid w:val="00A4678D"/>
    <w:rsid w:val="00A778C7"/>
    <w:rsid w:val="00AB441E"/>
    <w:rsid w:val="00AB6293"/>
    <w:rsid w:val="00AD10F9"/>
    <w:rsid w:val="00AE0928"/>
    <w:rsid w:val="00AF3B82"/>
    <w:rsid w:val="00B12E95"/>
    <w:rsid w:val="00B22876"/>
    <w:rsid w:val="00B558F0"/>
    <w:rsid w:val="00BD48FE"/>
    <w:rsid w:val="00BD7BD8"/>
    <w:rsid w:val="00BE6ADC"/>
    <w:rsid w:val="00C05BFE"/>
    <w:rsid w:val="00C23CD4"/>
    <w:rsid w:val="00C61C0C"/>
    <w:rsid w:val="00C80647"/>
    <w:rsid w:val="00C941CB"/>
    <w:rsid w:val="00CC2357"/>
    <w:rsid w:val="00CF071A"/>
    <w:rsid w:val="00D058B8"/>
    <w:rsid w:val="00D56C11"/>
    <w:rsid w:val="00D834A0"/>
    <w:rsid w:val="00D872DF"/>
    <w:rsid w:val="00D91E21"/>
    <w:rsid w:val="00DA7FCD"/>
    <w:rsid w:val="00E365E1"/>
    <w:rsid w:val="00E820A4"/>
    <w:rsid w:val="00EB006A"/>
    <w:rsid w:val="00EB1924"/>
    <w:rsid w:val="00EB4772"/>
    <w:rsid w:val="00EB7824"/>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176188"/>
  <w15:chartTrackingRefBased/>
  <w15:docId w15:val="{A0D1E725-9CCB-43BC-AB8C-C58B36C64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EB7824"/>
    <w:pPr>
      <w:spacing w:after="120"/>
    </w:pPr>
  </w:style>
  <w:style w:type="paragraph" w:customStyle="1" w:styleId="NormalBold">
    <w:name w:val="NormalBold"/>
    <w:basedOn w:val="Normal"/>
    <w:link w:val="NormalBoldChar"/>
    <w:rsid w:val="00EB7824"/>
    <w:rPr>
      <w:b/>
    </w:rPr>
  </w:style>
  <w:style w:type="paragraph" w:customStyle="1" w:styleId="NormalHanging12a">
    <w:name w:val="NormalHanging12a"/>
    <w:basedOn w:val="Normal"/>
    <w:rsid w:val="00EB7824"/>
    <w:pPr>
      <w:spacing w:after="240"/>
      <w:ind w:left="567" w:hanging="567"/>
    </w:pPr>
  </w:style>
  <w:style w:type="paragraph" w:customStyle="1" w:styleId="AmColumnHeading">
    <w:name w:val="AmColumnHeading"/>
    <w:basedOn w:val="Normal"/>
    <w:rsid w:val="00EB7824"/>
    <w:pPr>
      <w:spacing w:after="240"/>
      <w:jc w:val="center"/>
    </w:pPr>
    <w:rPr>
      <w:i/>
    </w:rPr>
  </w:style>
  <w:style w:type="paragraph" w:customStyle="1" w:styleId="AmNumberTabs">
    <w:name w:val="AmNumberTabs"/>
    <w:basedOn w:val="Normal"/>
    <w:link w:val="AmNumberTabsChar"/>
    <w:rsid w:val="00EB782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EB7824"/>
    <w:pPr>
      <w:spacing w:before="240"/>
    </w:pPr>
    <w:rPr>
      <w:b/>
    </w:rPr>
  </w:style>
  <w:style w:type="paragraph" w:customStyle="1" w:styleId="EPComma">
    <w:name w:val="EPComma"/>
    <w:basedOn w:val="Normal"/>
    <w:rsid w:val="00EB7824"/>
    <w:pPr>
      <w:spacing w:before="480" w:after="240"/>
    </w:pPr>
  </w:style>
  <w:style w:type="character" w:customStyle="1" w:styleId="Normal6Char">
    <w:name w:val="Normal6 Char"/>
    <w:basedOn w:val="DefaultParagraphFont"/>
    <w:link w:val="Normal6"/>
    <w:locked/>
    <w:rsid w:val="00EB7824"/>
    <w:rPr>
      <w:sz w:val="24"/>
      <w:lang w:val="fr-FR"/>
    </w:rPr>
  </w:style>
  <w:style w:type="paragraph" w:customStyle="1" w:styleId="Normal6">
    <w:name w:val="Normal6"/>
    <w:basedOn w:val="Normal"/>
    <w:link w:val="Normal6Char"/>
    <w:rsid w:val="00EB7824"/>
    <w:pPr>
      <w:spacing w:after="120"/>
    </w:pPr>
  </w:style>
  <w:style w:type="character" w:customStyle="1" w:styleId="NormalBoldChar">
    <w:name w:val="NormalBold Char"/>
    <w:basedOn w:val="DefaultParagraphFont"/>
    <w:link w:val="NormalBold"/>
    <w:locked/>
    <w:rsid w:val="00EB7824"/>
    <w:rPr>
      <w:b/>
      <w:sz w:val="24"/>
      <w:lang w:val="fr-FR"/>
    </w:rPr>
  </w:style>
  <w:style w:type="paragraph" w:customStyle="1" w:styleId="ColumnHeading">
    <w:name w:val="ColumnHeading"/>
    <w:basedOn w:val="Normal"/>
    <w:rsid w:val="00EB7824"/>
    <w:pPr>
      <w:spacing w:after="240"/>
      <w:jc w:val="center"/>
    </w:pPr>
    <w:rPr>
      <w:i/>
    </w:rPr>
  </w:style>
  <w:style w:type="character" w:customStyle="1" w:styleId="AmNumberTabsChar">
    <w:name w:val="AmNumberTabs Char"/>
    <w:basedOn w:val="DefaultParagraphFont"/>
    <w:link w:val="AmNumberTabs"/>
    <w:rsid w:val="00EB7824"/>
    <w:rPr>
      <w:b/>
      <w:sz w:val="24"/>
      <w:lang w:val="fr-FR"/>
    </w:rPr>
  </w:style>
  <w:style w:type="character" w:customStyle="1" w:styleId="NormalBold12bChar">
    <w:name w:val="NormalBold12b Char"/>
    <w:basedOn w:val="AmNumberTabsChar"/>
    <w:link w:val="NormalBold12b"/>
    <w:rsid w:val="00EB7824"/>
    <w:rPr>
      <w:b/>
      <w:sz w:val="24"/>
      <w:lang w:val="fr-FR"/>
    </w:rPr>
  </w:style>
  <w:style w:type="character" w:styleId="Emphasis">
    <w:name w:val="Emphasis"/>
    <w:basedOn w:val="DefaultParagraphFont"/>
    <w:uiPriority w:val="20"/>
    <w:qFormat/>
    <w:rsid w:val="00EB7824"/>
    <w:rPr>
      <w:i/>
      <w:iCs/>
    </w:rPr>
  </w:style>
  <w:style w:type="paragraph" w:customStyle="1" w:styleId="CrossRef">
    <w:name w:val="CrossRef"/>
    <w:basedOn w:val="Normal"/>
    <w:rsid w:val="00EB7824"/>
    <w:pPr>
      <w:spacing w:before="240"/>
      <w:jc w:val="center"/>
    </w:pPr>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0D57EF-906A-4A2F-B389-BBC31A36F3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2882</Words>
  <Characters>16105</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Marianne Salou</cp:lastModifiedBy>
  <cp:revision>4</cp:revision>
  <cp:lastPrinted>2004-11-19T15:42:00Z</cp:lastPrinted>
  <dcterms:created xsi:type="dcterms:W3CDTF">2024-01-17T14:54:00Z</dcterms:created>
  <dcterms:modified xsi:type="dcterms:W3CDTF">2024-01-17T15:12:00Z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A9-0002/2024</vt:lpwstr>
  </property>
  <property fmtid="{D5CDD505-2E9C-101B-9397-08002B2CF9AE}" pid="4" name="&lt;Type&gt;">
    <vt:lpwstr>RR</vt:lpwstr>
  </property>
  <property fmtid="{D5CDD505-2E9C-101B-9397-08002B2CF9AE}" pid="5" name="&lt;Model&gt;">
    <vt:lpwstr/>
  </property>
</Properties>
</file>