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52BB" w:rsidTr="0010095E">
        <w:trPr>
          <w:trHeight w:hRule="exact" w:val="1418"/>
        </w:trPr>
        <w:tc>
          <w:tcPr>
            <w:tcW w:w="6804" w:type="dxa"/>
            <w:shd w:val="clear" w:color="auto" w:fill="auto"/>
            <w:vAlign w:val="center"/>
          </w:tcPr>
          <w:p w:rsidR="00751A4A" w:rsidRPr="004C52BB" w:rsidRDefault="005F11BF" w:rsidP="0010095E">
            <w:pPr>
              <w:pStyle w:val="EPName"/>
            </w:pPr>
            <w:r w:rsidRPr="004C52BB">
              <w:t>Europees Parlement</w:t>
            </w:r>
          </w:p>
          <w:p w:rsidR="00751A4A" w:rsidRPr="004C52BB" w:rsidRDefault="00817416" w:rsidP="00756632">
            <w:pPr>
              <w:pStyle w:val="EPTerm"/>
              <w:rPr>
                <w:rStyle w:val="HideTWBExt"/>
                <w:noProof w:val="0"/>
                <w:vanish w:val="0"/>
                <w:color w:val="auto"/>
              </w:rPr>
            </w:pPr>
            <w:r w:rsidRPr="004C52BB">
              <w:t>2019-2024</w:t>
            </w:r>
          </w:p>
        </w:tc>
        <w:tc>
          <w:tcPr>
            <w:tcW w:w="2268" w:type="dxa"/>
            <w:shd w:val="clear" w:color="auto" w:fill="auto"/>
          </w:tcPr>
          <w:p w:rsidR="00751A4A" w:rsidRPr="004C52BB" w:rsidRDefault="00187494" w:rsidP="0010095E">
            <w:pPr>
              <w:pStyle w:val="EPLogo"/>
            </w:pPr>
            <w:r w:rsidRPr="004C52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52BB" w:rsidRDefault="00D058B8" w:rsidP="004C5D52">
      <w:pPr>
        <w:pStyle w:val="LineTop"/>
      </w:pPr>
    </w:p>
    <w:p w:rsidR="00680577" w:rsidRPr="004C52BB" w:rsidRDefault="005F11BF" w:rsidP="00680577">
      <w:pPr>
        <w:pStyle w:val="EPBodyTA1"/>
      </w:pPr>
      <w:r w:rsidRPr="004C52BB">
        <w:t>AANGENOMEN TEKSTEN</w:t>
      </w:r>
    </w:p>
    <w:p w:rsidR="00D058B8" w:rsidRPr="004C52BB" w:rsidRDefault="00D058B8" w:rsidP="00D058B8">
      <w:pPr>
        <w:pStyle w:val="LineBottom"/>
      </w:pPr>
    </w:p>
    <w:p w:rsidR="005F11BF" w:rsidRPr="004C52BB" w:rsidRDefault="005F11BF" w:rsidP="005F11BF">
      <w:pPr>
        <w:pStyle w:val="ATHeading1"/>
      </w:pPr>
      <w:bookmarkStart w:id="0" w:name="TANumber"/>
      <w:r w:rsidRPr="004C52BB">
        <w:t>P9_</w:t>
      </w:r>
      <w:proofErr w:type="gramStart"/>
      <w:r w:rsidRPr="004C52BB">
        <w:t>TA(</w:t>
      </w:r>
      <w:proofErr w:type="gramEnd"/>
      <w:r w:rsidRPr="004C52BB">
        <w:t>2024)</w:t>
      </w:r>
      <w:bookmarkEnd w:id="0"/>
      <w:r w:rsidR="000F5DC1" w:rsidRPr="004C52BB">
        <w:t>0019</w:t>
      </w:r>
    </w:p>
    <w:p w:rsidR="005F11BF" w:rsidRPr="004C52BB" w:rsidRDefault="005F11BF" w:rsidP="005F11BF">
      <w:pPr>
        <w:pStyle w:val="ATHeading2"/>
      </w:pPr>
      <w:bookmarkStart w:id="1" w:name="title"/>
      <w:r w:rsidRPr="004C52BB">
        <w:t>Kwik: tandheelkundig amalgaam en andere kwikhoudende producten waarvoor productie-, invoer- en uitvoerbeperkingen gelden</w:t>
      </w:r>
      <w:bookmarkEnd w:id="1"/>
    </w:p>
    <w:p w:rsidR="005F11BF" w:rsidRPr="004C52BB" w:rsidRDefault="005F11BF" w:rsidP="005F11BF">
      <w:pPr>
        <w:rPr>
          <w:i/>
          <w:vanish/>
        </w:rPr>
      </w:pPr>
      <w:r w:rsidRPr="004C52BB">
        <w:rPr>
          <w:i/>
        </w:rPr>
        <w:fldChar w:fldCharType="begin"/>
      </w:r>
      <w:r w:rsidRPr="004C52BB">
        <w:rPr>
          <w:i/>
        </w:rPr>
        <w:instrText xml:space="preserve"> TC"(</w:instrText>
      </w:r>
      <w:bookmarkStart w:id="2" w:name="DocNumber"/>
      <w:r w:rsidRPr="004C52BB">
        <w:rPr>
          <w:i/>
        </w:rPr>
        <w:instrText>A9-0002/2024</w:instrText>
      </w:r>
      <w:bookmarkEnd w:id="2"/>
      <w:r w:rsidRPr="004C52BB">
        <w:rPr>
          <w:i/>
        </w:rPr>
        <w:instrText xml:space="preserve"> - Rapporteur: </w:instrText>
      </w:r>
      <w:proofErr w:type="spellStart"/>
      <w:r w:rsidRPr="004C52BB">
        <w:rPr>
          <w:i/>
        </w:rPr>
        <w:instrText>Marlene</w:instrText>
      </w:r>
      <w:proofErr w:type="spellEnd"/>
      <w:r w:rsidRPr="004C52BB">
        <w:rPr>
          <w:i/>
        </w:rPr>
        <w:instrText xml:space="preserve"> </w:instrText>
      </w:r>
      <w:proofErr w:type="spellStart"/>
      <w:r w:rsidRPr="004C52BB">
        <w:rPr>
          <w:i/>
        </w:rPr>
        <w:instrText>Mortler</w:instrText>
      </w:r>
      <w:proofErr w:type="spellEnd"/>
      <w:r w:rsidRPr="004C52BB">
        <w:rPr>
          <w:i/>
        </w:rPr>
        <w:instrText xml:space="preserve">)"\l3 \n&gt; \* MERGEFORMAT </w:instrText>
      </w:r>
      <w:r w:rsidRPr="004C52BB">
        <w:rPr>
          <w:i/>
        </w:rPr>
        <w:fldChar w:fldCharType="end"/>
      </w:r>
    </w:p>
    <w:p w:rsidR="005F11BF" w:rsidRPr="004C52BB" w:rsidRDefault="005F11BF" w:rsidP="005F11BF">
      <w:pPr>
        <w:rPr>
          <w:vanish/>
        </w:rPr>
      </w:pPr>
      <w:bookmarkStart w:id="3" w:name="Commission"/>
      <w:r w:rsidRPr="004C52BB">
        <w:rPr>
          <w:vanish/>
        </w:rPr>
        <w:t>Commissie milieubeheer, volksgezondheid en voedselveiligheid</w:t>
      </w:r>
      <w:bookmarkEnd w:id="3"/>
    </w:p>
    <w:p w:rsidR="005F11BF" w:rsidRPr="004C52BB" w:rsidRDefault="005F11BF" w:rsidP="005F11BF">
      <w:pPr>
        <w:rPr>
          <w:vanish/>
        </w:rPr>
      </w:pPr>
      <w:bookmarkStart w:id="4" w:name="PE"/>
      <w:r w:rsidRPr="004C52BB">
        <w:rPr>
          <w:vanish/>
        </w:rPr>
        <w:t>PE753.554</w:t>
      </w:r>
      <w:bookmarkEnd w:id="4"/>
    </w:p>
    <w:p w:rsidR="005F11BF" w:rsidRPr="004C52BB" w:rsidRDefault="004C52BB" w:rsidP="005F11BF">
      <w:pPr>
        <w:pStyle w:val="ATHeading3"/>
      </w:pPr>
      <w:bookmarkStart w:id="5" w:name="Sujet"/>
      <w:r w:rsidRPr="004C52BB">
        <w:t xml:space="preserve">Amendementen </w:t>
      </w:r>
      <w:r w:rsidR="005F11BF" w:rsidRPr="004C52BB">
        <w:t xml:space="preserve">van het Europees Parlement </w:t>
      </w:r>
      <w:r w:rsidRPr="004C52BB">
        <w:t>aangenomen op</w:t>
      </w:r>
      <w:r w:rsidR="00FB2A05" w:rsidRPr="004C52BB">
        <w:t xml:space="preserve"> 17 januari 2024 </w:t>
      </w:r>
      <w:r w:rsidRPr="004C52BB">
        <w:t>op</w:t>
      </w:r>
      <w:r w:rsidR="005F11BF" w:rsidRPr="004C52BB">
        <w:t xml:space="preserve"> het voorstel voor een verordening van het Europees Parlement en de Raad tot wijziging van Verordening (EU) 2017/852 van het Europees Parlement en de Raad van 17 mei 2017 inzake kwik wat betreft tandheelkundig amalgaam en andere kwikhoudende producten waarvoor productie-, invoer- en uitvoerbeperkingen gelden</w:t>
      </w:r>
      <w:bookmarkEnd w:id="5"/>
      <w:r w:rsidR="005F11BF" w:rsidRPr="004C52BB">
        <w:t xml:space="preserve"> </w:t>
      </w:r>
      <w:bookmarkStart w:id="6" w:name="References"/>
      <w:r w:rsidR="005F11BF" w:rsidRPr="004C52BB">
        <w:t>(COM(2023)0395 – C9-0309/2023 – 2023/0272(COD))</w:t>
      </w:r>
      <w:bookmarkEnd w:id="6"/>
      <w:r w:rsidRPr="004C52BB">
        <w:rPr>
          <w:rStyle w:val="FootnoteReference"/>
        </w:rPr>
        <w:footnoteReference w:id="1"/>
      </w:r>
    </w:p>
    <w:p w:rsidR="005F11BF" w:rsidRPr="004C52BB" w:rsidRDefault="005F11BF" w:rsidP="005F11BF"/>
    <w:p w:rsidR="004C5AC8" w:rsidRPr="004C52BB" w:rsidRDefault="004C5AC8" w:rsidP="004C5AC8">
      <w:pPr>
        <w:pStyle w:val="NormalBold"/>
      </w:pPr>
      <w:bookmarkStart w:id="7" w:name="TextBodyBegin"/>
      <w:bookmarkEnd w:id="7"/>
      <w:r w:rsidRPr="004C52BB">
        <w:t>(Gewone wetgevingsprocedure: eerste lezing)</w:t>
      </w:r>
    </w:p>
    <w:p w:rsidR="004C5AC8" w:rsidRPr="004C52BB" w:rsidRDefault="004C5AC8" w:rsidP="004C5AC8">
      <w:r w:rsidRPr="004C52BB">
        <w:br w:type="page"/>
      </w:r>
    </w:p>
    <w:p w:rsidR="004C5AC8" w:rsidRPr="004C52BB" w:rsidRDefault="004C5AC8" w:rsidP="004C5AC8"/>
    <w:p w:rsidR="004C5AC8" w:rsidRPr="004C52BB" w:rsidRDefault="004C5AC8" w:rsidP="004C5AC8">
      <w:pPr>
        <w:pStyle w:val="AmNumberTabs"/>
      </w:pPr>
      <w:r w:rsidRPr="004C52BB">
        <w:t>Amendement</w:t>
      </w:r>
      <w:r w:rsidRPr="004C52BB">
        <w:tab/>
      </w:r>
      <w:r w:rsidRPr="004C52BB">
        <w:tab/>
        <w:t>1</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Overweging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(1 bis)</w:t>
            </w:r>
            <w:r w:rsidRPr="004C52BB">
              <w:rPr>
                <w:b/>
                <w:i/>
              </w:rPr>
              <w:tab/>
              <w:t xml:space="preserve">Kwik is een chemische stof die wereldwijd zorgwekkend is voor het milieu vanwege het atmosferisch transport van de stof over lange afstand, de persistentie ervan in het milieu na introductie door de mens en het vermogen van de stof tot </w:t>
            </w:r>
            <w:proofErr w:type="spellStart"/>
            <w:r w:rsidRPr="004C52BB">
              <w:rPr>
                <w:b/>
                <w:i/>
              </w:rPr>
              <w:t>bioaccumulatie</w:t>
            </w:r>
            <w:proofErr w:type="spellEnd"/>
            <w:r w:rsidRPr="004C52BB">
              <w:rPr>
                <w:b/>
                <w:i/>
              </w:rPr>
              <w:t xml:space="preserve"> in ecosystemen. Kwik heeft ook aanzienlijke negatieve effecten op de menselijke gezondheid en wordt van moeder op kind overgedragen via de placenta of door borstvoeding. Kwikverontreiniging van het milieu kan het gevolg zijn van menselijke activiteiten, waaronder ontoereikend beheer van kwikafval, crematie of een onjuiste toepassing van verplichte afscheiders in tandartspraktijken.</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2</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Overweging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r w:rsidRPr="004C52BB">
              <w:t>(4)</w:t>
            </w:r>
            <w:r w:rsidRPr="004C52BB">
              <w:tab/>
              <w:t xml:space="preserve">Gezien de beschikbaarheid van kwikvrije alternatieven is het passend het gebruik van tandheelkundig amalgaam voor de tandheelkundige behandeling van alle leden van de bevolking te verbieden, met behoud van de mogelijkheid om tandheelkundig amalgaam te gebruiken voor patiënten met specifieke medische behoeften. Om te voorkomen dat tandheelkundig amalgaam, dat op de markt van de Unie verboden is, wordt geproduceerd voor uitvoer uit de Unie, moet de productie en uitvoer van tandheelkundig amalgaam worden verboden. Artikel 10 van Verordening </w:t>
            </w:r>
            <w:r w:rsidRPr="004C52BB">
              <w:lastRenderedPageBreak/>
              <w:t>(EU) 2017/852 moet daarom dienovereenkomstig worden gewijzigd.</w:t>
            </w:r>
          </w:p>
        </w:tc>
        <w:tc>
          <w:tcPr>
            <w:tcW w:w="4876" w:type="dxa"/>
          </w:tcPr>
          <w:p w:rsidR="004C5AC8" w:rsidRPr="004C52BB" w:rsidRDefault="004C5AC8" w:rsidP="008F44FC">
            <w:pPr>
              <w:pStyle w:val="Normal6"/>
              <w:rPr>
                <w:szCs w:val="24"/>
              </w:rPr>
            </w:pPr>
            <w:r w:rsidRPr="004C52BB">
              <w:lastRenderedPageBreak/>
              <w:t>(4)</w:t>
            </w:r>
            <w:r w:rsidRPr="004C52BB">
              <w:tab/>
              <w:t>Gezien de beschikbaarheid van kwikvrije alternatieven</w:t>
            </w:r>
            <w:r w:rsidRPr="004C52BB">
              <w:rPr>
                <w:b/>
                <w:i/>
              </w:rPr>
              <w:t>, de betaalbaarheid van alternatieve materialen en de actuele overgang in veel lidstaten naar kwikvrije vullingen,</w:t>
            </w:r>
            <w:r w:rsidRPr="004C52BB">
              <w:t xml:space="preserve"> is het passend het gebruik van tandheelkundig amalgaam voor de tandheelkundige behandeling van alle leden van de bevolking te verbieden, met behoud van de mogelijkheid om tandheelkundig amalgaam te gebruiken voor patiënten met specifieke medische behoeften</w:t>
            </w:r>
            <w:r w:rsidRPr="004C52BB">
              <w:rPr>
                <w:b/>
                <w:i/>
              </w:rPr>
              <w:t xml:space="preserve">. De overgang naar kwikvrije alternatieven voor tandvullingen is in veel lidstaten al vergevorderd, hetgeen aantoont dat dit verbod, als </w:t>
            </w:r>
            <w:r w:rsidRPr="004C52BB">
              <w:rPr>
                <w:b/>
                <w:i/>
              </w:rPr>
              <w:lastRenderedPageBreak/>
              <w:t>kosteneffectieve manier om verdere kwikverontreiniging te voorkomen, haalbaar en noodzakelijk is</w:t>
            </w:r>
            <w:r w:rsidRPr="004C52BB">
              <w:t>.</w:t>
            </w:r>
            <w:r w:rsidRPr="004C52BB">
              <w:rPr>
                <w:b/>
                <w:i/>
              </w:rPr>
              <w:t xml:space="preserve"> </w:t>
            </w:r>
            <w:r w:rsidRPr="004C52BB">
              <w:t>Om te voorkomen dat tandheelkundig amalgaam, dat op de markt van de Unie verboden is, wordt geproduceerd voor uitvoer uit de Unie, moet de productie en uitvoer van tandheelkundig amalgaam worden verboden. Artikel 10 van Verordening (EU) 2017/852 moet daarom dienovereenkomstig worden gewijzigd.</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3</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Overweging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(4 bis)</w:t>
            </w:r>
            <w:r w:rsidRPr="004C52BB">
              <w:rPr>
                <w:b/>
                <w:i/>
              </w:rPr>
              <w:tab/>
              <w:t>Crematoria zijn een belangrijke bron van lozingen van kwik in de atmosfeer, en zelfs met een geleidelijke uitbanning van tandheelkundig amalgaam zullen crematoria een bron van kwikverontreiniging van lucht, water en bodem blijven. Het is noodzakelijk informatie te verzamelen over maatregelen die in de lidstaten worden toegepast en richtsnoeren voor crematoria te ontwikkelen om te zorgen voor passende preventie van milieuverontreiniging en beperking van de gevolgen voor het milieu en de menselijke gezondheid.</w:t>
            </w:r>
          </w:p>
        </w:tc>
      </w:tr>
    </w:tbl>
    <w:p w:rsidR="004C5AC8" w:rsidRPr="004C52BB" w:rsidRDefault="004C5AC8" w:rsidP="004C5AC8"/>
    <w:p w:rsidR="000F5DC1" w:rsidRPr="004C52BB" w:rsidRDefault="000F5DC1" w:rsidP="000F5DC1">
      <w:pPr>
        <w:pStyle w:val="AmNumberTabs"/>
      </w:pPr>
      <w:r w:rsidRPr="004C52BB">
        <w:t>Amendement</w:t>
      </w:r>
      <w:r w:rsidRPr="004C52BB">
        <w:tab/>
      </w:r>
      <w:r w:rsidRPr="004C52BB">
        <w:tab/>
        <w:t>16</w:t>
      </w:r>
    </w:p>
    <w:p w:rsidR="000F5DC1" w:rsidRPr="004C52BB" w:rsidRDefault="000F5DC1" w:rsidP="000F5DC1">
      <w:pPr>
        <w:pStyle w:val="NormalBold12b"/>
      </w:pPr>
      <w:r w:rsidRPr="004C52BB">
        <w:t>Voorstel voor een verordening</w:t>
      </w:r>
    </w:p>
    <w:p w:rsidR="000F5DC1" w:rsidRPr="004C52BB" w:rsidRDefault="000F5DC1" w:rsidP="000F5DC1">
      <w:pPr>
        <w:pStyle w:val="NormalBold"/>
      </w:pPr>
      <w:r w:rsidRPr="004C52BB">
        <w:t>Overweging 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5DC1" w:rsidRPr="004C52BB" w:rsidTr="00855E88">
        <w:trPr>
          <w:trHeight w:hRule="exact" w:val="240"/>
          <w:jc w:val="center"/>
        </w:trPr>
        <w:tc>
          <w:tcPr>
            <w:tcW w:w="9752" w:type="dxa"/>
            <w:gridSpan w:val="2"/>
          </w:tcPr>
          <w:p w:rsidR="000F5DC1" w:rsidRPr="004C52BB" w:rsidRDefault="000F5DC1" w:rsidP="00855E88"/>
        </w:tc>
      </w:tr>
      <w:tr w:rsidR="000F5DC1" w:rsidRPr="004C52BB" w:rsidTr="00855E88">
        <w:trPr>
          <w:trHeight w:val="240"/>
          <w:jc w:val="center"/>
        </w:trPr>
        <w:tc>
          <w:tcPr>
            <w:tcW w:w="4876" w:type="dxa"/>
          </w:tcPr>
          <w:p w:rsidR="000F5DC1" w:rsidRPr="004C52BB" w:rsidRDefault="000F5DC1" w:rsidP="00855E88">
            <w:pPr>
              <w:pStyle w:val="AmColumnHeading"/>
            </w:pPr>
            <w:r w:rsidRPr="004C52BB">
              <w:t>Door de Commissie voorgestelde tekst</w:t>
            </w:r>
          </w:p>
        </w:tc>
        <w:tc>
          <w:tcPr>
            <w:tcW w:w="4876" w:type="dxa"/>
          </w:tcPr>
          <w:p w:rsidR="000F5DC1" w:rsidRPr="004C52BB" w:rsidRDefault="000F5DC1" w:rsidP="00855E88">
            <w:pPr>
              <w:pStyle w:val="AmColumnHeading"/>
            </w:pPr>
            <w:r w:rsidRPr="004C52BB">
              <w:t>Amendement</w:t>
            </w:r>
          </w:p>
        </w:tc>
      </w:tr>
      <w:tr w:rsidR="000F5DC1" w:rsidRPr="004C52BB" w:rsidTr="00855E88">
        <w:trPr>
          <w:jc w:val="center"/>
        </w:trPr>
        <w:tc>
          <w:tcPr>
            <w:tcW w:w="4876" w:type="dxa"/>
          </w:tcPr>
          <w:p w:rsidR="000F5DC1" w:rsidRPr="004C52BB" w:rsidRDefault="000F5DC1" w:rsidP="00855E88">
            <w:pPr>
              <w:pStyle w:val="Normal6a"/>
            </w:pPr>
          </w:p>
        </w:tc>
        <w:tc>
          <w:tcPr>
            <w:tcW w:w="4876" w:type="dxa"/>
          </w:tcPr>
          <w:p w:rsidR="000F5DC1" w:rsidRPr="004C52BB" w:rsidRDefault="000F5DC1" w:rsidP="000F5DC1">
            <w:pPr>
              <w:pStyle w:val="Normal6a"/>
            </w:pPr>
            <w:r w:rsidRPr="004C52BB">
              <w:rPr>
                <w:b/>
                <w:i/>
              </w:rPr>
              <w:t>(4 ter)</w:t>
            </w:r>
            <w:r w:rsidRPr="004C52BB">
              <w:tab/>
            </w:r>
            <w:r w:rsidRPr="004C52BB">
              <w:rPr>
                <w:b/>
                <w:i/>
              </w:rPr>
              <w:t xml:space="preserve">Om de </w:t>
            </w:r>
            <w:proofErr w:type="spellStart"/>
            <w:proofErr w:type="gramStart"/>
            <w:r w:rsidRPr="004C52BB">
              <w:rPr>
                <w:b/>
                <w:i/>
              </w:rPr>
              <w:t>sociaal-economische</w:t>
            </w:r>
            <w:proofErr w:type="spellEnd"/>
            <w:proofErr w:type="gramEnd"/>
            <w:r w:rsidRPr="004C52BB">
              <w:rPr>
                <w:b/>
                <w:i/>
              </w:rPr>
              <w:t xml:space="preserve"> gevolgen van een verschuiving naar kwikvrije vullingen voor de kosten van tandheelkundige zorg voor patiënten en tandartsen te beperken, moeten de lidstaten ervoor trachten te zorgen dat </w:t>
            </w:r>
            <w:r w:rsidRPr="004C52BB">
              <w:rPr>
                <w:b/>
                <w:i/>
              </w:rPr>
              <w:lastRenderedPageBreak/>
              <w:t>kwikvrije alternatieven op passende wijze voor vergoeding in aanmerking komen. De uitbanning van tandheelkundig amalgaam moet in voorkomend geval vergezeld gaan van een professionele opleiding voor tandartsen, zodat zij zich aan nieuwe technieken kunnen aanpassen.</w:t>
            </w:r>
          </w:p>
        </w:tc>
      </w:tr>
    </w:tbl>
    <w:p w:rsidR="000F5DC1" w:rsidRPr="004C52BB" w:rsidRDefault="000F5DC1" w:rsidP="000F5DC1"/>
    <w:p w:rsidR="004C5AC8" w:rsidRPr="004C52BB" w:rsidRDefault="004C5AC8" w:rsidP="004C5AC8">
      <w:pPr>
        <w:pStyle w:val="AmNumberTabs"/>
      </w:pPr>
      <w:r w:rsidRPr="004C52BB">
        <w:t>Amendement</w:t>
      </w:r>
      <w:r w:rsidRPr="004C52BB">
        <w:tab/>
      </w:r>
      <w:r w:rsidRPr="004C52BB">
        <w:tab/>
        <w:t>4</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Overweging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r w:rsidRPr="004C52BB">
              <w:t>(5)</w:t>
            </w:r>
            <w:r w:rsidRPr="004C52BB">
              <w:tab/>
              <w:t>Artikel 4, lid 1, van Richtlijn 2011/65/EU van het Europees Parlement en de Raad</w:t>
            </w:r>
            <w:r w:rsidRPr="004C52BB">
              <w:rPr>
                <w:vertAlign w:val="superscript"/>
              </w:rPr>
              <w:t>44</w:t>
            </w:r>
            <w:r w:rsidRPr="004C52BB">
              <w:t xml:space="preserve"> verbiedt het in de Unie in de handel brengen en het in de Unie invoeren van bepaalde kwikhoudende elektrische en elektronische apparatuur. Bijlage III bij die richtlijn bevat onder meer een lijst van bepaalde kwikhoudende lampen die tot en met de in die bijlage vermelde data van dat verbod zijn vrijgesteld. Die vrijstelling is </w:t>
            </w:r>
            <w:r w:rsidRPr="004C52BB">
              <w:rPr>
                <w:b/>
                <w:i/>
              </w:rPr>
              <w:t xml:space="preserve">voor niet-lineaire halofosfaatlampen </w:t>
            </w:r>
            <w:r w:rsidRPr="004C52BB">
              <w:t xml:space="preserve">reeds op 13 april 2016 verstreken en verstrijkt op 24 februari </w:t>
            </w:r>
            <w:r w:rsidRPr="004C52BB">
              <w:rPr>
                <w:b/>
                <w:i/>
              </w:rPr>
              <w:t>2023 of</w:t>
            </w:r>
            <w:r w:rsidRPr="004C52BB">
              <w:t xml:space="preserve"> op 24 februari</w:t>
            </w:r>
            <w:r w:rsidRPr="004C52BB">
              <w:rPr>
                <w:b/>
                <w:i/>
              </w:rPr>
              <w:t xml:space="preserve"> 2027</w:t>
            </w:r>
            <w:r w:rsidRPr="004C52BB">
              <w:t xml:space="preserve"> voor </w:t>
            </w:r>
            <w:r w:rsidRPr="004C52BB">
              <w:rPr>
                <w:b/>
                <w:i/>
              </w:rPr>
              <w:t>bepaalde compacte fluorescentielampen</w:t>
            </w:r>
            <w:r w:rsidRPr="004C52BB">
              <w:t xml:space="preserve">, </w:t>
            </w:r>
            <w:r w:rsidRPr="004C52BB">
              <w:rPr>
                <w:b/>
                <w:i/>
              </w:rPr>
              <w:t>lineaire fluorescentielampen en</w:t>
            </w:r>
            <w:r w:rsidRPr="004C52BB">
              <w:t xml:space="preserve"> hogedruknatrium(damp)lampen voor algemene verlichtingsdoeleinden, </w:t>
            </w:r>
            <w:r w:rsidRPr="004C52BB">
              <w:rPr>
                <w:b/>
                <w:i/>
              </w:rPr>
              <w:t xml:space="preserve">alsmede voor niet-lineaire </w:t>
            </w:r>
            <w:proofErr w:type="spellStart"/>
            <w:r w:rsidRPr="004C52BB">
              <w:rPr>
                <w:b/>
                <w:i/>
              </w:rPr>
              <w:t>triband</w:t>
            </w:r>
            <w:proofErr w:type="spellEnd"/>
            <w:r w:rsidRPr="004C52BB">
              <w:rPr>
                <w:b/>
                <w:i/>
              </w:rPr>
              <w:t>-fosforfluorescentielampen</w:t>
            </w:r>
            <w:r w:rsidRPr="004C52BB">
              <w:t xml:space="preserve">. Bovendien zijn bepaalde lineaire fluorescentielampen voor algemene verlichtingsdoeleinden voor een verbod in de toekomst opgenomen in Besluit MC-4/3, dat is aangenomen tijdens de vierde vergadering van de Conferentie van de partijen bij het Verdrag van </w:t>
            </w:r>
            <w:proofErr w:type="spellStart"/>
            <w:r w:rsidRPr="004C52BB">
              <w:t>Minamata</w:t>
            </w:r>
            <w:proofErr w:type="spellEnd"/>
            <w:r w:rsidRPr="004C52BB">
              <w:t xml:space="preserve"> inzake kwik</w:t>
            </w:r>
            <w:r w:rsidRPr="004C52BB">
              <w:rPr>
                <w:vertAlign w:val="superscript"/>
              </w:rPr>
              <w:t>45</w:t>
            </w:r>
            <w:r w:rsidRPr="004C52BB">
              <w:t xml:space="preserve"> van 21 tot en met 25 maart 2022. Dat besluit werd door de Unie ondersteund bij Besluit (EU) 2022/549 van de Raad</w:t>
            </w:r>
            <w:r w:rsidRPr="004C52BB">
              <w:rPr>
                <w:vertAlign w:val="superscript"/>
              </w:rPr>
              <w:t>46</w:t>
            </w:r>
            <w:r w:rsidRPr="004C52BB">
              <w:t>. Aangezien sommige van die lampen momenteel niet zijn opgenomen in deel A van bijlage II bij Verordening (EU)</w:t>
            </w:r>
            <w:r w:rsidRPr="004C52BB">
              <w:rPr>
                <w:b/>
                <w:i/>
              </w:rPr>
              <w:t xml:space="preserve"> </w:t>
            </w:r>
            <w:r w:rsidRPr="004C52BB">
              <w:t>2017/852, moeten zij omwille van de samenhang daarin worden opgenomen om de productie en uitvoer ervan te verbieden vanaf de data in bijlage III bij Richtlijn</w:t>
            </w:r>
            <w:r w:rsidRPr="004C52BB">
              <w:rPr>
                <w:b/>
                <w:i/>
              </w:rPr>
              <w:t xml:space="preserve"> </w:t>
            </w:r>
            <w:r w:rsidRPr="004C52BB">
              <w:t>2011/65/EU en vanaf de meest ambitieuze data in Besluit</w:t>
            </w:r>
            <w:r w:rsidRPr="004C52BB">
              <w:rPr>
                <w:b/>
                <w:i/>
              </w:rPr>
              <w:t xml:space="preserve"> </w:t>
            </w:r>
            <w:r w:rsidRPr="004C52BB">
              <w:t>MC-4/3.</w:t>
            </w:r>
          </w:p>
        </w:tc>
        <w:tc>
          <w:tcPr>
            <w:tcW w:w="4876" w:type="dxa"/>
          </w:tcPr>
          <w:p w:rsidR="004C5AC8" w:rsidRPr="004C52BB" w:rsidRDefault="004C5AC8" w:rsidP="008F44FC">
            <w:pPr>
              <w:pStyle w:val="Normal6"/>
              <w:rPr>
                <w:szCs w:val="24"/>
              </w:rPr>
            </w:pPr>
            <w:r w:rsidRPr="004C52BB">
              <w:t>(5)</w:t>
            </w:r>
            <w:r w:rsidRPr="004C52BB">
              <w:tab/>
              <w:t>Artikel 4, lid 1, van Richtlijn 2011/65/EU van het Europees Parlement en de Raad</w:t>
            </w:r>
            <w:r w:rsidRPr="004C52BB">
              <w:rPr>
                <w:vertAlign w:val="superscript"/>
              </w:rPr>
              <w:t>44</w:t>
            </w:r>
            <w:r w:rsidRPr="004C52BB">
              <w:t xml:space="preserve"> verbiedt het in de Unie in de handel brengen en het in de Unie invoeren van bepaalde kwikhoudende elektrische en elektronische apparatuur. Bijlage III bij die richtlijn bevat onder meer een lijst van bepaalde kwikhoudende lampen die tot en met de in die bijlage vermelde data van dat verbod zijn vrijgesteld. Die vrijstelling is reeds op 13 april 2016 verstreken </w:t>
            </w:r>
            <w:r w:rsidRPr="004C52BB">
              <w:rPr>
                <w:b/>
                <w:i/>
              </w:rPr>
              <w:t xml:space="preserve">voor niet-lineaire halofosfaatlampen, op 24 februari 2023 voor bepaalde compacte fluorescentielampen, </w:t>
            </w:r>
            <w:r w:rsidRPr="004C52BB">
              <w:t xml:space="preserve">en </w:t>
            </w:r>
            <w:r w:rsidRPr="004C52BB">
              <w:rPr>
                <w:b/>
                <w:i/>
              </w:rPr>
              <w:t xml:space="preserve">op 24 augustus 2023 voor lineaire fluorescentielampen voor algemene verlichtingsdoeleinden. Voor niet-lineaire </w:t>
            </w:r>
            <w:proofErr w:type="spellStart"/>
            <w:r w:rsidRPr="004C52BB">
              <w:rPr>
                <w:b/>
                <w:i/>
              </w:rPr>
              <w:t>triband</w:t>
            </w:r>
            <w:proofErr w:type="spellEnd"/>
            <w:r w:rsidRPr="004C52BB">
              <w:rPr>
                <w:b/>
                <w:i/>
              </w:rPr>
              <w:t>-fosforfluorescentielampen verstrijkt de vrijstelling op 24 februari 2025. De vrijstelling voor de meeste hogedruknatrium(damp)lampen voor algemene verlichtingsdoeleinden met verbeterde kleurweergave-index, is</w:t>
            </w:r>
            <w:r w:rsidRPr="004C52BB">
              <w:t xml:space="preserve"> op 24 februari</w:t>
            </w:r>
            <w:r w:rsidRPr="004C52BB">
              <w:rPr>
                <w:b/>
                <w:i/>
              </w:rPr>
              <w:t> 2023 verstreken, terwijl de vrijstellingen</w:t>
            </w:r>
            <w:r w:rsidRPr="004C52BB">
              <w:t xml:space="preserve"> voor </w:t>
            </w:r>
            <w:r w:rsidRPr="004C52BB">
              <w:rPr>
                <w:b/>
                <w:i/>
              </w:rPr>
              <w:t>de overige lampen</w:t>
            </w:r>
            <w:r w:rsidRPr="004C52BB">
              <w:t xml:space="preserve">, </w:t>
            </w:r>
            <w:r w:rsidRPr="004C52BB">
              <w:rPr>
                <w:b/>
                <w:i/>
              </w:rPr>
              <w:t>evenals voor andere</w:t>
            </w:r>
            <w:r w:rsidRPr="004C52BB">
              <w:t xml:space="preserve"> hogedruknatrium(damp)lampen voor algemene verlichtingsdoeleinden, </w:t>
            </w:r>
            <w:r w:rsidRPr="004C52BB">
              <w:rPr>
                <w:b/>
                <w:i/>
              </w:rPr>
              <w:t>op 24 februari 2025 verstrijkt</w:t>
            </w:r>
            <w:r w:rsidRPr="004C52BB">
              <w:t xml:space="preserve">. Bovendien zijn bepaalde lineaire fluorescentielampen voor algemene verlichtingsdoeleinden voor een verbod in de toekomst opgenomen in Besluit MC-4/3, dat is aangenomen tijdens de vierde vergadering van de Conferentie van de partijen bij het Verdrag van </w:t>
            </w:r>
            <w:proofErr w:type="spellStart"/>
            <w:r w:rsidRPr="004C52BB">
              <w:t>Minamata</w:t>
            </w:r>
            <w:proofErr w:type="spellEnd"/>
            <w:r w:rsidRPr="004C52BB">
              <w:t xml:space="preserve"> inzake kwik</w:t>
            </w:r>
            <w:r w:rsidRPr="004C52BB">
              <w:rPr>
                <w:vertAlign w:val="superscript"/>
              </w:rPr>
              <w:t>45</w:t>
            </w:r>
            <w:r w:rsidRPr="004C52BB">
              <w:t xml:space="preserve"> van 21 tot en met 25 maart 2022. Dat besluit werd door de Unie ondersteund bij Besluit (EU) 2022/549 van de Raad</w:t>
            </w:r>
            <w:r w:rsidRPr="004C52BB">
              <w:rPr>
                <w:vertAlign w:val="superscript"/>
              </w:rPr>
              <w:t>46</w:t>
            </w:r>
            <w:r w:rsidRPr="004C52BB">
              <w:t xml:space="preserve">. Aangezien </w:t>
            </w:r>
            <w:r w:rsidRPr="004C52BB">
              <w:rPr>
                <w:b/>
                <w:i/>
              </w:rPr>
              <w:t xml:space="preserve">het passend is de uitvoer uit de Unie van de overige kwikhoudende lampen zo snel mogelijk te verbieden, en aangezien </w:t>
            </w:r>
            <w:r w:rsidRPr="004C52BB">
              <w:t>sommige van die lampen momenteel niet zijn opgenomen in deel A van bijlage II bij Verordening (EU)</w:t>
            </w:r>
            <w:r w:rsidRPr="004C52BB">
              <w:rPr>
                <w:b/>
                <w:i/>
              </w:rPr>
              <w:t> </w:t>
            </w:r>
            <w:r w:rsidRPr="004C52BB">
              <w:t xml:space="preserve">2017/852, moeten zij omwille van de samenhang daarin worden opgenomen om de productie en uitvoer ervan te verbieden vanaf de data </w:t>
            </w:r>
            <w:r w:rsidRPr="004C52BB">
              <w:rPr>
                <w:b/>
                <w:i/>
              </w:rPr>
              <w:t xml:space="preserve">zoals vermeld </w:t>
            </w:r>
            <w:r w:rsidRPr="004C52BB">
              <w:t>in bijlage III bij Richtlijn</w:t>
            </w:r>
            <w:r w:rsidRPr="004C52BB">
              <w:rPr>
                <w:b/>
                <w:i/>
              </w:rPr>
              <w:t> </w:t>
            </w:r>
            <w:r w:rsidRPr="004C52BB">
              <w:t>2011/65/EU en vanaf de meest ambitieuze data in Besluit</w:t>
            </w:r>
            <w:r w:rsidRPr="004C52BB">
              <w:rPr>
                <w:b/>
                <w:i/>
              </w:rPr>
              <w:t> </w:t>
            </w:r>
            <w:r w:rsidRPr="004C52BB">
              <w:t xml:space="preserve">MC-4/3. </w:t>
            </w:r>
            <w:r w:rsidRPr="004C52BB">
              <w:rPr>
                <w:b/>
                <w:i/>
              </w:rPr>
              <w:t>Bovendien kunnen aanzienlijke bijkomende voordelen worden bereikt door de uitvoer van kwikhoudende lampen zo snel mogelijk uit te bannen, aangezien kwikvrije alternatieven energie-efficiënter zijn en dus de uitstoot van tonnen aan CO</w:t>
            </w:r>
            <w:r w:rsidRPr="004C52BB">
              <w:rPr>
                <w:b/>
                <w:i/>
                <w:vertAlign w:val="subscript"/>
              </w:rPr>
              <w:t>2</w:t>
            </w:r>
            <w:r w:rsidRPr="004C52BB">
              <w:rPr>
                <w:b/>
                <w:i/>
              </w:rPr>
              <w:t>-emissies zouden voorkomen.</w:t>
            </w:r>
          </w:p>
        </w:tc>
      </w:tr>
      <w:tr w:rsidR="004C5AC8" w:rsidRPr="004C52BB" w:rsidTr="008F44FC">
        <w:trPr>
          <w:jc w:val="center"/>
        </w:trPr>
        <w:tc>
          <w:tcPr>
            <w:tcW w:w="4876" w:type="dxa"/>
          </w:tcPr>
          <w:p w:rsidR="004C5AC8" w:rsidRPr="004C52BB" w:rsidRDefault="004C5AC8" w:rsidP="008F44FC">
            <w:pPr>
              <w:pStyle w:val="Normal6"/>
            </w:pPr>
            <w:r w:rsidRPr="004C52BB">
              <w:t>__________________</w:t>
            </w:r>
          </w:p>
        </w:tc>
        <w:tc>
          <w:tcPr>
            <w:tcW w:w="4876" w:type="dxa"/>
          </w:tcPr>
          <w:p w:rsidR="004C5AC8" w:rsidRPr="004C52BB" w:rsidRDefault="004C5AC8" w:rsidP="008F44FC">
            <w:pPr>
              <w:pStyle w:val="Normal6"/>
              <w:rPr>
                <w:szCs w:val="24"/>
              </w:rPr>
            </w:pPr>
            <w:r w:rsidRPr="004C52BB">
              <w:t>__________________</w:t>
            </w:r>
          </w:p>
        </w:tc>
      </w:tr>
      <w:tr w:rsidR="004C5AC8" w:rsidRPr="004C52BB" w:rsidTr="008F44FC">
        <w:trPr>
          <w:jc w:val="center"/>
        </w:trPr>
        <w:tc>
          <w:tcPr>
            <w:tcW w:w="4876" w:type="dxa"/>
          </w:tcPr>
          <w:p w:rsidR="004C5AC8" w:rsidRPr="004C52BB" w:rsidRDefault="004C5AC8" w:rsidP="008F44FC">
            <w:pPr>
              <w:pStyle w:val="Normal6"/>
            </w:pPr>
            <w:r w:rsidRPr="004C52BB">
              <w:rPr>
                <w:vertAlign w:val="superscript"/>
              </w:rPr>
              <w:t>44</w:t>
            </w:r>
            <w:r w:rsidRPr="004C52BB">
              <w:t xml:space="preserve"> Richtlijn 2011/65/EU van het Europees Parlement en de Raad van 8 juni 2011 betreffende beperking van het gebruik van bepaalde gevaarlijke stoffen in elektrische en elektronische apparatuur (PB L 174 van 1.7.2011, blz. 88).</w:t>
            </w:r>
          </w:p>
        </w:tc>
        <w:tc>
          <w:tcPr>
            <w:tcW w:w="4876" w:type="dxa"/>
          </w:tcPr>
          <w:p w:rsidR="004C5AC8" w:rsidRPr="004C52BB" w:rsidRDefault="004C5AC8" w:rsidP="008F44FC">
            <w:pPr>
              <w:pStyle w:val="Normal6"/>
              <w:rPr>
                <w:szCs w:val="24"/>
              </w:rPr>
            </w:pPr>
            <w:r w:rsidRPr="004C52BB">
              <w:rPr>
                <w:vertAlign w:val="superscript"/>
              </w:rPr>
              <w:t>44</w:t>
            </w:r>
            <w:r w:rsidRPr="004C52BB">
              <w:t xml:space="preserve"> Richtlijn 2011/65/EU van het Europees Parlement en de Raad van 8 juni 2011 betreffende beperking van het gebruik van bepaalde gevaarlijke stoffen in elektrische en elektronische apparatuur (PB L 174 van 1.7.2011, blz. 88).</w:t>
            </w:r>
          </w:p>
        </w:tc>
      </w:tr>
      <w:tr w:rsidR="004C5AC8" w:rsidRPr="004C52BB" w:rsidTr="008F44FC">
        <w:trPr>
          <w:jc w:val="center"/>
        </w:trPr>
        <w:tc>
          <w:tcPr>
            <w:tcW w:w="4876" w:type="dxa"/>
          </w:tcPr>
          <w:p w:rsidR="004C5AC8" w:rsidRPr="004C52BB" w:rsidRDefault="004C5AC8" w:rsidP="008F44FC">
            <w:pPr>
              <w:pStyle w:val="Normal6"/>
            </w:pPr>
            <w:r w:rsidRPr="004C52BB">
              <w:rPr>
                <w:vertAlign w:val="superscript"/>
              </w:rPr>
              <w:t>45</w:t>
            </w:r>
            <w:r w:rsidRPr="004C52BB">
              <w:t xml:space="preserve"> Besluit (EU) 2022/549 van de Raad van 17 maart 2022 betreffende het standpunt dat namens de Europese Unie moet worden ingenomen tijdens het tweede deel van de vierde vergadering van de Conferentie van de partijen bij het Verdrag van </w:t>
            </w:r>
            <w:proofErr w:type="spellStart"/>
            <w:r w:rsidRPr="004C52BB">
              <w:t>Minamata</w:t>
            </w:r>
            <w:proofErr w:type="spellEnd"/>
            <w:r w:rsidRPr="004C52BB">
              <w:t xml:space="preserve"> inzake kwik in verband met de vaststelling van besluiten tot wijziging van de bijlagen A en B bij dat verdrag (PB L 107 van 6.4.2022, blz. 78).</w:t>
            </w:r>
          </w:p>
        </w:tc>
        <w:tc>
          <w:tcPr>
            <w:tcW w:w="4876" w:type="dxa"/>
          </w:tcPr>
          <w:p w:rsidR="004C5AC8" w:rsidRPr="004C52BB" w:rsidRDefault="004C5AC8" w:rsidP="008F44FC">
            <w:pPr>
              <w:pStyle w:val="Normal6"/>
              <w:rPr>
                <w:szCs w:val="24"/>
              </w:rPr>
            </w:pPr>
            <w:r w:rsidRPr="004C52BB">
              <w:rPr>
                <w:vertAlign w:val="superscript"/>
              </w:rPr>
              <w:t>45</w:t>
            </w:r>
            <w:r w:rsidRPr="004C52BB">
              <w:t xml:space="preserve"> Besluit (EU) 2022/549 van de Raad van 17 maart 2022 betreffende het standpunt dat namens de Europese Unie moet worden ingenomen tijdens het tweede deel van de vierde vergadering van de Conferentie van de partijen bij het Verdrag van </w:t>
            </w:r>
            <w:proofErr w:type="spellStart"/>
            <w:r w:rsidRPr="004C52BB">
              <w:t>Minamata</w:t>
            </w:r>
            <w:proofErr w:type="spellEnd"/>
            <w:r w:rsidRPr="004C52BB">
              <w:t xml:space="preserve"> inzake kwik in verband met de vaststelling van besluiten tot wijziging van de bijlagen A en B bij dat verdrag (PB L 107 van 6.4.2022, blz. 78).</w:t>
            </w:r>
          </w:p>
        </w:tc>
      </w:tr>
      <w:tr w:rsidR="004C5AC8" w:rsidRPr="004C52BB" w:rsidTr="008F44FC">
        <w:trPr>
          <w:jc w:val="center"/>
        </w:trPr>
        <w:tc>
          <w:tcPr>
            <w:tcW w:w="4876" w:type="dxa"/>
          </w:tcPr>
          <w:p w:rsidR="004C5AC8" w:rsidRPr="004C52BB" w:rsidRDefault="004C5AC8" w:rsidP="008F44FC">
            <w:pPr>
              <w:pStyle w:val="Normal6"/>
            </w:pPr>
            <w:r w:rsidRPr="004C52BB">
              <w:rPr>
                <w:vertAlign w:val="superscript"/>
              </w:rPr>
              <w:t>46</w:t>
            </w:r>
            <w:r w:rsidRPr="004C52BB">
              <w:t xml:space="preserve"> Besluit (EU) 2022/549 van de Raad van 17 maart 2022 betreffende het standpunt dat namens de Europese Unie moet worden ingenomen tijdens het tweede deel van de vierde vergadering van de Conferentie van de partijen bij het Verdrag van </w:t>
            </w:r>
            <w:proofErr w:type="spellStart"/>
            <w:r w:rsidRPr="004C52BB">
              <w:t>Minamata</w:t>
            </w:r>
            <w:proofErr w:type="spellEnd"/>
            <w:r w:rsidRPr="004C52BB">
              <w:t>.</w:t>
            </w:r>
          </w:p>
        </w:tc>
        <w:tc>
          <w:tcPr>
            <w:tcW w:w="4876" w:type="dxa"/>
          </w:tcPr>
          <w:p w:rsidR="004C5AC8" w:rsidRPr="004C52BB" w:rsidRDefault="004C5AC8" w:rsidP="008F44FC">
            <w:pPr>
              <w:pStyle w:val="Normal6"/>
              <w:rPr>
                <w:szCs w:val="24"/>
              </w:rPr>
            </w:pPr>
            <w:r w:rsidRPr="004C52BB">
              <w:rPr>
                <w:vertAlign w:val="superscript"/>
              </w:rPr>
              <w:t>46</w:t>
            </w:r>
            <w:r w:rsidRPr="004C52BB">
              <w:t xml:space="preserve"> Besluit (EU) 2022/549 van de Raad van 17 maart 2022 betreffende het standpunt dat namens de Europese Unie moet worden ingenomen</w:t>
            </w:r>
            <w:bookmarkStart w:id="8" w:name="_GoBack"/>
            <w:bookmarkEnd w:id="8"/>
            <w:r w:rsidRPr="004C52BB">
              <w:t xml:space="preserve"> tijdens het tweede deel van de vierde vergadering van de Conferentie van de partijen bij het Verdrag van </w:t>
            </w:r>
            <w:proofErr w:type="spellStart"/>
            <w:r w:rsidRPr="004C52BB">
              <w:t>Minamata</w:t>
            </w:r>
            <w:proofErr w:type="spellEnd"/>
            <w:r w:rsidR="00B648CE">
              <w:t xml:space="preserve"> </w:t>
            </w:r>
            <w:r w:rsidR="00B648CE" w:rsidRPr="00B648CE">
              <w:rPr>
                <w:b/>
                <w:i/>
              </w:rPr>
              <w:t>inzake kwik in verband met de vaststelling van besluiten tot wijziging van de bijlagen A en B bij dat verdrag (PB L 107 van 6.4.2022, blz. 78)</w:t>
            </w:r>
            <w:r w:rsidRPr="004C52BB">
              <w:t>.</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5</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Overweging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(5 bis)</w:t>
            </w:r>
            <w:r w:rsidRPr="004C52BB">
              <w:rPr>
                <w:b/>
                <w:i/>
              </w:rPr>
              <w:tab/>
              <w:t xml:space="preserve">Gezien de schadelijke effecten van kwik en kwikverbindingen op de menselijke gezondheid en het milieu, moeten blootstelling en emissies zoveel mogelijk verder worden geminimaliseerd. Uit recente verslaglegging blijkt dat Europese bedrijven kwikverbindingen produceren en uitvoeren die worden gebruikt voor niet-toegestane toepassingen, met name in cosmetica. Daarom moet de Commissie verslag uitbrengen over de uitvoering en handhaving van het Verdrag van </w:t>
            </w:r>
            <w:proofErr w:type="spellStart"/>
            <w:r w:rsidRPr="004C52BB">
              <w:rPr>
                <w:b/>
                <w:i/>
              </w:rPr>
              <w:t>Minamata</w:t>
            </w:r>
            <w:proofErr w:type="spellEnd"/>
            <w:r w:rsidRPr="004C52BB">
              <w:rPr>
                <w:b/>
                <w:i/>
              </w:rPr>
              <w:t xml:space="preserve">, met name met betrekking tot het gebruik van kwik en kwikverbindingen in cosmetica en de productie, invoer en uitvoer van kwik en kwikverbindingen voor niet-toegestane toepassingen. Voorts moet de Commissie de resterende toepassingen van kwik – bijvoorbeeld in </w:t>
            </w:r>
            <w:proofErr w:type="spellStart"/>
            <w:r w:rsidRPr="004C52BB">
              <w:rPr>
                <w:b/>
                <w:i/>
              </w:rPr>
              <w:t>porosimetrie</w:t>
            </w:r>
            <w:proofErr w:type="spellEnd"/>
            <w:r w:rsidRPr="004C52BB">
              <w:rPr>
                <w:b/>
                <w:i/>
              </w:rPr>
              <w:t>, vuurtorens en vaccins – beoordelen en nagaan of het nodig is de lijst van grote bronnen van afval te wijzigen en, in voorkomend geval, maatregelen voorstellen om die toepassingen geleidelijk uit te bannen en de productie, invoer en uitvoer voor dergelijke doeleinden te reguleren.</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6</w:t>
      </w:r>
    </w:p>
    <w:p w:rsidR="004C5AC8" w:rsidRPr="004C52BB" w:rsidRDefault="004C5AC8" w:rsidP="004C5AC8">
      <w:pPr>
        <w:pStyle w:val="NormalBold12b"/>
      </w:pPr>
      <w:r w:rsidRPr="004C52BB">
        <w:t>Voorstel voor een verordening</w:t>
      </w:r>
    </w:p>
    <w:p w:rsidR="004C5AC8" w:rsidRPr="004C52BB" w:rsidRDefault="004C5AC8" w:rsidP="004C5AC8">
      <w:pPr>
        <w:pStyle w:val="NormalBold"/>
      </w:pPr>
      <w:r w:rsidRPr="004C52BB">
        <w:t>Overweging 5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5AC8" w:rsidRPr="004C52BB" w:rsidTr="008F44FC">
        <w:trPr>
          <w:trHeight w:hRule="exact" w:val="240"/>
          <w:jc w:val="center"/>
        </w:trPr>
        <w:tc>
          <w:tcPr>
            <w:tcW w:w="9752" w:type="dxa"/>
            <w:gridSpan w:val="2"/>
          </w:tcPr>
          <w:p w:rsidR="004C5AC8" w:rsidRPr="004C52BB" w:rsidRDefault="004C5AC8" w:rsidP="008F44FC"/>
        </w:tc>
      </w:tr>
      <w:tr w:rsidR="004C5AC8" w:rsidRPr="004C52BB" w:rsidTr="008F44FC">
        <w:trPr>
          <w:trHeight w:val="240"/>
          <w:jc w:val="center"/>
        </w:trPr>
        <w:tc>
          <w:tcPr>
            <w:tcW w:w="4876" w:type="dxa"/>
          </w:tcPr>
          <w:p w:rsidR="004C5AC8" w:rsidRPr="004C52BB" w:rsidRDefault="004C5AC8" w:rsidP="008F44FC">
            <w:pPr>
              <w:pStyle w:val="AmColumnHeading"/>
            </w:pPr>
            <w:r w:rsidRPr="004C52BB">
              <w:t>Door de Commissie voorgestelde tekst</w:t>
            </w:r>
          </w:p>
        </w:tc>
        <w:tc>
          <w:tcPr>
            <w:tcW w:w="4876" w:type="dxa"/>
          </w:tcPr>
          <w:p w:rsidR="004C5AC8" w:rsidRPr="004C52BB" w:rsidRDefault="004C5AC8" w:rsidP="008F44FC">
            <w:pPr>
              <w:pStyle w:val="AmColumnHeading"/>
            </w:pPr>
            <w:r w:rsidRPr="004C52BB">
              <w:t>Amendement</w:t>
            </w:r>
          </w:p>
        </w:tc>
      </w:tr>
      <w:tr w:rsidR="004C5AC8" w:rsidRPr="004C52BB" w:rsidTr="008F44FC">
        <w:trPr>
          <w:jc w:val="center"/>
        </w:trPr>
        <w:tc>
          <w:tcPr>
            <w:tcW w:w="4876" w:type="dxa"/>
          </w:tcPr>
          <w:p w:rsidR="004C5AC8" w:rsidRPr="004C52BB" w:rsidRDefault="004C5AC8" w:rsidP="008F44FC">
            <w:pPr>
              <w:pStyle w:val="Normal6a"/>
            </w:pPr>
          </w:p>
        </w:tc>
        <w:tc>
          <w:tcPr>
            <w:tcW w:w="4876" w:type="dxa"/>
          </w:tcPr>
          <w:p w:rsidR="004C5AC8" w:rsidRPr="004C52BB" w:rsidRDefault="004C5AC8" w:rsidP="008F44FC">
            <w:pPr>
              <w:pStyle w:val="Normal6a"/>
            </w:pPr>
            <w:r w:rsidRPr="004C52BB">
              <w:rPr>
                <w:b/>
                <w:i/>
              </w:rPr>
              <w:t>(5 ter)</w:t>
            </w:r>
            <w:r w:rsidRPr="004C52BB">
              <w:tab/>
            </w:r>
            <w:r w:rsidRPr="004C52BB">
              <w:rPr>
                <w:b/>
                <w:i/>
              </w:rPr>
              <w:t>Gezien het gebrek aan adequate inzamelingssystemen voor kwikhoudende producten in niet-elektronisch en elektronisch afval, blijven secundaire kwikemissies van stortplaatsen en afvalverbrandingsinstallaties zich voordoen, en daarom is het nodig deze producten apart en op milieuverantwoorde wijze in te zamelen.</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7</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Artikel 1 – alinea 1 – punt 1 – a</w:t>
      </w:r>
    </w:p>
    <w:p w:rsidR="004C5AC8" w:rsidRPr="004C52BB" w:rsidRDefault="004C5AC8" w:rsidP="004C5AC8">
      <w:pPr>
        <w:keepNext/>
      </w:pPr>
      <w:r w:rsidRPr="004C52BB">
        <w:t>Verordening (EU) 2017/852</w:t>
      </w:r>
    </w:p>
    <w:p w:rsidR="004C5AC8" w:rsidRPr="004C52BB" w:rsidRDefault="004C5AC8" w:rsidP="004C5AC8">
      <w:r w:rsidRPr="004C52BB">
        <w:t>Artikel 10 – lid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r w:rsidRPr="004C52BB">
              <w:t>2 bis.</w:t>
            </w:r>
            <w:r w:rsidRPr="004C52BB">
              <w:tab/>
              <w:t xml:space="preserve">Vanaf 1 januari 2025 mag tandheelkundig amalgaam niet meer worden gebruikt voor tandheelkundige behandelingen van eender welk lid van de bevolking, tenzij dit vanwege </w:t>
            </w:r>
            <w:r w:rsidRPr="004C52BB">
              <w:rPr>
                <w:b/>
                <w:i/>
              </w:rPr>
              <w:t>de</w:t>
            </w:r>
            <w:r w:rsidRPr="004C52BB">
              <w:t xml:space="preserve"> specifieke medische behoeften van de patiënt strikt noodzakelijk wordt geacht door degene die de tandheelkundige behandeling verricht.</w:t>
            </w:r>
          </w:p>
        </w:tc>
        <w:tc>
          <w:tcPr>
            <w:tcW w:w="4876" w:type="dxa"/>
          </w:tcPr>
          <w:p w:rsidR="004C5AC8" w:rsidRPr="004C52BB" w:rsidRDefault="004C5AC8" w:rsidP="008F44FC">
            <w:pPr>
              <w:pStyle w:val="Normal6"/>
              <w:rPr>
                <w:szCs w:val="24"/>
              </w:rPr>
            </w:pPr>
            <w:r w:rsidRPr="004C52BB">
              <w:t>2 bis.</w:t>
            </w:r>
            <w:r w:rsidRPr="004C52BB">
              <w:tab/>
              <w:t xml:space="preserve">Vanaf 1 januari 2025 mag tandheelkundig amalgaam niet meer worden gebruikt voor tandheelkundige behandelingen van eender welk lid van de bevolking, tenzij dit vanwege </w:t>
            </w:r>
            <w:r w:rsidRPr="004C52BB">
              <w:rPr>
                <w:b/>
                <w:i/>
              </w:rPr>
              <w:t>naar behoren gemotiveerde</w:t>
            </w:r>
            <w:r w:rsidRPr="004C52BB">
              <w:t xml:space="preserve"> specifieke medische behoeften van de patiënt strikt noodzakelijk wordt geacht door degene die de tandheelkundige behandeling verricht.</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8</w:t>
      </w:r>
    </w:p>
    <w:p w:rsidR="004C5AC8" w:rsidRPr="004C52BB" w:rsidRDefault="004C5AC8" w:rsidP="004C5AC8">
      <w:pPr>
        <w:pStyle w:val="NormalBold12b"/>
      </w:pPr>
      <w:r w:rsidRPr="004C52BB">
        <w:t>Voorstel voor een verordening</w:t>
      </w:r>
    </w:p>
    <w:p w:rsidR="004C5AC8" w:rsidRPr="004C52BB" w:rsidRDefault="004C5AC8" w:rsidP="004C5AC8">
      <w:pPr>
        <w:pStyle w:val="NormalBold"/>
      </w:pPr>
      <w:r w:rsidRPr="004C52BB">
        <w:t>Artikel 1 – alinea 1 – punt 1 bis (nieuw)</w:t>
      </w:r>
    </w:p>
    <w:p w:rsidR="004C5AC8" w:rsidRPr="004C52BB" w:rsidRDefault="004C5AC8" w:rsidP="004C5AC8">
      <w:r w:rsidRPr="004C52BB">
        <w:t>Verordening (EU) 2017/852</w:t>
      </w:r>
    </w:p>
    <w:p w:rsidR="004C5AC8" w:rsidRPr="004C52BB" w:rsidRDefault="004C5AC8" w:rsidP="004C5AC8">
      <w:r w:rsidRPr="004C52BB">
        <w:t>Artikel 11 – alinea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5AC8" w:rsidRPr="004C52BB" w:rsidTr="008F44FC">
        <w:trPr>
          <w:trHeight w:hRule="exact" w:val="240"/>
          <w:jc w:val="center"/>
        </w:trPr>
        <w:tc>
          <w:tcPr>
            <w:tcW w:w="9752" w:type="dxa"/>
            <w:gridSpan w:val="2"/>
          </w:tcPr>
          <w:p w:rsidR="004C5AC8" w:rsidRPr="004C52BB" w:rsidRDefault="004C5AC8" w:rsidP="008F44FC"/>
        </w:tc>
      </w:tr>
      <w:tr w:rsidR="004C5AC8" w:rsidRPr="004C52BB" w:rsidTr="008F44FC">
        <w:trPr>
          <w:trHeight w:val="240"/>
          <w:jc w:val="center"/>
        </w:trPr>
        <w:tc>
          <w:tcPr>
            <w:tcW w:w="4876" w:type="dxa"/>
          </w:tcPr>
          <w:p w:rsidR="004C5AC8" w:rsidRPr="004C52BB" w:rsidRDefault="004C5AC8" w:rsidP="008F44FC">
            <w:pPr>
              <w:pStyle w:val="AmColumnHeading"/>
            </w:pPr>
            <w:r w:rsidRPr="004C52BB">
              <w:t>Door de Commissie voorgestelde tekst</w:t>
            </w:r>
          </w:p>
        </w:tc>
        <w:tc>
          <w:tcPr>
            <w:tcW w:w="4876" w:type="dxa"/>
          </w:tcPr>
          <w:p w:rsidR="004C5AC8" w:rsidRPr="004C52BB" w:rsidRDefault="004C5AC8" w:rsidP="008F44FC">
            <w:pPr>
              <w:pStyle w:val="AmColumnHeading"/>
            </w:pPr>
            <w:r w:rsidRPr="004C52BB">
              <w:t>Amendement</w:t>
            </w:r>
          </w:p>
        </w:tc>
      </w:tr>
      <w:tr w:rsidR="004C5AC8" w:rsidRPr="004C52BB" w:rsidTr="008F44FC">
        <w:trPr>
          <w:jc w:val="center"/>
        </w:trPr>
        <w:tc>
          <w:tcPr>
            <w:tcW w:w="4876" w:type="dxa"/>
          </w:tcPr>
          <w:p w:rsidR="004C5AC8" w:rsidRPr="004C52BB" w:rsidRDefault="004C5AC8" w:rsidP="008F44FC">
            <w:pPr>
              <w:pStyle w:val="Normal6a"/>
            </w:pPr>
          </w:p>
        </w:tc>
        <w:tc>
          <w:tcPr>
            <w:tcW w:w="4876" w:type="dxa"/>
          </w:tcPr>
          <w:p w:rsidR="004C5AC8" w:rsidRPr="004C52BB" w:rsidRDefault="004C5AC8" w:rsidP="008F44FC">
            <w:pPr>
              <w:pStyle w:val="Normal6a"/>
            </w:pPr>
            <w:r w:rsidRPr="004C52BB">
              <w:rPr>
                <w:b/>
                <w:i/>
              </w:rPr>
              <w:t>1 bis)</w:t>
            </w:r>
            <w:r w:rsidRPr="004C52BB">
              <w:tab/>
            </w:r>
            <w:r w:rsidRPr="004C52BB">
              <w:rPr>
                <w:b/>
                <w:i/>
              </w:rPr>
              <w:t>Aan artikel 11 wordt het volgende lid toegevoegd:</w:t>
            </w:r>
          </w:p>
        </w:tc>
      </w:tr>
      <w:tr w:rsidR="004C5AC8" w:rsidRPr="004C52BB" w:rsidTr="008F44FC">
        <w:trPr>
          <w:jc w:val="center"/>
        </w:trPr>
        <w:tc>
          <w:tcPr>
            <w:tcW w:w="4876" w:type="dxa"/>
          </w:tcPr>
          <w:p w:rsidR="004C5AC8" w:rsidRPr="004C52BB" w:rsidRDefault="004C5AC8" w:rsidP="008F44FC">
            <w:pPr>
              <w:pStyle w:val="Normal6a"/>
            </w:pPr>
          </w:p>
        </w:tc>
        <w:tc>
          <w:tcPr>
            <w:tcW w:w="4876" w:type="dxa"/>
          </w:tcPr>
          <w:p w:rsidR="004C5AC8" w:rsidRPr="004C52BB" w:rsidRDefault="004C5AC8" w:rsidP="008F44FC">
            <w:pPr>
              <w:pStyle w:val="Normal6a"/>
            </w:pPr>
            <w:r w:rsidRPr="004C52BB">
              <w:rPr>
                <w:b/>
                <w:i/>
              </w:rPr>
              <w:t>“Kwikhoudende producten die nog steeds in circulatie zijn en niet langer kunnen worden gebruikt, worden als afval beschouwd en worden apart en op milieuverantwoorde wijze ingezameld.”.</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9</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Artikel 1 – alinea 1 – punt 1 ter (nieuw)</w:t>
      </w:r>
    </w:p>
    <w:p w:rsidR="004C5AC8" w:rsidRPr="004C52BB" w:rsidRDefault="004C5AC8" w:rsidP="004C5AC8">
      <w:pPr>
        <w:keepNext/>
      </w:pPr>
      <w:r w:rsidRPr="004C52BB">
        <w:t>Verordening (EU) 2017/852</w:t>
      </w:r>
    </w:p>
    <w:p w:rsidR="004C5AC8" w:rsidRPr="004C52BB" w:rsidRDefault="004C5AC8" w:rsidP="004C5AC8">
      <w:r w:rsidRPr="004C52BB">
        <w:t>Artikel 18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1 ter)</w:t>
            </w:r>
            <w:r w:rsidRPr="004C52BB">
              <w:rPr>
                <w:b/>
                <w:i/>
              </w:rPr>
              <w:tab/>
              <w:t>Aan artikel 18 wordt het volgende lid toegevoegd:</w:t>
            </w:r>
          </w:p>
        </w:tc>
      </w:tr>
      <w:tr w:rsidR="004C5AC8" w:rsidRPr="004C52BB" w:rsidTr="008F44FC">
        <w:trPr>
          <w:jc w:val="center"/>
        </w:trPr>
        <w:tc>
          <w:tcPr>
            <w:tcW w:w="4876" w:type="dxa"/>
          </w:tcPr>
          <w:p w:rsidR="004C5AC8" w:rsidRPr="004C52BB" w:rsidRDefault="004C5AC8" w:rsidP="008F44FC">
            <w:pPr>
              <w:pStyle w:val="Normal6a"/>
            </w:pPr>
          </w:p>
        </w:tc>
        <w:tc>
          <w:tcPr>
            <w:tcW w:w="4876" w:type="dxa"/>
          </w:tcPr>
          <w:p w:rsidR="004C5AC8" w:rsidRPr="004C52BB" w:rsidRDefault="004C5AC8" w:rsidP="004C52BB">
            <w:pPr>
              <w:pStyle w:val="Normal6a"/>
              <w:rPr>
                <w:szCs w:val="24"/>
              </w:rPr>
            </w:pPr>
            <w:r w:rsidRPr="004C52BB">
              <w:rPr>
                <w:b/>
                <w:i/>
              </w:rPr>
              <w:t>“3 bis.</w:t>
            </w:r>
            <w:r w:rsidRPr="004C52BB">
              <w:rPr>
                <w:b/>
                <w:i/>
              </w:rPr>
              <w:tab/>
              <w:t>Uiterlijk op 3</w:t>
            </w:r>
            <w:r w:rsidR="004C52BB" w:rsidRPr="004C52BB">
              <w:rPr>
                <w:b/>
                <w:i/>
              </w:rPr>
              <w:t>0</w:t>
            </w:r>
            <w:r w:rsidRPr="004C52BB">
              <w:rPr>
                <w:b/>
                <w:i/>
              </w:rPr>
              <w:t> juni 2024, en vervolgens om de twee jaar, brengen de lidstaten bij de Commissie verslag uit over geplande en uitgevoerde maatregelen om emissies en lozingen van kwik uit crematoria te verminderen.</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De Commissie maakt de gegevens over de overeenkomstig de eerste alinea door de lidstaten gerapporteerde maatregelen openbaar.”</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10</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 xml:space="preserve">Artikel 1 – alinea 1 – punt 1 </w:t>
      </w:r>
      <w:proofErr w:type="spellStart"/>
      <w:r w:rsidRPr="004C52BB">
        <w:t>quater</w:t>
      </w:r>
      <w:proofErr w:type="spellEnd"/>
      <w:r w:rsidRPr="004C52BB">
        <w:t xml:space="preserve"> (nieuw)</w:t>
      </w:r>
    </w:p>
    <w:p w:rsidR="004C5AC8" w:rsidRPr="004C52BB" w:rsidRDefault="004C5AC8" w:rsidP="004C5AC8">
      <w:pPr>
        <w:keepNext/>
      </w:pPr>
      <w:r w:rsidRPr="004C52BB">
        <w:t>Verordening (EU) 2017/852</w:t>
      </w:r>
    </w:p>
    <w:p w:rsidR="004C5AC8" w:rsidRPr="004C52BB" w:rsidRDefault="004C5AC8" w:rsidP="004C5AC8">
      <w:r w:rsidRPr="004C52BB">
        <w:t>Artikel 19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 xml:space="preserve">1 </w:t>
            </w:r>
            <w:proofErr w:type="spellStart"/>
            <w:r w:rsidRPr="004C52BB">
              <w:rPr>
                <w:b/>
                <w:i/>
              </w:rPr>
              <w:t>quater</w:t>
            </w:r>
            <w:proofErr w:type="spellEnd"/>
            <w:r w:rsidRPr="004C52BB">
              <w:rPr>
                <w:b/>
                <w:i/>
              </w:rPr>
              <w:t>)</w:t>
            </w:r>
            <w:r w:rsidRPr="004C52BB">
              <w:rPr>
                <w:b/>
                <w:i/>
              </w:rPr>
              <w:tab/>
              <w:t>Aan artikel 19 wordt het volgende lid toegevoegd:</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 xml:space="preserve">“1 bis. </w:t>
            </w:r>
            <w:r w:rsidRPr="004C52BB">
              <w:rPr>
                <w:b/>
                <w:i/>
              </w:rPr>
              <w:tab/>
              <w:t>Uiterlijk op 31 december 2025 brengt de Commissie, op basis van de in artikel 18, lid 3 bis, bedoelde rapportage, aan het Europees Parlement en de Raad verslag uit over de vermindering van emissies en lozingen van kwik uit crematoria en stelt zij, in voorkomend geval, ontwerprichtsnoeren op inzake reductietechnologieën om emissies en lozingen van kwik uit crematoria te beheersen en te verminderen, rekening houdend met bestaande richtsnoeren.”</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11</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Artikel 1 – alinea 1 – punt 1 quinquies (nieuw)</w:t>
      </w:r>
    </w:p>
    <w:p w:rsidR="004C5AC8" w:rsidRPr="004C52BB" w:rsidRDefault="004C5AC8" w:rsidP="004C5AC8">
      <w:pPr>
        <w:keepNext/>
      </w:pPr>
      <w:r w:rsidRPr="004C52BB">
        <w:t>Verordening (EU) 2017/852</w:t>
      </w:r>
    </w:p>
    <w:p w:rsidR="004C5AC8" w:rsidRPr="004C52BB" w:rsidRDefault="004C5AC8" w:rsidP="004C5AC8">
      <w:r w:rsidRPr="004C52BB">
        <w:t>Artikel 19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Door de Commissie voorgestelde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1 quinquies)</w:t>
            </w:r>
            <w:r w:rsidRPr="004C52BB">
              <w:rPr>
                <w:b/>
                <w:i/>
              </w:rPr>
              <w:tab/>
              <w:t>Aan artikel 19 wordt het volgende lid toegevoegd:</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“2 bis.</w:t>
            </w:r>
            <w:r w:rsidRPr="004C52BB">
              <w:rPr>
                <w:b/>
                <w:i/>
              </w:rPr>
              <w:tab/>
              <w:t>Uiterlijk op 30 juni 2026 dient de Commissie bij het Europees Parlement en de Raad een verslag in waarin wordt beoordeeld of het haalbaar is de in artikel 10 bedoelde vrijstellingen voor het gebruik van tandheelkundig amalgaam uiterlijk in 2030 in te trekken. In dat verslag wordt ook een overzicht gegeven van de gevolgen voor de gezondheid van patiënten in het algemeen en van patiënten die afhankelijk zijn van amalgaamvullingen.</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De Commissie doet haar in de eerste alinea bedoelde verslag in voorkomend geval vergezeld gaan van voorstellen voor maatregelen.</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Uiterlijk op 31 december 2026 brengt de Commissie aan het Europees Parlement en de Raad verslag uit over:</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 xml:space="preserve">a) </w:t>
            </w:r>
            <w:r w:rsidRPr="004C52BB">
              <w:rPr>
                <w:b/>
                <w:i/>
              </w:rPr>
              <w:tab/>
              <w:t>de uitvoering en handhaving van het verdrag, onder meer wat betreft de geleidelijke uitbanning van kwik in cosmetica tegen 2025 door de partijen bij het verdrag, en het beheersen en uitbannen van de productie, invoer en uitvoer van kwikverbindingen voor illegale toepassingen binnen de Unie en wereldwijd;</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b)</w:t>
            </w:r>
            <w:r w:rsidRPr="004C52BB">
              <w:rPr>
                <w:b/>
                <w:i/>
              </w:rPr>
              <w:tab/>
              <w:t xml:space="preserve"> de noodzaak om resterende toepassingen van kwik, zoals in vuurtorens en </w:t>
            </w:r>
            <w:proofErr w:type="spellStart"/>
            <w:r w:rsidRPr="004C52BB">
              <w:rPr>
                <w:b/>
                <w:i/>
              </w:rPr>
              <w:t>porosimetrie</w:t>
            </w:r>
            <w:proofErr w:type="spellEnd"/>
            <w:r w:rsidRPr="004C52BB">
              <w:rPr>
                <w:b/>
                <w:i/>
              </w:rPr>
              <w:t>, geleidelijk uit te bannen;</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 xml:space="preserve">c) </w:t>
            </w:r>
            <w:r w:rsidRPr="004C52BB">
              <w:rPr>
                <w:b/>
                <w:i/>
              </w:rPr>
              <w:tab/>
              <w:t>de noodzaak om de lijst van bronnen van kwikafval als bedoeld in artikel 11 uit te breiden.</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Samen met haar in de derde alinea van dit lid bedoelde verslag stelt de Commissie in voorkomend geval maatregelen voor, zoals een evaluatie van Verordening (EU) nr. 649/2012 van het Europees Parlement en de Raad</w:t>
            </w:r>
            <w:r w:rsidRPr="004C52BB">
              <w:rPr>
                <w:b/>
                <w:i/>
                <w:vertAlign w:val="superscript"/>
              </w:rPr>
              <w:t>1 bis</w:t>
            </w:r>
            <w:r w:rsidRPr="004C52BB">
              <w:rPr>
                <w:b/>
                <w:i/>
              </w:rPr>
              <w:t xml:space="preserve"> en beperkingen op de uitvoer van kwik(II)</w:t>
            </w:r>
            <w:proofErr w:type="spellStart"/>
            <w:r w:rsidRPr="004C52BB">
              <w:rPr>
                <w:b/>
                <w:i/>
              </w:rPr>
              <w:t>amidochloride</w:t>
            </w:r>
            <w:proofErr w:type="spellEnd"/>
            <w:r w:rsidRPr="004C52BB">
              <w:rPr>
                <w:b/>
                <w:i/>
              </w:rPr>
              <w:t xml:space="preserve"> (</w:t>
            </w:r>
            <w:r w:rsidRPr="004C52BB">
              <w:rPr>
                <w:b/>
                <w:i/>
                <w:sz w:val="21"/>
                <w:shd w:val="clear" w:color="auto" w:fill="FFFFFF"/>
              </w:rPr>
              <w:t>Hg(NH</w:t>
            </w:r>
            <w:r w:rsidRPr="004C52BB">
              <w:rPr>
                <w:b/>
                <w:i/>
                <w:sz w:val="21"/>
                <w:shd w:val="clear" w:color="auto" w:fill="FFFFFF"/>
                <w:vertAlign w:val="subscript"/>
              </w:rPr>
              <w:t>2</w:t>
            </w:r>
            <w:r w:rsidRPr="004C52BB">
              <w:rPr>
                <w:b/>
                <w:i/>
                <w:sz w:val="21"/>
                <w:shd w:val="clear" w:color="auto" w:fill="FFFFFF"/>
              </w:rPr>
              <w:t>)</w:t>
            </w:r>
            <w:r w:rsidRPr="004C52BB">
              <w:rPr>
                <w:rStyle w:val="Emphasis"/>
                <w:b/>
                <w:sz w:val="21"/>
                <w:shd w:val="clear" w:color="auto" w:fill="FFFFFF"/>
              </w:rPr>
              <w:t>Cl</w:t>
            </w:r>
            <w:r w:rsidRPr="004C52BB">
              <w:rPr>
                <w:b/>
                <w:i/>
              </w:rPr>
              <w: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b/>
                <w:i/>
              </w:rPr>
            </w:pPr>
            <w:r w:rsidRPr="004C52BB">
              <w:rPr>
                <w:b/>
                <w:i/>
              </w:rPr>
              <w:t>__________________________________</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b/>
                <w:i/>
              </w:rPr>
            </w:pPr>
            <w:r w:rsidRPr="004C52BB">
              <w:rPr>
                <w:b/>
                <w:i/>
                <w:vertAlign w:val="superscript"/>
              </w:rPr>
              <w:t>1 bis</w:t>
            </w:r>
            <w:r w:rsidRPr="004C52BB">
              <w:rPr>
                <w:b/>
                <w:i/>
              </w:rPr>
              <w:t xml:space="preserve"> Verordening (EU) nr. 649/2012 van het Europees Parlement en de Raad van 4 juli 2012 betreffende de in- en uitvoer van gevaarlijke chemische stoffen (PB L 201 van 27.7.2012, blz. 60).”</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12</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Artikel 1 – alinea 1 - punt 1 sexies (nieuw)</w:t>
      </w:r>
    </w:p>
    <w:p w:rsidR="004C5AC8" w:rsidRPr="004C52BB" w:rsidRDefault="004C5AC8" w:rsidP="004C5AC8">
      <w:pPr>
        <w:keepNext/>
      </w:pPr>
      <w:r w:rsidRPr="004C52BB">
        <w:t>Verordening (EU) 2017/852</w:t>
      </w:r>
    </w:p>
    <w:p w:rsidR="004C5AC8" w:rsidRPr="004C52BB" w:rsidRDefault="004C5AC8" w:rsidP="004C5AC8">
      <w:r w:rsidRPr="004C52BB">
        <w:t>Artikel 19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keepNext/>
            </w:pPr>
          </w:p>
        </w:tc>
      </w:tr>
      <w:tr w:rsidR="004C5AC8" w:rsidRPr="004C52BB" w:rsidTr="008F44FC">
        <w:trPr>
          <w:jc w:val="center"/>
        </w:trPr>
        <w:tc>
          <w:tcPr>
            <w:tcW w:w="4876" w:type="dxa"/>
          </w:tcPr>
          <w:p w:rsidR="004C5AC8" w:rsidRPr="004C52BB" w:rsidRDefault="004C5AC8" w:rsidP="008F44FC">
            <w:pPr>
              <w:pStyle w:val="ColumnHeading"/>
              <w:keepNext/>
            </w:pPr>
            <w:r w:rsidRPr="004C52BB">
              <w:t>Bestaande tekst</w:t>
            </w:r>
          </w:p>
        </w:tc>
        <w:tc>
          <w:tcPr>
            <w:tcW w:w="4876" w:type="dxa"/>
          </w:tcPr>
          <w:p w:rsidR="004C5AC8" w:rsidRPr="004C52BB" w:rsidRDefault="004C5AC8" w:rsidP="008F44FC">
            <w:pPr>
              <w:pStyle w:val="ColumnHeading"/>
              <w:keepNext/>
            </w:pPr>
            <w:r w:rsidRPr="004C52BB">
              <w:t>Amendement</w:t>
            </w:r>
          </w:p>
        </w:tc>
      </w:tr>
      <w:tr w:rsidR="004C5AC8" w:rsidRPr="004C52BB" w:rsidTr="008F44FC">
        <w:trPr>
          <w:jc w:val="center"/>
        </w:trPr>
        <w:tc>
          <w:tcPr>
            <w:tcW w:w="4876" w:type="dxa"/>
          </w:tcPr>
          <w:p w:rsidR="004C5AC8" w:rsidRPr="004C52BB" w:rsidRDefault="004C5AC8" w:rsidP="008F44FC">
            <w:pPr>
              <w:pStyle w:val="Normal6"/>
            </w:pPr>
          </w:p>
        </w:tc>
        <w:tc>
          <w:tcPr>
            <w:tcW w:w="4876" w:type="dxa"/>
          </w:tcPr>
          <w:p w:rsidR="004C5AC8" w:rsidRPr="004C52BB" w:rsidRDefault="004C5AC8" w:rsidP="008F44FC">
            <w:pPr>
              <w:pStyle w:val="Normal6"/>
              <w:rPr>
                <w:szCs w:val="24"/>
              </w:rPr>
            </w:pPr>
            <w:r w:rsidRPr="004C52BB">
              <w:rPr>
                <w:b/>
                <w:i/>
              </w:rPr>
              <w:t>1 sexies)</w:t>
            </w:r>
            <w:r w:rsidRPr="004C52BB">
              <w:rPr>
                <w:b/>
                <w:i/>
              </w:rPr>
              <w:tab/>
              <w:t>In artikel 19 wordt lid 3 vervangen door:</w:t>
            </w:r>
          </w:p>
        </w:tc>
      </w:tr>
      <w:tr w:rsidR="004C5AC8" w:rsidRPr="004C52BB" w:rsidTr="008F44FC">
        <w:trPr>
          <w:jc w:val="center"/>
        </w:trPr>
        <w:tc>
          <w:tcPr>
            <w:tcW w:w="4876" w:type="dxa"/>
          </w:tcPr>
          <w:p w:rsidR="004C5AC8" w:rsidRPr="004C52BB" w:rsidRDefault="004C5AC8" w:rsidP="008F44FC">
            <w:pPr>
              <w:pStyle w:val="Normal6"/>
            </w:pPr>
            <w:r w:rsidRPr="004C52BB">
              <w:t xml:space="preserve">3. </w:t>
            </w:r>
            <w:r w:rsidRPr="004C52BB">
              <w:rPr>
                <w:b/>
                <w:i/>
              </w:rPr>
              <w:tab/>
            </w:r>
            <w:r w:rsidRPr="004C52BB">
              <w:t xml:space="preserve">De Commissie dient in voorkomend geval een wetgevingsvoorstel in samen met haar in </w:t>
            </w:r>
            <w:r w:rsidRPr="004C52BB">
              <w:rPr>
                <w:b/>
                <w:i/>
              </w:rPr>
              <w:t>het eerste en tweede lid</w:t>
            </w:r>
            <w:r w:rsidRPr="004C52BB">
              <w:t xml:space="preserve"> bedoelde verslagen.</w:t>
            </w:r>
          </w:p>
        </w:tc>
        <w:tc>
          <w:tcPr>
            <w:tcW w:w="4876" w:type="dxa"/>
          </w:tcPr>
          <w:p w:rsidR="004C5AC8" w:rsidRPr="004C52BB" w:rsidRDefault="004C5AC8" w:rsidP="008F44FC">
            <w:pPr>
              <w:pStyle w:val="Normal6"/>
              <w:rPr>
                <w:szCs w:val="24"/>
              </w:rPr>
            </w:pPr>
            <w:r w:rsidRPr="004C52BB">
              <w:rPr>
                <w:b/>
                <w:i/>
              </w:rPr>
              <w:t>“</w:t>
            </w:r>
            <w:r w:rsidRPr="004C52BB">
              <w:t xml:space="preserve">3. </w:t>
            </w:r>
            <w:r w:rsidRPr="004C52BB">
              <w:rPr>
                <w:b/>
                <w:i/>
              </w:rPr>
              <w:tab/>
            </w:r>
            <w:r w:rsidRPr="004C52BB">
              <w:t xml:space="preserve">De Commissie dient in voorkomend geval een wetgevingsvoorstel in samen met haar in </w:t>
            </w:r>
            <w:r w:rsidRPr="004C52BB">
              <w:rPr>
                <w:b/>
                <w:i/>
              </w:rPr>
              <w:t>dit artikel</w:t>
            </w:r>
            <w:r w:rsidRPr="004C52BB">
              <w:t xml:space="preserve"> bedoelde verslagen.</w:t>
            </w:r>
            <w:r w:rsidRPr="004C52BB">
              <w:rPr>
                <w:b/>
                <w:i/>
              </w:rPr>
              <w:t>”</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13</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Bijlage – alinea 1 – punt 2</w:t>
      </w:r>
    </w:p>
    <w:p w:rsidR="004C5AC8" w:rsidRPr="004C52BB" w:rsidRDefault="004C5AC8" w:rsidP="004C5AC8">
      <w:pPr>
        <w:keepNext/>
      </w:pPr>
      <w:r w:rsidRPr="004C52BB">
        <w:t>Verordening (EU) 2017/852</w:t>
      </w:r>
    </w:p>
    <w:p w:rsidR="004C5AC8" w:rsidRPr="004C52BB" w:rsidRDefault="004C5AC8" w:rsidP="004C5AC8">
      <w:r w:rsidRPr="004C52BB">
        <w:t>Bijlage II – deel A – vermelding 4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pStyle w:val="ColumnHeading"/>
              <w:keepNext/>
            </w:pPr>
            <w:r w:rsidRPr="004C52BB">
              <w:t>Door de Commissie voorgestelde tekst</w:t>
            </w:r>
          </w:p>
        </w:tc>
      </w:tr>
      <w:tr w:rsidR="004C5AC8" w:rsidRPr="004C52BB" w:rsidTr="008F44FC">
        <w:trPr>
          <w:jc w:val="center"/>
        </w:trPr>
        <w:tc>
          <w:tcPr>
            <w:tcW w:w="4876" w:type="dxa"/>
          </w:tcPr>
          <w:p w:rsidR="004C5AC8" w:rsidRPr="004C52BB" w:rsidRDefault="004C5AC8" w:rsidP="008F44FC">
            <w:pPr>
              <w:pStyle w:val="Normal6a"/>
              <w:rPr>
                <w:noProof/>
              </w:rPr>
            </w:pPr>
            <w:r w:rsidRPr="004C52BB">
              <w:t xml:space="preserve">4 bis. </w:t>
            </w:r>
            <w:proofErr w:type="spellStart"/>
            <w:r w:rsidRPr="004C52BB">
              <w:t>Triband</w:t>
            </w:r>
            <w:proofErr w:type="spellEnd"/>
            <w:r w:rsidRPr="004C52BB">
              <w:t>-fosforlampen voor algemene verlichtingsdoeleinden die niet onder vermelding 4, a), vallen.</w:t>
            </w:r>
          </w:p>
        </w:tc>
        <w:tc>
          <w:tcPr>
            <w:tcW w:w="4876" w:type="dxa"/>
          </w:tcPr>
          <w:p w:rsidR="004C5AC8" w:rsidRPr="004C52BB" w:rsidRDefault="004C5AC8" w:rsidP="008F44FC">
            <w:pPr>
              <w:pStyle w:val="Normal6a"/>
              <w:jc w:val="center"/>
              <w:rPr>
                <w:noProof/>
                <w:szCs w:val="24"/>
              </w:rPr>
            </w:pPr>
            <w:r w:rsidRPr="004C52BB">
              <w:rPr>
                <w:b/>
                <w:i/>
                <w:sz w:val="20"/>
              </w:rPr>
              <w:t>31.12.2027</w:t>
            </w:r>
          </w:p>
        </w:tc>
      </w:tr>
      <w:tr w:rsidR="004C5AC8" w:rsidRPr="004C52BB" w:rsidTr="008F44FC">
        <w:trPr>
          <w:jc w:val="center"/>
        </w:trPr>
        <w:tc>
          <w:tcPr>
            <w:tcW w:w="9752" w:type="dxa"/>
            <w:gridSpan w:val="2"/>
          </w:tcPr>
          <w:p w:rsidR="004C5AC8" w:rsidRPr="004C52BB" w:rsidRDefault="004C5AC8" w:rsidP="008F44FC">
            <w:pPr>
              <w:pStyle w:val="ColumnHeading"/>
              <w:keepNext/>
              <w:rPr>
                <w:szCs w:val="24"/>
              </w:rPr>
            </w:pPr>
            <w:r w:rsidRPr="004C52BB">
              <w:t>Amendement</w:t>
            </w:r>
          </w:p>
        </w:tc>
      </w:tr>
      <w:tr w:rsidR="004C5AC8" w:rsidRPr="004C52BB" w:rsidTr="008F44FC">
        <w:trPr>
          <w:jc w:val="center"/>
        </w:trPr>
        <w:tc>
          <w:tcPr>
            <w:tcW w:w="4876" w:type="dxa"/>
          </w:tcPr>
          <w:p w:rsidR="004C5AC8" w:rsidRPr="004C52BB" w:rsidRDefault="004C5AC8" w:rsidP="008F44FC">
            <w:pPr>
              <w:pStyle w:val="Normal6a"/>
              <w:rPr>
                <w:noProof/>
              </w:rPr>
            </w:pPr>
            <w:r w:rsidRPr="004C52BB">
              <w:t xml:space="preserve">4 bis. </w:t>
            </w:r>
            <w:proofErr w:type="spellStart"/>
            <w:r w:rsidRPr="004C52BB">
              <w:t>Triband</w:t>
            </w:r>
            <w:proofErr w:type="spellEnd"/>
            <w:r w:rsidRPr="004C52BB">
              <w:t>-fosforlampen voor algemene verlichtingsdoeleinden die niet onder vermelding 4, a), vallen.</w:t>
            </w:r>
          </w:p>
        </w:tc>
        <w:tc>
          <w:tcPr>
            <w:tcW w:w="4876" w:type="dxa"/>
          </w:tcPr>
          <w:p w:rsidR="004C5AC8" w:rsidRPr="004C52BB" w:rsidRDefault="004C5AC8" w:rsidP="008F44FC">
            <w:pPr>
              <w:pStyle w:val="Normal6a"/>
              <w:jc w:val="center"/>
              <w:rPr>
                <w:noProof/>
                <w:szCs w:val="24"/>
              </w:rPr>
            </w:pPr>
            <w:r w:rsidRPr="004C52BB">
              <w:rPr>
                <w:b/>
                <w:i/>
                <w:sz w:val="20"/>
              </w:rPr>
              <w:t>31.12.2025</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14</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Bijlage – alinea 1 – punt 2</w:t>
      </w:r>
    </w:p>
    <w:p w:rsidR="004C5AC8" w:rsidRPr="004C52BB" w:rsidRDefault="004C5AC8" w:rsidP="004C5AC8">
      <w:pPr>
        <w:keepNext/>
      </w:pPr>
      <w:r w:rsidRPr="004C52BB">
        <w:t>Verordening (EU) 2017/852</w:t>
      </w:r>
    </w:p>
    <w:p w:rsidR="004C5AC8" w:rsidRPr="004C52BB" w:rsidRDefault="004C5AC8" w:rsidP="004C5AC8">
      <w:r w:rsidRPr="004C52BB">
        <w:t>Bijlage II – deel A – vermelding 4 </w:t>
      </w:r>
      <w:proofErr w:type="spellStart"/>
      <w:r w:rsidRPr="004C52BB">
        <w:t>quater</w:t>
      </w:r>
      <w:proofErr w:type="spellEnd"/>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pStyle w:val="ColumnHeading"/>
              <w:keepNext/>
            </w:pPr>
            <w:r w:rsidRPr="004C52BB">
              <w:t>Door de Commissie voorgestelde tekst</w:t>
            </w:r>
          </w:p>
        </w:tc>
      </w:tr>
      <w:tr w:rsidR="004C5AC8" w:rsidRPr="004C52BB" w:rsidTr="008F44FC">
        <w:trPr>
          <w:jc w:val="center"/>
        </w:trPr>
        <w:tc>
          <w:tcPr>
            <w:tcW w:w="4876" w:type="dxa"/>
          </w:tcPr>
          <w:p w:rsidR="004C5AC8" w:rsidRPr="004C52BB" w:rsidRDefault="004C5AC8" w:rsidP="008F44FC">
            <w:pPr>
              <w:pStyle w:val="Normal6a"/>
              <w:rPr>
                <w:noProof/>
                <w:lang w:val="da-DK"/>
              </w:rPr>
            </w:pPr>
            <w:r w:rsidRPr="004C52BB">
              <w:rPr>
                <w:lang w:val="da-DK"/>
              </w:rPr>
              <w:t xml:space="preserve">4 </w:t>
            </w:r>
            <w:proofErr w:type="spellStart"/>
            <w:r w:rsidRPr="004C52BB">
              <w:rPr>
                <w:lang w:val="da-DK"/>
              </w:rPr>
              <w:t>quater</w:t>
            </w:r>
            <w:proofErr w:type="spellEnd"/>
            <w:r w:rsidRPr="004C52BB">
              <w:rPr>
                <w:lang w:val="da-DK"/>
              </w:rPr>
              <w:t xml:space="preserve">. </w:t>
            </w:r>
            <w:proofErr w:type="spellStart"/>
            <w:r w:rsidRPr="004C52BB">
              <w:rPr>
                <w:lang w:val="da-DK"/>
              </w:rPr>
              <w:t>Niet-lineaire</w:t>
            </w:r>
            <w:proofErr w:type="spellEnd"/>
            <w:r w:rsidRPr="004C52BB">
              <w:rPr>
                <w:lang w:val="da-DK"/>
              </w:rPr>
              <w:t xml:space="preserve"> triband-fosforlampen.</w:t>
            </w:r>
          </w:p>
        </w:tc>
        <w:tc>
          <w:tcPr>
            <w:tcW w:w="4876" w:type="dxa"/>
          </w:tcPr>
          <w:p w:rsidR="004C5AC8" w:rsidRPr="004C52BB" w:rsidRDefault="004C5AC8" w:rsidP="008F44FC">
            <w:pPr>
              <w:pStyle w:val="Normal6a"/>
              <w:jc w:val="center"/>
              <w:rPr>
                <w:noProof/>
                <w:szCs w:val="24"/>
              </w:rPr>
            </w:pPr>
            <w:r w:rsidRPr="004C52BB">
              <w:rPr>
                <w:b/>
                <w:i/>
                <w:sz w:val="20"/>
              </w:rPr>
              <w:t>31.12.2027</w:t>
            </w:r>
          </w:p>
        </w:tc>
      </w:tr>
      <w:tr w:rsidR="004C5AC8" w:rsidRPr="004C52BB" w:rsidTr="008F44FC">
        <w:trPr>
          <w:jc w:val="center"/>
        </w:trPr>
        <w:tc>
          <w:tcPr>
            <w:tcW w:w="9752" w:type="dxa"/>
            <w:gridSpan w:val="2"/>
          </w:tcPr>
          <w:p w:rsidR="004C5AC8" w:rsidRPr="004C52BB" w:rsidRDefault="004C5AC8" w:rsidP="008F44FC">
            <w:pPr>
              <w:pStyle w:val="ColumnHeading"/>
              <w:keepNext/>
              <w:rPr>
                <w:szCs w:val="24"/>
              </w:rPr>
            </w:pPr>
            <w:r w:rsidRPr="004C52BB">
              <w:t>Amendement</w:t>
            </w:r>
          </w:p>
        </w:tc>
      </w:tr>
      <w:tr w:rsidR="004C5AC8" w:rsidRPr="004C52BB" w:rsidTr="008F44FC">
        <w:trPr>
          <w:jc w:val="center"/>
        </w:trPr>
        <w:tc>
          <w:tcPr>
            <w:tcW w:w="4876" w:type="dxa"/>
          </w:tcPr>
          <w:p w:rsidR="004C5AC8" w:rsidRPr="004C52BB" w:rsidRDefault="004C5AC8" w:rsidP="008F44FC">
            <w:pPr>
              <w:pStyle w:val="Normal6a"/>
              <w:rPr>
                <w:lang w:val="da-DK"/>
              </w:rPr>
            </w:pPr>
            <w:r w:rsidRPr="004C52BB">
              <w:rPr>
                <w:lang w:val="da-DK"/>
              </w:rPr>
              <w:t xml:space="preserve">4 </w:t>
            </w:r>
            <w:proofErr w:type="spellStart"/>
            <w:r w:rsidRPr="004C52BB">
              <w:rPr>
                <w:lang w:val="da-DK"/>
              </w:rPr>
              <w:t>quater</w:t>
            </w:r>
            <w:proofErr w:type="spellEnd"/>
            <w:r w:rsidRPr="004C52BB">
              <w:rPr>
                <w:lang w:val="da-DK"/>
              </w:rPr>
              <w:t xml:space="preserve">. </w:t>
            </w:r>
            <w:proofErr w:type="spellStart"/>
            <w:r w:rsidRPr="004C52BB">
              <w:rPr>
                <w:lang w:val="da-DK"/>
              </w:rPr>
              <w:t>Niet-lineaire</w:t>
            </w:r>
            <w:proofErr w:type="spellEnd"/>
            <w:r w:rsidRPr="004C52BB">
              <w:rPr>
                <w:lang w:val="da-DK"/>
              </w:rPr>
              <w:t xml:space="preserve"> triband-fosforlampen.</w:t>
            </w:r>
          </w:p>
        </w:tc>
        <w:tc>
          <w:tcPr>
            <w:tcW w:w="4876" w:type="dxa"/>
          </w:tcPr>
          <w:p w:rsidR="004C5AC8" w:rsidRPr="004C52BB" w:rsidRDefault="004C5AC8" w:rsidP="008F44FC">
            <w:pPr>
              <w:pStyle w:val="Normal6a"/>
              <w:jc w:val="center"/>
            </w:pPr>
            <w:r w:rsidRPr="004C52BB">
              <w:rPr>
                <w:b/>
                <w:i/>
                <w:sz w:val="20"/>
              </w:rPr>
              <w:t>31.12.2025</w:t>
            </w:r>
          </w:p>
        </w:tc>
      </w:tr>
    </w:tbl>
    <w:p w:rsidR="004C5AC8" w:rsidRPr="004C52BB" w:rsidRDefault="004C5AC8" w:rsidP="004C5AC8"/>
    <w:p w:rsidR="004C5AC8" w:rsidRPr="004C52BB" w:rsidRDefault="004C5AC8" w:rsidP="004C5AC8">
      <w:pPr>
        <w:pStyle w:val="AmNumberTabs"/>
      </w:pPr>
      <w:r w:rsidRPr="004C52BB">
        <w:t>Amendement</w:t>
      </w:r>
      <w:r w:rsidRPr="004C52BB">
        <w:tab/>
      </w:r>
      <w:r w:rsidRPr="004C52BB">
        <w:tab/>
        <w:t>15</w:t>
      </w:r>
    </w:p>
    <w:p w:rsidR="004C5AC8" w:rsidRPr="004C52BB" w:rsidRDefault="004C5AC8" w:rsidP="004C5AC8"/>
    <w:p w:rsidR="004C5AC8" w:rsidRPr="004C52BB" w:rsidRDefault="004C5AC8" w:rsidP="004C5AC8">
      <w:pPr>
        <w:pStyle w:val="NormalBold"/>
        <w:keepNext/>
      </w:pPr>
      <w:r w:rsidRPr="004C52BB">
        <w:t>Voorstel voor een verordening</w:t>
      </w:r>
    </w:p>
    <w:p w:rsidR="004C5AC8" w:rsidRPr="004C52BB" w:rsidRDefault="004C5AC8" w:rsidP="004C5AC8">
      <w:pPr>
        <w:pStyle w:val="NormalBold"/>
      </w:pPr>
      <w:r w:rsidRPr="004C52BB">
        <w:t>Bijlage – alinea 1 – punt 3</w:t>
      </w:r>
    </w:p>
    <w:p w:rsidR="004C5AC8" w:rsidRPr="004C52BB" w:rsidRDefault="004C5AC8" w:rsidP="004C5AC8">
      <w:pPr>
        <w:keepNext/>
      </w:pPr>
      <w:r w:rsidRPr="004C52BB">
        <w:t>Verordening (EU) 2017/852</w:t>
      </w:r>
    </w:p>
    <w:p w:rsidR="004C5AC8" w:rsidRPr="004C52BB" w:rsidRDefault="004C5AC8" w:rsidP="004C5AC8">
      <w:r w:rsidRPr="004C52BB">
        <w:t>Bijlage II – deel A – vermelding 5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4C5AC8" w:rsidRPr="004C52BB" w:rsidTr="008F44FC">
        <w:trPr>
          <w:jc w:val="center"/>
        </w:trPr>
        <w:tc>
          <w:tcPr>
            <w:tcW w:w="9752" w:type="dxa"/>
            <w:gridSpan w:val="2"/>
          </w:tcPr>
          <w:p w:rsidR="004C5AC8" w:rsidRPr="004C52BB" w:rsidRDefault="004C5AC8" w:rsidP="008F44FC">
            <w:pPr>
              <w:pStyle w:val="ColumnHeading"/>
              <w:keepNext/>
            </w:pPr>
            <w:r w:rsidRPr="004C52BB">
              <w:t>Door de Commissie voorgestelde tekst</w:t>
            </w:r>
          </w:p>
        </w:tc>
      </w:tr>
      <w:tr w:rsidR="004C5AC8" w:rsidRPr="004C52BB" w:rsidTr="008F44FC">
        <w:trPr>
          <w:jc w:val="center"/>
        </w:trPr>
        <w:tc>
          <w:tcPr>
            <w:tcW w:w="4876" w:type="dxa"/>
          </w:tcPr>
          <w:p w:rsidR="004C5AC8" w:rsidRPr="004C52BB" w:rsidRDefault="004C5AC8" w:rsidP="008F44FC">
            <w:pPr>
              <w:pStyle w:val="Normal6a"/>
              <w:jc w:val="center"/>
              <w:rPr>
                <w:noProof/>
              </w:rPr>
            </w:pPr>
            <w:r w:rsidRPr="004C52BB">
              <w:t>5 bis. Hogedruk-kwiknatrium(damp)lampen (HPS-lampen) voor algemene verlichtingsdoeleinden.</w:t>
            </w:r>
          </w:p>
        </w:tc>
        <w:tc>
          <w:tcPr>
            <w:tcW w:w="4876" w:type="dxa"/>
          </w:tcPr>
          <w:p w:rsidR="004C5AC8" w:rsidRPr="004C52BB" w:rsidRDefault="004C5AC8" w:rsidP="008F44FC">
            <w:pPr>
              <w:pStyle w:val="Normal6a"/>
              <w:jc w:val="center"/>
              <w:rPr>
                <w:noProof/>
              </w:rPr>
            </w:pPr>
            <w:r w:rsidRPr="004C52BB">
              <w:t>31.12.2025</w:t>
            </w:r>
          </w:p>
        </w:tc>
      </w:tr>
      <w:tr w:rsidR="004C5AC8" w:rsidRPr="004C52BB" w:rsidTr="008F44FC">
        <w:trPr>
          <w:jc w:val="center"/>
        </w:trPr>
        <w:tc>
          <w:tcPr>
            <w:tcW w:w="9752" w:type="dxa"/>
            <w:gridSpan w:val="2"/>
          </w:tcPr>
          <w:p w:rsidR="004C5AC8" w:rsidRPr="004C52BB" w:rsidRDefault="004C5AC8" w:rsidP="008F44FC">
            <w:pPr>
              <w:pStyle w:val="ColumnHeading"/>
              <w:keepNext/>
              <w:rPr>
                <w:szCs w:val="24"/>
              </w:rPr>
            </w:pPr>
            <w:r w:rsidRPr="004C52BB">
              <w:t>Amendement</w:t>
            </w:r>
          </w:p>
        </w:tc>
      </w:tr>
      <w:tr w:rsidR="004C5AC8" w:rsidRPr="004C52BB" w:rsidTr="008F44FC">
        <w:trPr>
          <w:jc w:val="center"/>
        </w:trPr>
        <w:tc>
          <w:tcPr>
            <w:tcW w:w="4876" w:type="dxa"/>
          </w:tcPr>
          <w:p w:rsidR="004C5AC8" w:rsidRPr="004C52BB" w:rsidRDefault="004C5AC8" w:rsidP="008F44FC">
            <w:pPr>
              <w:jc w:val="center"/>
              <w:rPr>
                <w:rFonts w:eastAsia="Arial"/>
                <w:b/>
                <w:i/>
              </w:rPr>
            </w:pPr>
            <w:r w:rsidRPr="004C52BB">
              <w:t>5 bis. Hogedruk-kwiknatrium(damp)lampen (HPS-lampen) voor algemene verlichtingsdoeleinden, waarbij:</w:t>
            </w:r>
          </w:p>
          <w:p w:rsidR="004C5AC8" w:rsidRPr="004C52BB" w:rsidRDefault="004C5AC8" w:rsidP="008F44FC">
            <w:pPr>
              <w:jc w:val="center"/>
              <w:rPr>
                <w:rFonts w:eastAsia="Arial"/>
                <w:b/>
                <w:i/>
              </w:rPr>
            </w:pPr>
          </w:p>
          <w:p w:rsidR="004C5AC8" w:rsidRPr="004C52BB" w:rsidRDefault="004C5AC8" w:rsidP="008F44FC">
            <w:pPr>
              <w:widowControl/>
              <w:spacing w:after="120"/>
              <w:ind w:left="714" w:hanging="357"/>
              <w:jc w:val="center"/>
              <w:rPr>
                <w:rFonts w:eastAsia="Arial"/>
                <w:b/>
                <w:i/>
                <w:color w:val="000000"/>
              </w:rPr>
            </w:pPr>
            <w:r w:rsidRPr="004C52BB">
              <w:rPr>
                <w:b/>
                <w:i/>
                <w:color w:val="000000"/>
              </w:rPr>
              <w:t>a)</w:t>
            </w:r>
            <w:r w:rsidRPr="004C52BB">
              <w:rPr>
                <w:b/>
                <w:i/>
                <w:color w:val="000000"/>
              </w:rPr>
              <w:tab/>
              <w:t>P ≤ 105 W met een kwikgehalte van meer dan 16 mg;</w:t>
            </w:r>
          </w:p>
          <w:p w:rsidR="004C5AC8" w:rsidRPr="004C52BB" w:rsidRDefault="004C5AC8" w:rsidP="008F44FC">
            <w:pPr>
              <w:widowControl/>
              <w:spacing w:after="120"/>
              <w:ind w:left="714" w:hanging="357"/>
              <w:jc w:val="center"/>
              <w:rPr>
                <w:rFonts w:eastAsia="Arial"/>
                <w:b/>
                <w:i/>
                <w:color w:val="000000"/>
              </w:rPr>
            </w:pPr>
            <w:r w:rsidRPr="004C52BB">
              <w:rPr>
                <w:b/>
                <w:i/>
                <w:color w:val="000000"/>
              </w:rPr>
              <w:t>b)</w:t>
            </w:r>
            <w:r w:rsidRPr="004C52BB">
              <w:rPr>
                <w:b/>
                <w:i/>
                <w:color w:val="000000"/>
              </w:rPr>
              <w:tab/>
              <w:t>105 W &lt; P ≤ 155 W met een kwikgehalte van meer dan 20 mg;</w:t>
            </w:r>
          </w:p>
          <w:p w:rsidR="004C5AC8" w:rsidRPr="004C52BB" w:rsidRDefault="004C5AC8" w:rsidP="008F44FC">
            <w:pPr>
              <w:widowControl/>
              <w:spacing w:after="120"/>
              <w:ind w:left="714" w:hanging="357"/>
              <w:jc w:val="center"/>
              <w:rPr>
                <w:rFonts w:eastAsia="Arial"/>
                <w:b/>
                <w:i/>
                <w:color w:val="000000"/>
              </w:rPr>
            </w:pPr>
            <w:r w:rsidRPr="004C52BB">
              <w:rPr>
                <w:b/>
                <w:i/>
                <w:color w:val="000000"/>
              </w:rPr>
              <w:t>c)</w:t>
            </w:r>
            <w:r w:rsidRPr="004C52BB">
              <w:rPr>
                <w:b/>
                <w:i/>
                <w:color w:val="000000"/>
              </w:rPr>
              <w:tab/>
              <w:t>P &gt; 155 W met een kwikgehalte van meer dan 25 mg.</w:t>
            </w:r>
          </w:p>
        </w:tc>
        <w:tc>
          <w:tcPr>
            <w:tcW w:w="4876" w:type="dxa"/>
          </w:tcPr>
          <w:p w:rsidR="004C5AC8" w:rsidRPr="004C52BB" w:rsidRDefault="004C5AC8" w:rsidP="008F44FC">
            <w:pPr>
              <w:pStyle w:val="Normal6a"/>
              <w:jc w:val="center"/>
              <w:rPr>
                <w:noProof/>
              </w:rPr>
            </w:pPr>
            <w:r w:rsidRPr="004C52BB">
              <w:t>31.12.2025</w:t>
            </w:r>
          </w:p>
        </w:tc>
      </w:tr>
    </w:tbl>
    <w:p w:rsidR="004C5AC8" w:rsidRPr="004C52BB" w:rsidRDefault="004C5AC8" w:rsidP="004C5AC8"/>
    <w:sectPr w:rsidR="004C5AC8" w:rsidRPr="004C52BB" w:rsidSect="000F65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1BF" w:rsidRPr="000F655F" w:rsidRDefault="005F11BF">
      <w:r w:rsidRPr="000F655F">
        <w:separator/>
      </w:r>
    </w:p>
  </w:endnote>
  <w:endnote w:type="continuationSeparator" w:id="0">
    <w:p w:rsidR="005F11BF" w:rsidRPr="000F655F" w:rsidRDefault="005F11BF">
      <w:r w:rsidRPr="000F6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65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65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65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1BF" w:rsidRPr="000F655F" w:rsidRDefault="005F11BF">
      <w:r w:rsidRPr="000F655F">
        <w:separator/>
      </w:r>
    </w:p>
  </w:footnote>
  <w:footnote w:type="continuationSeparator" w:id="0">
    <w:p w:rsidR="005F11BF" w:rsidRPr="000F655F" w:rsidRDefault="005F11BF">
      <w:r w:rsidRPr="000F655F">
        <w:continuationSeparator/>
      </w:r>
    </w:p>
  </w:footnote>
  <w:footnote w:id="1">
    <w:p w:rsidR="004C52BB" w:rsidRPr="004C52BB" w:rsidRDefault="004C52BB" w:rsidP="004C52BB">
      <w:pPr>
        <w:ind w:left="709" w:hanging="709"/>
        <w:rPr>
          <w:szCs w:val="24"/>
        </w:rPr>
      </w:pPr>
      <w:r w:rsidRPr="004C52BB">
        <w:rPr>
          <w:rStyle w:val="FootnoteReference"/>
          <w:szCs w:val="24"/>
        </w:rPr>
        <w:footnoteRef/>
      </w:r>
      <w:r w:rsidRPr="004C52BB">
        <w:rPr>
          <w:szCs w:val="24"/>
        </w:rPr>
        <w:t xml:space="preserve"> </w:t>
      </w:r>
      <w:r w:rsidRPr="004C52BB">
        <w:rPr>
          <w:szCs w:val="24"/>
        </w:rPr>
        <w:tab/>
        <w:t xml:space="preserve">De zaak werd voor </w:t>
      </w:r>
      <w:proofErr w:type="spellStart"/>
      <w:r w:rsidRPr="004C52BB">
        <w:rPr>
          <w:szCs w:val="24"/>
        </w:rPr>
        <w:t>interinstitutionele</w:t>
      </w:r>
      <w:proofErr w:type="spellEnd"/>
      <w:r w:rsidRPr="004C52BB">
        <w:rPr>
          <w:szCs w:val="24"/>
        </w:rPr>
        <w:t xml:space="preserve"> onderhandelingen terugverwezen naar de bevoegde commissie op grond van artikel 59, lid 4, vierde alinea, van het Reglement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65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65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65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NL"/>
    <w:docVar w:name="dvnumam" w:val="0"/>
    <w:docVar w:name="dvpe" w:val="753.554"/>
    <w:docVar w:name="dvrapporteur" w:val="Rapporteur: "/>
    <w:docVar w:name="dvstar" w:val="***I"/>
    <w:docVar w:name="dvtitre" w:val="Wetgevingsresolutie van het Europees Parlement over het voorstel voor een verordening van het Europees Parlement en de Raad tot wijziging van Verordening (EU) 2017/852 van het Europees Parlement en de Raad van 17 mei 2017 inzake kwik wat betreft tandheelkundig amalgaam en andere kwikhoudende producten waarvoor productie-, invoer- en uitvoerbeperkingen gelden(COM(2023)0395 – C9-0309/2023 – 2023/0272(COD))"/>
  </w:docVars>
  <w:rsids>
    <w:rsidRoot w:val="005F11BF"/>
    <w:rsid w:val="00002272"/>
    <w:rsid w:val="00064002"/>
    <w:rsid w:val="000677B9"/>
    <w:rsid w:val="000831BA"/>
    <w:rsid w:val="000A42CC"/>
    <w:rsid w:val="000E7DD9"/>
    <w:rsid w:val="000F5DC1"/>
    <w:rsid w:val="000F655F"/>
    <w:rsid w:val="0010095E"/>
    <w:rsid w:val="00125B37"/>
    <w:rsid w:val="00187494"/>
    <w:rsid w:val="001F32AE"/>
    <w:rsid w:val="00270393"/>
    <w:rsid w:val="002767FF"/>
    <w:rsid w:val="002B18FE"/>
    <w:rsid w:val="002B5493"/>
    <w:rsid w:val="00343214"/>
    <w:rsid w:val="00361C00"/>
    <w:rsid w:val="00395FA1"/>
    <w:rsid w:val="003E15D4"/>
    <w:rsid w:val="00411CCE"/>
    <w:rsid w:val="0041666E"/>
    <w:rsid w:val="00421060"/>
    <w:rsid w:val="00471C19"/>
    <w:rsid w:val="00481F00"/>
    <w:rsid w:val="004867E3"/>
    <w:rsid w:val="00494A28"/>
    <w:rsid w:val="004C0004"/>
    <w:rsid w:val="004C52BB"/>
    <w:rsid w:val="004C5AC8"/>
    <w:rsid w:val="004C5D52"/>
    <w:rsid w:val="0050519A"/>
    <w:rsid w:val="005072A1"/>
    <w:rsid w:val="00514517"/>
    <w:rsid w:val="00545827"/>
    <w:rsid w:val="00560270"/>
    <w:rsid w:val="005C2568"/>
    <w:rsid w:val="005F11B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AB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F0B"/>
    <w:rsid w:val="00B22876"/>
    <w:rsid w:val="00B558F0"/>
    <w:rsid w:val="00B648CE"/>
    <w:rsid w:val="00BD48FE"/>
    <w:rsid w:val="00BD7BD8"/>
    <w:rsid w:val="00BE6ADC"/>
    <w:rsid w:val="00C05BFE"/>
    <w:rsid w:val="00C23CD4"/>
    <w:rsid w:val="00C61C0C"/>
    <w:rsid w:val="00C941CB"/>
    <w:rsid w:val="00CC2357"/>
    <w:rsid w:val="00CF071A"/>
    <w:rsid w:val="00D058B8"/>
    <w:rsid w:val="00D26E0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A0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AE606"/>
  <w15:chartTrackingRefBased/>
  <w15:docId w15:val="{FD04E71F-3BAB-4273-869E-6C013B970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C5AC8"/>
    <w:pPr>
      <w:spacing w:after="120"/>
    </w:pPr>
  </w:style>
  <w:style w:type="paragraph" w:customStyle="1" w:styleId="NormalBold">
    <w:name w:val="NormalBold"/>
    <w:basedOn w:val="Normal"/>
    <w:link w:val="NormalBoldChar"/>
    <w:rsid w:val="004C5AC8"/>
    <w:rPr>
      <w:b/>
    </w:rPr>
  </w:style>
  <w:style w:type="paragraph" w:customStyle="1" w:styleId="NormalHanging12a">
    <w:name w:val="NormalHanging12a"/>
    <w:basedOn w:val="Normal"/>
    <w:rsid w:val="004C5AC8"/>
    <w:pPr>
      <w:spacing w:after="240"/>
      <w:ind w:left="567" w:hanging="567"/>
    </w:pPr>
  </w:style>
  <w:style w:type="paragraph" w:customStyle="1" w:styleId="AmColumnHeading">
    <w:name w:val="AmColumnHeading"/>
    <w:basedOn w:val="Normal"/>
    <w:rsid w:val="004C5AC8"/>
    <w:pPr>
      <w:spacing w:after="240"/>
      <w:jc w:val="center"/>
    </w:pPr>
    <w:rPr>
      <w:i/>
    </w:rPr>
  </w:style>
  <w:style w:type="paragraph" w:customStyle="1" w:styleId="AmNumberTabs">
    <w:name w:val="AmNumberTabs"/>
    <w:basedOn w:val="Normal"/>
    <w:link w:val="AmNumberTabsChar"/>
    <w:rsid w:val="004C5A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C5AC8"/>
    <w:pPr>
      <w:spacing w:before="240"/>
    </w:pPr>
    <w:rPr>
      <w:b/>
    </w:rPr>
  </w:style>
  <w:style w:type="paragraph" w:customStyle="1" w:styleId="EPComma">
    <w:name w:val="EPComma"/>
    <w:basedOn w:val="Normal"/>
    <w:rsid w:val="004C5AC8"/>
    <w:pPr>
      <w:spacing w:before="480" w:after="240"/>
    </w:pPr>
  </w:style>
  <w:style w:type="character" w:customStyle="1" w:styleId="Normal6Char">
    <w:name w:val="Normal6 Char"/>
    <w:basedOn w:val="DefaultParagraphFont"/>
    <w:link w:val="Normal6"/>
    <w:locked/>
    <w:rsid w:val="004C5AC8"/>
    <w:rPr>
      <w:sz w:val="24"/>
      <w:lang w:val="nl-NL"/>
    </w:rPr>
  </w:style>
  <w:style w:type="paragraph" w:customStyle="1" w:styleId="Normal6">
    <w:name w:val="Normal6"/>
    <w:basedOn w:val="Normal"/>
    <w:link w:val="Normal6Char"/>
    <w:rsid w:val="004C5AC8"/>
    <w:pPr>
      <w:spacing w:after="120"/>
    </w:pPr>
  </w:style>
  <w:style w:type="character" w:customStyle="1" w:styleId="NormalBoldChar">
    <w:name w:val="NormalBold Char"/>
    <w:basedOn w:val="DefaultParagraphFont"/>
    <w:link w:val="NormalBold"/>
    <w:locked/>
    <w:rsid w:val="004C5AC8"/>
    <w:rPr>
      <w:b/>
      <w:sz w:val="24"/>
      <w:lang w:val="nl-NL"/>
    </w:rPr>
  </w:style>
  <w:style w:type="paragraph" w:customStyle="1" w:styleId="ColumnHeading">
    <w:name w:val="ColumnHeading"/>
    <w:basedOn w:val="Normal"/>
    <w:rsid w:val="004C5AC8"/>
    <w:pPr>
      <w:spacing w:after="240"/>
      <w:jc w:val="center"/>
    </w:pPr>
    <w:rPr>
      <w:i/>
    </w:rPr>
  </w:style>
  <w:style w:type="character" w:customStyle="1" w:styleId="AmNumberTabsChar">
    <w:name w:val="AmNumberTabs Char"/>
    <w:basedOn w:val="DefaultParagraphFont"/>
    <w:link w:val="AmNumberTabs"/>
    <w:rsid w:val="004C5AC8"/>
    <w:rPr>
      <w:b/>
      <w:sz w:val="24"/>
      <w:lang w:val="nl-NL"/>
    </w:rPr>
  </w:style>
  <w:style w:type="character" w:customStyle="1" w:styleId="NormalBold12bChar">
    <w:name w:val="NormalBold12b Char"/>
    <w:basedOn w:val="AmNumberTabsChar"/>
    <w:link w:val="NormalBold12b"/>
    <w:rsid w:val="004C5AC8"/>
    <w:rPr>
      <w:b/>
      <w:sz w:val="24"/>
      <w:lang w:val="nl-NL"/>
    </w:rPr>
  </w:style>
  <w:style w:type="character" w:styleId="Emphasis">
    <w:name w:val="Emphasis"/>
    <w:basedOn w:val="DefaultParagraphFont"/>
    <w:uiPriority w:val="20"/>
    <w:qFormat/>
    <w:rsid w:val="004C5AC8"/>
    <w:rPr>
      <w:i/>
      <w:iCs/>
    </w:rPr>
  </w:style>
  <w:style w:type="paragraph" w:customStyle="1" w:styleId="CrossRef">
    <w:name w:val="CrossRef"/>
    <w:basedOn w:val="Normal"/>
    <w:rsid w:val="004C5AC8"/>
    <w:pPr>
      <w:spacing w:before="240"/>
      <w:jc w:val="center"/>
    </w:pPr>
    <w:rPr>
      <w:i/>
    </w:rPr>
  </w:style>
  <w:style w:type="paragraph" w:styleId="BalloonText">
    <w:name w:val="Balloon Text"/>
    <w:basedOn w:val="Normal"/>
    <w:link w:val="BalloonTextChar"/>
    <w:rsid w:val="00FB2A05"/>
    <w:rPr>
      <w:rFonts w:ascii="Segoe UI" w:hAnsi="Segoe UI" w:cs="Segoe UI"/>
      <w:sz w:val="18"/>
      <w:szCs w:val="18"/>
    </w:rPr>
  </w:style>
  <w:style w:type="character" w:customStyle="1" w:styleId="BalloonTextChar">
    <w:name w:val="Balloon Text Char"/>
    <w:basedOn w:val="DefaultParagraphFont"/>
    <w:link w:val="BalloonText"/>
    <w:rsid w:val="00FB2A05"/>
    <w:rPr>
      <w:rFonts w:ascii="Segoe UI" w:hAnsi="Segoe UI" w:cs="Segoe UI"/>
      <w:sz w:val="18"/>
      <w:szCs w:val="18"/>
      <w:lang w:val="nl-NL"/>
    </w:rPr>
  </w:style>
  <w:style w:type="paragraph" w:styleId="Title">
    <w:name w:val="Title"/>
    <w:basedOn w:val="Normal"/>
    <w:next w:val="Normal"/>
    <w:link w:val="FootnoteReference"/>
    <w:uiPriority w:val="99"/>
    <w:qFormat/>
    <w:rsid w:val="004C52BB"/>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4C52BB"/>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7AD6B-9234-46E0-8FD1-A2ED8A177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2620</Words>
  <Characters>15561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2024-05-23T15:29:00Z</dcterms:created>
  <dcterms:modified xsi:type="dcterms:W3CDTF">2024-05-23T15:29:00Z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P9_TA(2024)0019_</vt:lpwstr>
  </property>
  <property fmtid="{D5CDD505-2E9C-101B-9397-08002B2CF9AE}" pid="4" name="&lt;Type&gt;">
    <vt:lpwstr>RR</vt:lpwstr>
  </property>
  <property fmtid="{D5CDD505-2E9C-101B-9397-08002B2CF9AE}" pid="5" name="&lt;Model&gt;">
    <vt:lpwstr/>
  </property>
</Properties>
</file>