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792F" w:rsidTr="0010095E">
        <w:trPr>
          <w:trHeight w:hRule="exact" w:val="1418"/>
        </w:trPr>
        <w:tc>
          <w:tcPr>
            <w:tcW w:w="6804" w:type="dxa"/>
            <w:shd w:val="clear" w:color="auto" w:fill="auto"/>
            <w:vAlign w:val="center"/>
          </w:tcPr>
          <w:p w:rsidR="00751A4A" w:rsidRPr="006A792F" w:rsidRDefault="002618FF" w:rsidP="0010095E">
            <w:pPr>
              <w:pStyle w:val="EPName"/>
            </w:pPr>
            <w:r w:rsidRPr="006A792F">
              <w:t>Parlament Europejski</w:t>
            </w:r>
          </w:p>
          <w:p w:rsidR="00751A4A" w:rsidRPr="006A792F" w:rsidRDefault="00817416" w:rsidP="00756632">
            <w:pPr>
              <w:pStyle w:val="EPTerm"/>
              <w:rPr>
                <w:rStyle w:val="HideTWBExt"/>
                <w:noProof w:val="0"/>
                <w:vanish w:val="0"/>
                <w:color w:val="auto"/>
              </w:rPr>
            </w:pPr>
            <w:r w:rsidRPr="006A792F">
              <w:t>2019-2024</w:t>
            </w:r>
          </w:p>
        </w:tc>
        <w:tc>
          <w:tcPr>
            <w:tcW w:w="2268" w:type="dxa"/>
            <w:shd w:val="clear" w:color="auto" w:fill="auto"/>
          </w:tcPr>
          <w:p w:rsidR="00751A4A" w:rsidRPr="006A792F" w:rsidRDefault="00187494" w:rsidP="0010095E">
            <w:pPr>
              <w:pStyle w:val="EPLogo"/>
            </w:pPr>
            <w:r w:rsidRPr="006A79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792F" w:rsidRDefault="00D058B8" w:rsidP="004C5D52">
      <w:pPr>
        <w:pStyle w:val="LineTop"/>
      </w:pPr>
    </w:p>
    <w:p w:rsidR="00680577" w:rsidRPr="006A792F" w:rsidRDefault="002618FF" w:rsidP="00680577">
      <w:pPr>
        <w:pStyle w:val="EPBodyTA1"/>
      </w:pPr>
      <w:r w:rsidRPr="006A792F">
        <w:t>TEKSTY PRZYJĘTE</w:t>
      </w:r>
    </w:p>
    <w:p w:rsidR="00D058B8" w:rsidRPr="006A792F" w:rsidRDefault="00D058B8" w:rsidP="00D058B8">
      <w:pPr>
        <w:pStyle w:val="LineBottom"/>
      </w:pPr>
    </w:p>
    <w:p w:rsidR="002618FF" w:rsidRPr="006A792F" w:rsidRDefault="002618FF" w:rsidP="002618FF">
      <w:pPr>
        <w:pStyle w:val="ATHeading1"/>
      </w:pPr>
      <w:bookmarkStart w:id="0" w:name="TANumber"/>
      <w:r w:rsidRPr="006A792F">
        <w:t>P9_TA(2024)00</w:t>
      </w:r>
      <w:bookmarkEnd w:id="0"/>
      <w:r w:rsidR="005D390E">
        <w:t>19</w:t>
      </w:r>
    </w:p>
    <w:p w:rsidR="002618FF" w:rsidRPr="006A792F" w:rsidRDefault="002618FF" w:rsidP="002618FF">
      <w:pPr>
        <w:pStyle w:val="ATHeading2"/>
      </w:pPr>
      <w:bookmarkStart w:id="1" w:name="title"/>
      <w:r w:rsidRPr="006A792F">
        <w:t>Rtęć: amalgamat stomatologiczny i inne produkty z dodatkiem rtęci objęte ograniczeniami produkcji oraz ograniczeniami przywozowymi i wywozowymi</w:t>
      </w:r>
      <w:bookmarkEnd w:id="1"/>
    </w:p>
    <w:p w:rsidR="002618FF" w:rsidRPr="006A792F" w:rsidRDefault="002618FF" w:rsidP="002618FF">
      <w:pPr>
        <w:rPr>
          <w:i/>
          <w:vanish/>
        </w:rPr>
      </w:pPr>
      <w:r w:rsidRPr="006A792F">
        <w:rPr>
          <w:i/>
        </w:rPr>
        <w:fldChar w:fldCharType="begin"/>
      </w:r>
      <w:r w:rsidRPr="006A792F">
        <w:rPr>
          <w:i/>
        </w:rPr>
        <w:instrText xml:space="preserve"> TC"(</w:instrText>
      </w:r>
      <w:bookmarkStart w:id="2" w:name="DocNumber"/>
      <w:r w:rsidRPr="006A792F">
        <w:rPr>
          <w:i/>
        </w:rPr>
        <w:instrText>A9-0002/2024</w:instrText>
      </w:r>
      <w:bookmarkEnd w:id="2"/>
      <w:r w:rsidRPr="006A792F">
        <w:rPr>
          <w:i/>
        </w:rPr>
        <w:instrText xml:space="preserve"> - Sprawozdawca: Marlene Mortler</w:instrText>
      </w:r>
      <w:proofErr w:type="gramStart"/>
      <w:r w:rsidRPr="006A792F">
        <w:rPr>
          <w:i/>
        </w:rPr>
        <w:instrText>)"\l</w:instrText>
      </w:r>
      <w:proofErr w:type="gramEnd"/>
      <w:r w:rsidRPr="006A792F">
        <w:rPr>
          <w:i/>
        </w:rPr>
        <w:instrText xml:space="preserve">3 \n&gt; \* MERGEFORMAT </w:instrText>
      </w:r>
      <w:r w:rsidRPr="006A792F">
        <w:rPr>
          <w:i/>
        </w:rPr>
        <w:fldChar w:fldCharType="end"/>
      </w:r>
    </w:p>
    <w:p w:rsidR="002618FF" w:rsidRPr="006A792F" w:rsidRDefault="002618FF" w:rsidP="002618FF">
      <w:pPr>
        <w:rPr>
          <w:vanish/>
        </w:rPr>
      </w:pPr>
      <w:bookmarkStart w:id="3" w:name="Commission"/>
      <w:r w:rsidRPr="006A792F">
        <w:rPr>
          <w:vanish/>
        </w:rPr>
        <w:t>Komisja Ochrony Środowiska Naturalnego, Zdrowia Publicznego i Bezpieczeństwa Żywności</w:t>
      </w:r>
      <w:bookmarkEnd w:id="3"/>
    </w:p>
    <w:p w:rsidR="002618FF" w:rsidRPr="006A792F" w:rsidRDefault="002618FF" w:rsidP="002618FF">
      <w:pPr>
        <w:rPr>
          <w:vanish/>
        </w:rPr>
      </w:pPr>
      <w:bookmarkStart w:id="4" w:name="PE"/>
      <w:r w:rsidRPr="006A792F">
        <w:rPr>
          <w:vanish/>
        </w:rPr>
        <w:t>PE753.554</w:t>
      </w:r>
      <w:bookmarkEnd w:id="4"/>
    </w:p>
    <w:p w:rsidR="002618FF" w:rsidRPr="00F4553B" w:rsidRDefault="0026112A" w:rsidP="002618FF">
      <w:pPr>
        <w:pStyle w:val="ATHeading3"/>
      </w:pPr>
      <w:bookmarkStart w:id="5" w:name="Sujet"/>
      <w:r>
        <w:t>Poprawki przyjęte przez</w:t>
      </w:r>
      <w:r w:rsidRPr="00661DE2">
        <w:t xml:space="preserve"> Parlament Europejski </w:t>
      </w:r>
      <w:r>
        <w:t>w</w:t>
      </w:r>
      <w:r w:rsidRPr="00661DE2">
        <w:t xml:space="preserve"> dni</w:t>
      </w:r>
      <w:r>
        <w:t>u</w:t>
      </w:r>
      <w:r w:rsidR="002618FF" w:rsidRPr="006A792F">
        <w:t xml:space="preserve"> </w:t>
      </w:r>
      <w:r w:rsidR="00D06771">
        <w:t>17 stycznia</w:t>
      </w:r>
      <w:r w:rsidR="002618FF" w:rsidRPr="006A792F">
        <w:t xml:space="preserve"> 2024 r. w sprawie wniosku dotyczącego rozporządzenia Parlamentu Europejskiego i Rady zmieniającego rozporządzenie Parlamentu Europejskiego i Rady (UE) 2017/852 z dnia 17 maja 2017 r. w sprawie rtęci w odniesieniu do amalgamatu stomatologicznego i innych produktów z dodatkiem rtęci objętych ograniczeniami produkcji oraz ograniczeniami przywozowymi i wywozowymi</w:t>
      </w:r>
      <w:bookmarkEnd w:id="5"/>
      <w:r w:rsidR="002618FF" w:rsidRPr="006A792F">
        <w:t xml:space="preserve"> </w:t>
      </w:r>
      <w:bookmarkStart w:id="6" w:name="References"/>
      <w:r w:rsidR="002618FF" w:rsidRPr="006A792F">
        <w:t>(COM</w:t>
      </w:r>
      <w:proofErr w:type="gramStart"/>
      <w:r w:rsidR="002618FF" w:rsidRPr="006A792F">
        <w:t>(2023)0395 – C</w:t>
      </w:r>
      <w:proofErr w:type="gramEnd"/>
      <w:r w:rsidR="002618FF" w:rsidRPr="006A792F">
        <w:t>9-0309/2023 – 2023/0272(COD))</w:t>
      </w:r>
      <w:bookmarkEnd w:id="6"/>
      <w:r w:rsidRPr="00CD2102">
        <w:rPr>
          <w:rStyle w:val="FootnoteReference"/>
          <w:lang w:val="en-GB"/>
        </w:rPr>
        <w:footnoteReference w:id="1"/>
      </w:r>
    </w:p>
    <w:p w:rsidR="002618FF" w:rsidRPr="006A792F" w:rsidRDefault="002618FF" w:rsidP="002618FF"/>
    <w:p w:rsidR="00273394" w:rsidRPr="006A792F" w:rsidRDefault="00273394" w:rsidP="00273394">
      <w:pPr>
        <w:pStyle w:val="NormalBold"/>
      </w:pPr>
      <w:bookmarkStart w:id="7" w:name="TextBodyBegin"/>
      <w:bookmarkEnd w:id="7"/>
      <w:r w:rsidRPr="006A792F">
        <w:t>(Zwykła procedura ustawodawcza: pierwsze czytanie)</w:t>
      </w:r>
    </w:p>
    <w:p w:rsidR="00273394" w:rsidRPr="006A792F" w:rsidRDefault="00273394" w:rsidP="00273394">
      <w:pPr>
        <w:rPr>
          <w:b/>
        </w:rPr>
      </w:pPr>
    </w:p>
    <w:p w:rsidR="00273394" w:rsidRPr="006A792F" w:rsidRDefault="00273394" w:rsidP="00273394">
      <w:r w:rsidRPr="006A792F">
        <w:br w:type="page"/>
      </w:r>
    </w:p>
    <w:p w:rsidR="00273394" w:rsidRPr="006A792F" w:rsidRDefault="00273394" w:rsidP="00273394"/>
    <w:p w:rsidR="00273394" w:rsidRPr="006A792F" w:rsidRDefault="00273394" w:rsidP="00273394">
      <w:pPr>
        <w:pStyle w:val="AmNumberTabs"/>
      </w:pPr>
      <w:r w:rsidRPr="006A792F">
        <w:t>Poprawka</w:t>
      </w:r>
      <w:r w:rsidRPr="006A792F">
        <w:tab/>
      </w:r>
      <w:r w:rsidRPr="006A792F">
        <w:tab/>
        <w:t>1</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Motyw 1a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proponowany przez Komisję</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(1a</w:t>
            </w:r>
            <w:proofErr w:type="gramStart"/>
            <w:r w:rsidRPr="006A792F">
              <w:rPr>
                <w:b/>
                <w:i/>
              </w:rPr>
              <w:t>)</w:t>
            </w:r>
            <w:r w:rsidRPr="006A792F">
              <w:rPr>
                <w:b/>
                <w:i/>
              </w:rPr>
              <w:tab/>
              <w:t>Rtęć</w:t>
            </w:r>
            <w:proofErr w:type="gramEnd"/>
            <w:r w:rsidRPr="006A792F">
              <w:rPr>
                <w:b/>
                <w:i/>
              </w:rPr>
              <w:t xml:space="preserve"> jest substancją chemiczną zagrażającą środowisku na skalę ogólnoświatową ze względu na jej przenoszenie w powietrzu na dalekie odległości, trwałość po antropogenicznym wprowadzeniu do środowiska oraz zdolność do bioakumulacji w ekosystemach. Rtęć również bardzo negatywnie wpływa na zdrowie ludzi i jest przekazywana przez matki potomstwu przez łożysko lub w mleku w trakcie karmienia piersią. Zanieczyszczenie środowiska rtęcią może wynikać z działalności antropogenicznej, w tym nieprawidłowego gospodarowania odpadami rtęciowymi, kremacji lub niewłaściwego wdrożenia obowiązkowych separatorów w gabinetach stomatologicznych.</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2</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Motyw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proponowany przez Komisję</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proofErr w:type="gramStart"/>
            <w:r w:rsidRPr="006A792F">
              <w:t>(4)</w:t>
            </w:r>
            <w:r w:rsidRPr="006A792F">
              <w:tab/>
              <w:t>Biorąc</w:t>
            </w:r>
            <w:proofErr w:type="gramEnd"/>
            <w:r w:rsidRPr="006A792F">
              <w:t xml:space="preserve"> pod uwagę dostępność alternatyw bezrtęciowych, należy zakazać stosowania amalgamatu stomatologicznego w leczeniu stomatologicznym wszystkich grup ludności, przy jednoczesnym utrzymaniu możliwości stosowania amalgamatu stomatologicznego u pacjentów o szczególnych potrzebach medycznych. Aby zapobiec produkcji amalgamatu stomatologicznego, który jest zakazany na rynku unijnym, w celu wywozu z Unii, niezbędne jest wprowadzenie zakazu produkcji i wywozu </w:t>
            </w:r>
            <w:r w:rsidRPr="006A792F">
              <w:lastRenderedPageBreak/>
              <w:t>amalgamatu stomatologicznego. Należy zatem odpowiednio zmienić art. 10 rozporządzenia (UE) 2017/852.</w:t>
            </w:r>
          </w:p>
        </w:tc>
        <w:tc>
          <w:tcPr>
            <w:tcW w:w="4876" w:type="dxa"/>
          </w:tcPr>
          <w:p w:rsidR="00273394" w:rsidRPr="006A792F" w:rsidRDefault="00273394" w:rsidP="00AF5621">
            <w:pPr>
              <w:pStyle w:val="Normal6"/>
              <w:rPr>
                <w:szCs w:val="24"/>
              </w:rPr>
            </w:pPr>
            <w:proofErr w:type="gramStart"/>
            <w:r w:rsidRPr="006A792F">
              <w:lastRenderedPageBreak/>
              <w:t>(4)</w:t>
            </w:r>
            <w:r w:rsidRPr="006A792F">
              <w:tab/>
              <w:t>Biorąc</w:t>
            </w:r>
            <w:proofErr w:type="gramEnd"/>
            <w:r w:rsidRPr="006A792F">
              <w:t xml:space="preserve"> pod uwagę dostępność alternatyw bezrtęciowych</w:t>
            </w:r>
            <w:r w:rsidRPr="006A792F">
              <w:rPr>
                <w:b/>
                <w:bCs/>
                <w:i/>
                <w:iCs/>
              </w:rPr>
              <w:t>, przystępność cenową alternatywnych materiałów i obecne przechodzenie na wypełnienia bezrtęciowe w wielu państwach członkowskich,</w:t>
            </w:r>
            <w:r w:rsidRPr="006A792F">
              <w:t xml:space="preserve"> należy zakazać stosowania amalgamatu stomatologicznego w leczeniu stomatologicznym wszystkich grup ludności, przy jednoczesnym utrzymaniu możliwości stosowania amalgamatu stomatologicznego u pacjentów o szczególnych potrzebach medycznych.</w:t>
            </w:r>
            <w:r w:rsidRPr="006A792F">
              <w:rPr>
                <w:b/>
                <w:i/>
              </w:rPr>
              <w:t xml:space="preserve"> </w:t>
            </w:r>
            <w:r w:rsidRPr="006A792F">
              <w:rPr>
                <w:b/>
                <w:bCs/>
                <w:i/>
                <w:iCs/>
              </w:rPr>
              <w:t xml:space="preserve">Przejście na bezrtęciowe alternatywy w </w:t>
            </w:r>
            <w:r w:rsidRPr="006A792F">
              <w:rPr>
                <w:b/>
                <w:bCs/>
                <w:i/>
                <w:iCs/>
              </w:rPr>
              <w:lastRenderedPageBreak/>
              <w:t>przypadku wypełnień stomatologicznych w wielu państwach członkowskich jest już dość zaawansowane, co wskazuje na wykonalność i potrzebę wprowadzenia takiego zakazu jako racjonalnego pod względem kosztów sposobu zapobiegania dodatkowemu zanieczyszczeniu rtęcią.</w:t>
            </w:r>
            <w:r w:rsidRPr="006A792F">
              <w:rPr>
                <w:b/>
                <w:i/>
              </w:rPr>
              <w:t xml:space="preserve"> </w:t>
            </w:r>
            <w:r w:rsidRPr="006A792F">
              <w:t>Aby zapobiec produkcji amalgamatu stomatologicznego, który jest zakazany na rynku unijnym, w celu wywozu z Unii, niezbędne jest wprowadzenie zakazu produkcji i wywozu amalgamatu stomatologicznego. Należy zatem odpowiednio zmienić art. 10 rozporządzenia (UE) 2017/852.</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3</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Motyw 4a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proponowany przez Komisję</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(4a</w:t>
            </w:r>
            <w:proofErr w:type="gramStart"/>
            <w:r w:rsidRPr="006A792F">
              <w:rPr>
                <w:b/>
                <w:i/>
              </w:rPr>
              <w:t>)</w:t>
            </w:r>
            <w:r w:rsidRPr="006A792F">
              <w:rPr>
                <w:b/>
                <w:i/>
              </w:rPr>
              <w:tab/>
              <w:t>Krematoria</w:t>
            </w:r>
            <w:proofErr w:type="gramEnd"/>
            <w:r w:rsidRPr="006A792F">
              <w:rPr>
                <w:b/>
                <w:i/>
              </w:rPr>
              <w:t xml:space="preserve"> są istotnym źródłem uwolnień rtęci do atmosfery i mimo stopniowego wycofywania amalgamatu stomatologicznego będą nadal przyczyniać się do zanieczyszczenia rtęcią powietrza, wody i gleby. Konieczne jest gromadzenie informacji na temat środków wdrożonych przez państwa członkowskie oraz opracowanie wytycznych dotyczących krematoriów, aby zadbać o odpowiednie zapobieganie zanieczyszczeniom oraz zmniejszyć ich wpływ na środowisko i zdrowie ludzkie.</w:t>
            </w:r>
          </w:p>
        </w:tc>
      </w:tr>
    </w:tbl>
    <w:p w:rsidR="00273394" w:rsidRDefault="00273394" w:rsidP="00273394"/>
    <w:p w:rsidR="0026112A" w:rsidRPr="00373D53" w:rsidRDefault="0026112A" w:rsidP="0026112A">
      <w:pPr>
        <w:pStyle w:val="AmNumberTabs"/>
      </w:pPr>
      <w:r w:rsidRPr="00373D53">
        <w:t>Poprawka</w:t>
      </w:r>
      <w:r w:rsidRPr="00373D53">
        <w:tab/>
      </w:r>
      <w:r w:rsidRPr="00373D53">
        <w:tab/>
      </w:r>
      <w:r w:rsidRPr="00373D53">
        <w:rPr>
          <w:rStyle w:val="HideTWBExt"/>
        </w:rPr>
        <w:t>&lt;NumAm&gt;</w:t>
      </w:r>
      <w:r w:rsidRPr="00373D53">
        <w:t>16</w:t>
      </w:r>
      <w:r w:rsidRPr="00373D53">
        <w:rPr>
          <w:rStyle w:val="HideTWBExt"/>
        </w:rPr>
        <w:t>&lt;/</w:t>
      </w:r>
      <w:proofErr w:type="spellStart"/>
      <w:r w:rsidRPr="00373D53">
        <w:rPr>
          <w:rStyle w:val="HideTWBExt"/>
        </w:rPr>
        <w:t>NumAm</w:t>
      </w:r>
      <w:proofErr w:type="spellEnd"/>
      <w:r w:rsidRPr="00373D53">
        <w:rPr>
          <w:rStyle w:val="HideTWBExt"/>
        </w:rPr>
        <w:t>&gt;</w:t>
      </w:r>
    </w:p>
    <w:p w:rsidR="0026112A" w:rsidRPr="00373D53" w:rsidRDefault="0026112A" w:rsidP="0026112A">
      <w:pPr>
        <w:pStyle w:val="NormalBold"/>
        <w:rPr>
          <w:rStyle w:val="HideTWBExt"/>
        </w:rPr>
      </w:pPr>
    </w:p>
    <w:p w:rsidR="0026112A" w:rsidRPr="00463194" w:rsidRDefault="0026112A" w:rsidP="0026112A">
      <w:pPr>
        <w:pStyle w:val="NormalBold"/>
      </w:pPr>
      <w:r w:rsidRPr="00463194">
        <w:rPr>
          <w:rStyle w:val="HideTWBExt"/>
        </w:rPr>
        <w:t>&lt;DocAmend&gt;</w:t>
      </w:r>
      <w:r w:rsidRPr="00463194">
        <w:t>Wniosek dotyczący rozporządzenia</w:t>
      </w:r>
      <w:r w:rsidRPr="00463194">
        <w:rPr>
          <w:rStyle w:val="HideTWBExt"/>
        </w:rPr>
        <w:t>&lt;/</w:t>
      </w:r>
      <w:proofErr w:type="spellStart"/>
      <w:r w:rsidRPr="00463194">
        <w:rPr>
          <w:rStyle w:val="HideTWBExt"/>
        </w:rPr>
        <w:t>DocAmend</w:t>
      </w:r>
      <w:proofErr w:type="spellEnd"/>
      <w:r w:rsidRPr="00463194">
        <w:rPr>
          <w:rStyle w:val="HideTWBExt"/>
        </w:rPr>
        <w:t>&gt;</w:t>
      </w:r>
    </w:p>
    <w:p w:rsidR="0026112A" w:rsidRPr="00463194" w:rsidRDefault="0026112A" w:rsidP="0026112A">
      <w:pPr>
        <w:pStyle w:val="NormalBold"/>
      </w:pPr>
      <w:r w:rsidRPr="00463194">
        <w:rPr>
          <w:rStyle w:val="HideTWBExt"/>
        </w:rPr>
        <w:t>&lt;Article&gt;</w:t>
      </w:r>
      <w:r>
        <w:t>Motyw 4 b</w:t>
      </w:r>
      <w:r w:rsidRPr="00463194">
        <w:t xml:space="preserve"> (nowy</w:t>
      </w:r>
      <w:proofErr w:type="gramStart"/>
      <w:r w:rsidRPr="00463194">
        <w:t>)</w:t>
      </w:r>
      <w:r w:rsidRPr="00463194">
        <w:rPr>
          <w:rStyle w:val="HideTWBExt"/>
        </w:rPr>
        <w:t>&lt;/</w:t>
      </w:r>
      <w:proofErr w:type="spellStart"/>
      <w:r w:rsidRPr="00463194">
        <w:rPr>
          <w:rStyle w:val="HideTWBExt"/>
        </w:rPr>
        <w:t>Article</w:t>
      </w:r>
      <w:proofErr w:type="spellEnd"/>
      <w:proofErr w:type="gramEnd"/>
      <w:r w:rsidRPr="00463194">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12A" w:rsidRPr="00463194" w:rsidTr="003D4866">
        <w:trPr>
          <w:trHeight w:hRule="exact" w:val="240"/>
          <w:jc w:val="center"/>
        </w:trPr>
        <w:tc>
          <w:tcPr>
            <w:tcW w:w="9752" w:type="dxa"/>
            <w:gridSpan w:val="2"/>
          </w:tcPr>
          <w:p w:rsidR="0026112A" w:rsidRPr="00463194" w:rsidRDefault="0026112A" w:rsidP="003D4866"/>
        </w:tc>
      </w:tr>
      <w:tr w:rsidR="0026112A" w:rsidRPr="00463194" w:rsidTr="003D4866">
        <w:trPr>
          <w:trHeight w:val="240"/>
          <w:jc w:val="center"/>
        </w:trPr>
        <w:tc>
          <w:tcPr>
            <w:tcW w:w="4876" w:type="dxa"/>
          </w:tcPr>
          <w:p w:rsidR="0026112A" w:rsidRPr="00463194" w:rsidRDefault="0026112A" w:rsidP="003D4866">
            <w:pPr>
              <w:pStyle w:val="AmColumnHeading"/>
            </w:pPr>
            <w:r w:rsidRPr="00463194">
              <w:t>Tekst proponowany przez Komisję</w:t>
            </w:r>
          </w:p>
        </w:tc>
        <w:tc>
          <w:tcPr>
            <w:tcW w:w="4876" w:type="dxa"/>
          </w:tcPr>
          <w:p w:rsidR="0026112A" w:rsidRPr="00463194" w:rsidRDefault="0026112A" w:rsidP="003D4866">
            <w:pPr>
              <w:pStyle w:val="AmColumnHeading"/>
            </w:pPr>
            <w:r w:rsidRPr="00463194">
              <w:t>Poprawka</w:t>
            </w:r>
          </w:p>
        </w:tc>
      </w:tr>
      <w:tr w:rsidR="0026112A" w:rsidRPr="00463194" w:rsidTr="003D4866">
        <w:trPr>
          <w:jc w:val="center"/>
        </w:trPr>
        <w:tc>
          <w:tcPr>
            <w:tcW w:w="4876" w:type="dxa"/>
          </w:tcPr>
          <w:p w:rsidR="0026112A" w:rsidRPr="00463194" w:rsidRDefault="0026112A" w:rsidP="003D4866">
            <w:pPr>
              <w:pStyle w:val="Normal6a"/>
            </w:pPr>
          </w:p>
        </w:tc>
        <w:tc>
          <w:tcPr>
            <w:tcW w:w="4876" w:type="dxa"/>
          </w:tcPr>
          <w:p w:rsidR="0026112A" w:rsidRPr="00463194" w:rsidRDefault="0026112A" w:rsidP="003D4866">
            <w:pPr>
              <w:pStyle w:val="Normal6a"/>
            </w:pPr>
            <w:r>
              <w:rPr>
                <w:b/>
                <w:i/>
              </w:rPr>
              <w:t>(4b</w:t>
            </w:r>
            <w:proofErr w:type="gramStart"/>
            <w:r w:rsidRPr="00463194">
              <w:rPr>
                <w:b/>
                <w:i/>
              </w:rPr>
              <w:t>)</w:t>
            </w:r>
            <w:r w:rsidRPr="00463194">
              <w:tab/>
            </w:r>
            <w:r w:rsidRPr="00463194">
              <w:rPr>
                <w:b/>
                <w:i/>
              </w:rPr>
              <w:t>Aby</w:t>
            </w:r>
            <w:proofErr w:type="gramEnd"/>
            <w:r w:rsidRPr="00463194">
              <w:rPr>
                <w:b/>
                <w:i/>
              </w:rPr>
              <w:t xml:space="preserve"> ograniczyć skutki społeczno-ekonomiczne, które przejście na wypełnienia bezrtęciowe spowoduje dla kosztów opieki stomatologicznej dla </w:t>
            </w:r>
            <w:r w:rsidRPr="00463194">
              <w:rPr>
                <w:b/>
                <w:i/>
              </w:rPr>
              <w:lastRenderedPageBreak/>
              <w:t>pacjentów i dla dentystów, państwa członkowskie powinny dążyć do zapewnienia odpowiedniej refundacji alternatywnych produktów bezrtęciowych. Wycofywaniu amalgamatu stomatologicznego powinny towarzyszyć, w stosownych przypadkach, szkolenia zawodowe dla dentystów, które pozwolą im dostosować się do nowych technik.</w:t>
            </w:r>
          </w:p>
        </w:tc>
      </w:tr>
    </w:tbl>
    <w:p w:rsidR="0026112A" w:rsidRPr="006A792F" w:rsidRDefault="0026112A" w:rsidP="00273394"/>
    <w:p w:rsidR="00273394" w:rsidRPr="006A792F" w:rsidRDefault="00273394" w:rsidP="00273394">
      <w:pPr>
        <w:pStyle w:val="AmNumberTabs"/>
      </w:pPr>
      <w:r w:rsidRPr="006A792F">
        <w:t>Poprawka</w:t>
      </w:r>
      <w:r w:rsidRPr="006A792F">
        <w:tab/>
      </w:r>
      <w:r w:rsidRPr="006A792F">
        <w:tab/>
        <w:t>4</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Motyw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proponowany przez Komisję</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proofErr w:type="gramStart"/>
            <w:r w:rsidRPr="006A792F">
              <w:t>(5)</w:t>
            </w:r>
            <w:r w:rsidRPr="006A792F">
              <w:tab/>
              <w:t>W</w:t>
            </w:r>
            <w:proofErr w:type="gramEnd"/>
            <w:r w:rsidRPr="006A792F">
              <w:t xml:space="preserve"> art. 4 ust. 1 dyrektywy Parlamentu Europejskiego i Rady 2011/65/UE</w:t>
            </w:r>
            <w:r w:rsidRPr="006A792F">
              <w:rPr>
                <w:b/>
                <w:i/>
              </w:rPr>
              <w:t xml:space="preserve"> </w:t>
            </w:r>
            <w:r w:rsidRPr="006A792F">
              <w:rPr>
                <w:vertAlign w:val="superscript"/>
              </w:rPr>
              <w:t>44</w:t>
            </w:r>
            <w:r w:rsidRPr="006A792F">
              <w:t xml:space="preserve"> zakazuje się wprowadzania do obrotu i przywozu do Unii określonego sprzętu elektrycznego i elektronicznego zawierającego rtęć. W załączniku III do tej dyrektywy wymieniono między innymi określone lampy z dodatkiem rtęci zwolnione z wymienionego zakazu do dat wskazanych w tym załączniku. Dnia 13 kwietnia 2016 r. zwolnienie wygasło w odniesieniu do lamp innych niż liniowe z luminoforem </w:t>
            </w:r>
            <w:proofErr w:type="spellStart"/>
            <w:r w:rsidRPr="006A792F">
              <w:t>halofosforanowym</w:t>
            </w:r>
            <w:proofErr w:type="spellEnd"/>
            <w:r w:rsidRPr="006A792F">
              <w:t xml:space="preserve">, </w:t>
            </w:r>
            <w:r w:rsidRPr="006A792F">
              <w:rPr>
                <w:b/>
                <w:i/>
              </w:rPr>
              <w:t>a </w:t>
            </w:r>
            <w:r w:rsidRPr="006A792F">
              <w:t xml:space="preserve">w dniu 24 lutego 2023 r. </w:t>
            </w:r>
            <w:r w:rsidRPr="006A792F">
              <w:rPr>
                <w:b/>
                <w:i/>
              </w:rPr>
              <w:t>lub</w:t>
            </w:r>
            <w:r w:rsidRPr="006A792F">
              <w:t xml:space="preserve"> 24 </w:t>
            </w:r>
            <w:r w:rsidRPr="006A792F">
              <w:rPr>
                <w:b/>
                <w:i/>
              </w:rPr>
              <w:t>lutego 2027</w:t>
            </w:r>
            <w:r w:rsidRPr="006A792F">
              <w:t xml:space="preserve"> r. </w:t>
            </w:r>
            <w:r w:rsidRPr="006A792F">
              <w:rPr>
                <w:b/>
                <w:i/>
              </w:rPr>
              <w:t>wygaśnie</w:t>
            </w:r>
            <w:r w:rsidRPr="006A792F">
              <w:t xml:space="preserve"> w</w:t>
            </w:r>
            <w:r w:rsidRPr="006A792F">
              <w:rPr>
                <w:b/>
                <w:i/>
              </w:rPr>
              <w:t> </w:t>
            </w:r>
            <w:r w:rsidRPr="006A792F">
              <w:t xml:space="preserve">odniesieniu do </w:t>
            </w:r>
            <w:r w:rsidRPr="006A792F">
              <w:rPr>
                <w:b/>
                <w:i/>
              </w:rPr>
              <w:t>niektórych kompaktowych</w:t>
            </w:r>
            <w:r w:rsidRPr="006A792F">
              <w:t xml:space="preserve"> lamp fluorescencyjnych</w:t>
            </w:r>
            <w:r w:rsidRPr="006A792F">
              <w:rPr>
                <w:b/>
                <w:i/>
              </w:rPr>
              <w:t>, liniowych</w:t>
            </w:r>
            <w:r w:rsidRPr="006A792F">
              <w:t xml:space="preserve"> lamp fluorescencyjnych </w:t>
            </w:r>
            <w:r w:rsidRPr="006A792F">
              <w:rPr>
                <w:b/>
                <w:i/>
              </w:rPr>
              <w:t>oraz</w:t>
            </w:r>
            <w:r w:rsidRPr="006A792F">
              <w:t xml:space="preserve"> wysokoprężnych lamp sodowych </w:t>
            </w:r>
            <w:r w:rsidRPr="006A792F">
              <w:rPr>
                <w:b/>
                <w:i/>
              </w:rPr>
              <w:t xml:space="preserve">stosowanych </w:t>
            </w:r>
            <w:r w:rsidRPr="006A792F">
              <w:t xml:space="preserve">na potrzeby oświetlenia ogólnego, </w:t>
            </w:r>
            <w:r w:rsidRPr="006A792F">
              <w:rPr>
                <w:b/>
                <w:i/>
              </w:rPr>
              <w:t>jak również</w:t>
            </w:r>
            <w:r w:rsidRPr="006A792F">
              <w:t xml:space="preserve"> lamp innych </w:t>
            </w:r>
            <w:r w:rsidRPr="006A792F">
              <w:rPr>
                <w:b/>
                <w:i/>
              </w:rPr>
              <w:t>niż liniowe lampy fluorescencyjne z luminoforem trójpasmowym</w:t>
            </w:r>
            <w:r w:rsidRPr="006A792F">
              <w:t>. Ponadto w odniesieniu do niektórych liniowych lamp fluorescencyjnych stosowanych na potrzeby oświetlenia ogólnego przewidziano nałożenie zakazu w przyszłości w decyzji MC-4/3 przyjętej na czwartym posiedzeniu Konferencji Stron Konwencji z </w:t>
            </w:r>
            <w:proofErr w:type="spellStart"/>
            <w:r w:rsidRPr="006A792F">
              <w:t>Minamaty</w:t>
            </w:r>
            <w:proofErr w:type="spellEnd"/>
            <w:r w:rsidRPr="006A792F">
              <w:t xml:space="preserve"> w sprawie rtęci, które odbyło się w dniach od 21 do 25 marca 2022 r. </w:t>
            </w:r>
            <w:r w:rsidRPr="006A792F">
              <w:rPr>
                <w:vertAlign w:val="superscript"/>
              </w:rPr>
              <w:t>45</w:t>
            </w:r>
            <w:r w:rsidRPr="006A792F">
              <w:t xml:space="preserve"> Decyzję tę poparła Unia w drodze decyzji Rady (UE) </w:t>
            </w:r>
            <w:r w:rsidRPr="006A792F">
              <w:lastRenderedPageBreak/>
              <w:t xml:space="preserve">2022/549 </w:t>
            </w:r>
            <w:r w:rsidRPr="006A792F">
              <w:rPr>
                <w:vertAlign w:val="superscript"/>
              </w:rPr>
              <w:t>46</w:t>
            </w:r>
            <w:r w:rsidRPr="006A792F">
              <w:t xml:space="preserve">. </w:t>
            </w:r>
            <w:r w:rsidRPr="006A792F">
              <w:rPr>
                <w:b/>
                <w:i/>
              </w:rPr>
              <w:t>Zważywszy</w:t>
            </w:r>
            <w:r w:rsidRPr="006A792F">
              <w:t xml:space="preserve">, </w:t>
            </w:r>
            <w:r w:rsidRPr="006A792F">
              <w:rPr>
                <w:b/>
                <w:i/>
              </w:rPr>
              <w:t>że lampy te</w:t>
            </w:r>
            <w:r w:rsidRPr="006A792F">
              <w:t xml:space="preserve"> nie są obecnie objęte częścią A załącznika II do rozporządzenia (UE) 2017/852, w celu zachowania spójności należy je włączyć do tego załącznika, aby zakazać ich produkcji i wywozu od dat </w:t>
            </w:r>
            <w:r w:rsidRPr="006A792F">
              <w:rPr>
                <w:b/>
                <w:i/>
              </w:rPr>
              <w:t>zgodnych z</w:t>
            </w:r>
            <w:r w:rsidRPr="006A792F">
              <w:t> </w:t>
            </w:r>
            <w:r w:rsidRPr="006A792F">
              <w:rPr>
                <w:b/>
                <w:i/>
              </w:rPr>
              <w:t>załącznikiem</w:t>
            </w:r>
            <w:r w:rsidRPr="006A792F">
              <w:t xml:space="preserve"> III do dyrektywy 2011/65/UE oraz najbardziej ambitnych dat wskazanych w decyzji MC-4/3.</w:t>
            </w:r>
          </w:p>
        </w:tc>
        <w:tc>
          <w:tcPr>
            <w:tcW w:w="4876" w:type="dxa"/>
          </w:tcPr>
          <w:p w:rsidR="00273394" w:rsidRPr="006A792F" w:rsidRDefault="00273394" w:rsidP="00AF5621">
            <w:pPr>
              <w:pStyle w:val="Normal6"/>
              <w:rPr>
                <w:szCs w:val="24"/>
              </w:rPr>
            </w:pPr>
            <w:proofErr w:type="gramStart"/>
            <w:r w:rsidRPr="006A792F">
              <w:lastRenderedPageBreak/>
              <w:t>(5)</w:t>
            </w:r>
            <w:r w:rsidRPr="006A792F">
              <w:tab/>
              <w:t>W</w:t>
            </w:r>
            <w:proofErr w:type="gramEnd"/>
            <w:r w:rsidRPr="006A792F">
              <w:t xml:space="preserve"> art. 4 ust. 1 dyrektywy Parlamentu Europejskiego i Rady 2011/65/UE</w:t>
            </w:r>
            <w:r w:rsidRPr="006A792F">
              <w:rPr>
                <w:vertAlign w:val="superscript"/>
              </w:rPr>
              <w:t>44</w:t>
            </w:r>
            <w:r w:rsidRPr="006A792F">
              <w:t xml:space="preserve"> zakazuje się wprowadzania do obrotu i przywozu do Unii określonego sprzętu elektrycznego i elektronicznego zawierającego rtęć. W załączniku III do tej dyrektywy wymieniono między innymi określone lampy z dodatkiem rtęci zwolnione z wymienionego zakazu do dat wskazanych w tym załączniku. Dnia 13 kwietnia 2016 r. zwolnienie wygasło w odniesieniu do lamp innych niż liniowe z luminoforem </w:t>
            </w:r>
            <w:proofErr w:type="spellStart"/>
            <w:r w:rsidRPr="006A792F">
              <w:t>halofosforanowym</w:t>
            </w:r>
            <w:proofErr w:type="spellEnd"/>
            <w:r w:rsidRPr="006A792F">
              <w:t xml:space="preserve">, w dniu 24 lutego 2023 r. </w:t>
            </w:r>
            <w:r w:rsidRPr="006A792F">
              <w:rPr>
                <w:b/>
                <w:i/>
              </w:rPr>
              <w:t>wygaśnie w</w:t>
            </w:r>
            <w:r w:rsidRPr="006A792F">
              <w:t> </w:t>
            </w:r>
            <w:r w:rsidRPr="006A792F">
              <w:rPr>
                <w:b/>
                <w:i/>
              </w:rPr>
              <w:t xml:space="preserve">odniesieniu do niektórych kompaktowych lamp fluorescencyjnych, a w dniu </w:t>
            </w:r>
            <w:r w:rsidRPr="006A792F">
              <w:t xml:space="preserve">24 </w:t>
            </w:r>
            <w:r w:rsidRPr="006A792F">
              <w:rPr>
                <w:b/>
                <w:i/>
              </w:rPr>
              <w:t>sierpnia 2023</w:t>
            </w:r>
            <w:r w:rsidRPr="006A792F">
              <w:t xml:space="preserve"> r. </w:t>
            </w:r>
            <w:r w:rsidRPr="006A792F">
              <w:rPr>
                <w:b/>
                <w:i/>
              </w:rPr>
              <w:t>–</w:t>
            </w:r>
            <w:r w:rsidRPr="006A792F">
              <w:t xml:space="preserve"> w</w:t>
            </w:r>
            <w:r w:rsidRPr="006A792F">
              <w:rPr>
                <w:b/>
                <w:i/>
              </w:rPr>
              <w:t xml:space="preserve"> </w:t>
            </w:r>
            <w:r w:rsidRPr="006A792F">
              <w:t xml:space="preserve">odniesieniu do </w:t>
            </w:r>
            <w:r w:rsidRPr="006A792F">
              <w:rPr>
                <w:b/>
                <w:i/>
              </w:rPr>
              <w:t>liniowych</w:t>
            </w:r>
            <w:r w:rsidRPr="006A792F">
              <w:t xml:space="preserve"> lamp fluorescencyjnych</w:t>
            </w:r>
            <w:r w:rsidRPr="006A792F">
              <w:rPr>
                <w:b/>
                <w:i/>
              </w:rPr>
              <w:t xml:space="preserve"> stosowanych na potrzeby oświetlenia ogólnego. W przypadku innych niż liniowe lamp fluorescencyjnych z luminoforem trójpasmowym zwolnienie wygasa z dniem 24 lutego 2025 r. Zwolnienie dotyczące większości</w:t>
            </w:r>
            <w:r w:rsidRPr="006A792F">
              <w:t xml:space="preserve"> wysokoprężnych lamp sodowych na potrzeby oświetlenia ogólnego</w:t>
            </w:r>
            <w:r w:rsidRPr="006A792F">
              <w:rPr>
                <w:b/>
                <w:i/>
              </w:rPr>
              <w:t xml:space="preserve"> o podwyższonym wskaźniku oddawania barw wygasło w dniu 24 lutego 2023 r.</w:t>
            </w:r>
            <w:r w:rsidRPr="006A792F">
              <w:t xml:space="preserve">, </w:t>
            </w:r>
            <w:r w:rsidRPr="006A792F">
              <w:rPr>
                <w:b/>
                <w:i/>
              </w:rPr>
              <w:t>natomiast w przypadku pozostałych</w:t>
            </w:r>
            <w:r w:rsidRPr="006A792F">
              <w:t xml:space="preserve"> lamp </w:t>
            </w:r>
            <w:r w:rsidRPr="006A792F">
              <w:rPr>
                <w:b/>
                <w:i/>
              </w:rPr>
              <w:t xml:space="preserve">oraz </w:t>
            </w:r>
            <w:r w:rsidRPr="006A792F">
              <w:t xml:space="preserve">innych </w:t>
            </w:r>
            <w:r w:rsidRPr="006A792F">
              <w:rPr>
                <w:b/>
                <w:i/>
              </w:rPr>
              <w:t xml:space="preserve">wysokoprężnych lamp sodowych stosowanych na potrzeby oświetlenia ogólnego zwolnienie wygaśnie w dniu 24 </w:t>
            </w:r>
            <w:r w:rsidRPr="006A792F">
              <w:rPr>
                <w:b/>
                <w:i/>
              </w:rPr>
              <w:lastRenderedPageBreak/>
              <w:t>lutego 2025 r</w:t>
            </w:r>
            <w:r w:rsidRPr="006A792F">
              <w:t>. Ponadto w odniesieniu do niektórych liniowych lamp fluorescencyjnych stosowanych na potrzeby oświetlenia ogólnego przewidziano nałożenie zakazu w przyszłości w decyzji MC-4/3 przyjętej na czwartym posiedzeniu Konferencji Stron Konwencji z </w:t>
            </w:r>
            <w:proofErr w:type="spellStart"/>
            <w:r w:rsidRPr="006A792F">
              <w:t>Minamaty</w:t>
            </w:r>
            <w:proofErr w:type="spellEnd"/>
            <w:r w:rsidRPr="006A792F">
              <w:t xml:space="preserve"> w sprawie rtęci, które odbyło się w dniach od 21 do 25 marca 2022 r. </w:t>
            </w:r>
            <w:r w:rsidRPr="006A792F">
              <w:rPr>
                <w:vertAlign w:val="superscript"/>
              </w:rPr>
              <w:t>45</w:t>
            </w:r>
            <w:r w:rsidRPr="006A792F">
              <w:t xml:space="preserve"> Decyzję </w:t>
            </w:r>
            <w:proofErr w:type="gramStart"/>
            <w:r w:rsidRPr="006A792F">
              <w:t>tę</w:t>
            </w:r>
            <w:proofErr w:type="gramEnd"/>
            <w:r w:rsidRPr="006A792F">
              <w:t xml:space="preserve"> poparła Unia w drodze decyzji Rady (UE) 2022/549 </w:t>
            </w:r>
            <w:r w:rsidRPr="006A792F">
              <w:rPr>
                <w:vertAlign w:val="superscript"/>
              </w:rPr>
              <w:t>46</w:t>
            </w:r>
            <w:r w:rsidRPr="006A792F">
              <w:t xml:space="preserve">. </w:t>
            </w:r>
            <w:r w:rsidRPr="006A792F">
              <w:rPr>
                <w:b/>
                <w:i/>
              </w:rPr>
              <w:t>Ponieważ należy jak najszybciej zakazać wywozu z Unii pozostałych lamp z dodatkiem rtęci</w:t>
            </w:r>
            <w:r w:rsidRPr="006A792F">
              <w:t xml:space="preserve">, </w:t>
            </w:r>
            <w:r w:rsidRPr="006A792F">
              <w:rPr>
                <w:b/>
                <w:i/>
              </w:rPr>
              <w:t>a niektóre z tych lamp</w:t>
            </w:r>
            <w:r w:rsidRPr="006A792F">
              <w:t xml:space="preserve"> nie są obecnie objęte częścią A załącznika II do rozporządzenia (UE) 2017/852, w celu zachowania spójności należy je włączyć do tego załącznika, aby zakazać ich produkcji i wywozu od dat </w:t>
            </w:r>
            <w:r w:rsidRPr="006A792F">
              <w:rPr>
                <w:b/>
                <w:i/>
              </w:rPr>
              <w:t>określonych w</w:t>
            </w:r>
            <w:r w:rsidRPr="006A792F">
              <w:t> </w:t>
            </w:r>
            <w:r w:rsidRPr="006A792F">
              <w:rPr>
                <w:b/>
                <w:i/>
              </w:rPr>
              <w:t>załączniku</w:t>
            </w:r>
            <w:r w:rsidRPr="006A792F">
              <w:t xml:space="preserve"> III do dyrektywy 2011/65/UE oraz najbardziej ambitnych dat wskazanych w decyzji MC-4/3. </w:t>
            </w:r>
            <w:r w:rsidRPr="006A792F">
              <w:rPr>
                <w:b/>
                <w:i/>
              </w:rPr>
              <w:t>Ponadto znaczne dodatkowe korzyści można osiągnąć dzięki jak najszybszemu zaprzestaniu wywozu lamp z dodatkiem rtęci, zważywszy, że bezrtęciowe alternatywy są bardziej energooszczędne i dzięki nim dałoby się uniknąć emisji wielu ton CO</w:t>
            </w:r>
            <w:r w:rsidRPr="006A792F">
              <w:rPr>
                <w:b/>
                <w:i/>
                <w:vertAlign w:val="subscript"/>
              </w:rPr>
              <w:t>2</w:t>
            </w:r>
            <w:r w:rsidRPr="006A792F">
              <w:rPr>
                <w:b/>
                <w:i/>
              </w:rPr>
              <w:t>.</w:t>
            </w:r>
          </w:p>
        </w:tc>
      </w:tr>
      <w:tr w:rsidR="00273394" w:rsidRPr="006A792F" w:rsidTr="00AF5621">
        <w:trPr>
          <w:jc w:val="center"/>
        </w:trPr>
        <w:tc>
          <w:tcPr>
            <w:tcW w:w="4876" w:type="dxa"/>
          </w:tcPr>
          <w:p w:rsidR="00273394" w:rsidRPr="006A792F" w:rsidRDefault="00273394" w:rsidP="00AF5621">
            <w:pPr>
              <w:pStyle w:val="Normal6"/>
            </w:pPr>
            <w:r w:rsidRPr="006A792F">
              <w:lastRenderedPageBreak/>
              <w:t>__________________</w:t>
            </w:r>
          </w:p>
        </w:tc>
        <w:tc>
          <w:tcPr>
            <w:tcW w:w="4876" w:type="dxa"/>
          </w:tcPr>
          <w:p w:rsidR="00273394" w:rsidRPr="006A792F" w:rsidRDefault="00273394" w:rsidP="00AF5621">
            <w:pPr>
              <w:pStyle w:val="Normal6"/>
              <w:rPr>
                <w:szCs w:val="24"/>
              </w:rPr>
            </w:pPr>
            <w:r w:rsidRPr="006A792F">
              <w:t>__________________</w:t>
            </w:r>
          </w:p>
        </w:tc>
      </w:tr>
      <w:tr w:rsidR="00273394" w:rsidRPr="006A792F" w:rsidTr="00AF5621">
        <w:trPr>
          <w:jc w:val="center"/>
        </w:trPr>
        <w:tc>
          <w:tcPr>
            <w:tcW w:w="4876" w:type="dxa"/>
          </w:tcPr>
          <w:p w:rsidR="00273394" w:rsidRPr="006A792F" w:rsidRDefault="00273394" w:rsidP="00AF5621">
            <w:pPr>
              <w:pStyle w:val="Normal6"/>
            </w:pPr>
            <w:r w:rsidRPr="006A792F">
              <w:rPr>
                <w:vertAlign w:val="superscript"/>
              </w:rPr>
              <w:t>44</w:t>
            </w:r>
            <w:r w:rsidRPr="006A792F">
              <w:t xml:space="preserve"> Dyrektywa Parlamentu Europejskiego i Rady 2011/65/UE z dnia 8 czerwca 2011 r. w sprawie ograniczenia stosowania niektórych niebezpiecznych substancji w sprzęcie elektrycznym i elektronicznym (Dz.U. L 174 z 1.7.2011).</w:t>
            </w:r>
          </w:p>
        </w:tc>
        <w:tc>
          <w:tcPr>
            <w:tcW w:w="4876" w:type="dxa"/>
          </w:tcPr>
          <w:p w:rsidR="00273394" w:rsidRPr="006A792F" w:rsidRDefault="00273394" w:rsidP="00AF5621">
            <w:pPr>
              <w:pStyle w:val="Normal6"/>
              <w:rPr>
                <w:szCs w:val="24"/>
              </w:rPr>
            </w:pPr>
            <w:r w:rsidRPr="006A792F">
              <w:rPr>
                <w:vertAlign w:val="superscript"/>
              </w:rPr>
              <w:t>44</w:t>
            </w:r>
            <w:r w:rsidRPr="006A792F">
              <w:t xml:space="preserve"> Dyrektywa Parlamentu Europejskiego i Rady 2011/65/UE z dnia 8 czerwca 2011 r. w sprawie ograniczenia stosowania niektórych niebezpiecznych substancji w sprzęcie elektrycznym i elektronicznym (Dz.U. L 174 z 1.7.2011).</w:t>
            </w:r>
          </w:p>
        </w:tc>
      </w:tr>
      <w:tr w:rsidR="00273394" w:rsidRPr="006A792F" w:rsidTr="00AF5621">
        <w:trPr>
          <w:jc w:val="center"/>
        </w:trPr>
        <w:tc>
          <w:tcPr>
            <w:tcW w:w="4876" w:type="dxa"/>
          </w:tcPr>
          <w:p w:rsidR="00273394" w:rsidRPr="006A792F" w:rsidRDefault="00273394" w:rsidP="00AF5621">
            <w:pPr>
              <w:pStyle w:val="Normal6"/>
            </w:pPr>
            <w:r w:rsidRPr="006A792F">
              <w:rPr>
                <w:vertAlign w:val="superscript"/>
              </w:rPr>
              <w:t>45</w:t>
            </w:r>
            <w:r w:rsidRPr="006A792F">
              <w:t xml:space="preserve"> Decyzja Rady (UE) 2022/549 z dnia 17 marca 2022 r. w sprawie stanowiska, jakie ma zostać zajęte w imieniu Unii Europejskiej na drugim etapie czwartego posiedzenia Konferencji Stron Konwencji z </w:t>
            </w:r>
            <w:proofErr w:type="spellStart"/>
            <w:r w:rsidRPr="006A792F">
              <w:t>Minamaty</w:t>
            </w:r>
            <w:proofErr w:type="spellEnd"/>
            <w:r w:rsidRPr="006A792F">
              <w:t xml:space="preserve"> w sprawie rtęci w odniesieniu do przyjęcia decyzji w sprawie zmiany załączników A i B do tej konwencji (Dz.U. L 107 z 6.4.2022, </w:t>
            </w:r>
            <w:proofErr w:type="gramStart"/>
            <w:r w:rsidRPr="006A792F">
              <w:t>s</w:t>
            </w:r>
            <w:proofErr w:type="gramEnd"/>
            <w:r w:rsidRPr="006A792F">
              <w:t>. 78).</w:t>
            </w:r>
          </w:p>
        </w:tc>
        <w:tc>
          <w:tcPr>
            <w:tcW w:w="4876" w:type="dxa"/>
          </w:tcPr>
          <w:p w:rsidR="00273394" w:rsidRPr="006A792F" w:rsidRDefault="00273394" w:rsidP="00AF5621">
            <w:pPr>
              <w:pStyle w:val="Normal6"/>
              <w:rPr>
                <w:szCs w:val="24"/>
              </w:rPr>
            </w:pPr>
            <w:r w:rsidRPr="006A792F">
              <w:rPr>
                <w:vertAlign w:val="superscript"/>
              </w:rPr>
              <w:t>45</w:t>
            </w:r>
            <w:r w:rsidRPr="006A792F">
              <w:t xml:space="preserve"> Decyzja Rady (UE) 2022/549 z dnia 17 marca 2022 r. w sprawie stanowiska, jakie ma zostać zajęte w imieniu Unii Europejskiej na drugim etapie czwartego posiedzenia Konferencji Stron Konwencji z </w:t>
            </w:r>
            <w:proofErr w:type="spellStart"/>
            <w:r w:rsidRPr="006A792F">
              <w:t>Minamaty</w:t>
            </w:r>
            <w:proofErr w:type="spellEnd"/>
            <w:r w:rsidRPr="006A792F">
              <w:t xml:space="preserve"> w sprawie rtęci w odniesieniu do przyjęcia decyzji w sprawie zmiany załączników A i B do tej konwencji (Dz.U. L 107 z 6.4.2022, </w:t>
            </w:r>
            <w:proofErr w:type="gramStart"/>
            <w:r w:rsidRPr="006A792F">
              <w:t>s</w:t>
            </w:r>
            <w:proofErr w:type="gramEnd"/>
            <w:r w:rsidRPr="006A792F">
              <w:t>. 78).</w:t>
            </w:r>
          </w:p>
        </w:tc>
      </w:tr>
      <w:tr w:rsidR="00273394" w:rsidRPr="006A792F" w:rsidTr="00AF5621">
        <w:trPr>
          <w:jc w:val="center"/>
        </w:trPr>
        <w:tc>
          <w:tcPr>
            <w:tcW w:w="4876" w:type="dxa"/>
          </w:tcPr>
          <w:p w:rsidR="00273394" w:rsidRPr="006A792F" w:rsidRDefault="00273394" w:rsidP="00AF5621">
            <w:pPr>
              <w:pStyle w:val="Normal6"/>
            </w:pPr>
            <w:r w:rsidRPr="006A792F">
              <w:rPr>
                <w:vertAlign w:val="superscript"/>
              </w:rPr>
              <w:t>46</w:t>
            </w:r>
            <w:r w:rsidRPr="006A792F">
              <w:t xml:space="preserve"> Decyzja Rady (UE) 2022/549 z dnia 17 marca 2022 r. w sprawie stanowiska, jakie ma zostać zajęte w imieniu Unii </w:t>
            </w:r>
            <w:r w:rsidRPr="006A792F">
              <w:lastRenderedPageBreak/>
              <w:t>Europejskiej na drugim etapie czwartego posiedzenia Konferencji Stron Konwencji z </w:t>
            </w:r>
            <w:proofErr w:type="spellStart"/>
            <w:r w:rsidRPr="006A792F">
              <w:t>Minamaty</w:t>
            </w:r>
            <w:proofErr w:type="spellEnd"/>
          </w:p>
        </w:tc>
        <w:tc>
          <w:tcPr>
            <w:tcW w:w="4876" w:type="dxa"/>
          </w:tcPr>
          <w:p w:rsidR="00273394" w:rsidRPr="006A792F" w:rsidRDefault="00273394" w:rsidP="00AF5621">
            <w:pPr>
              <w:pStyle w:val="Normal6"/>
              <w:rPr>
                <w:szCs w:val="24"/>
              </w:rPr>
            </w:pPr>
            <w:r w:rsidRPr="007C5E0C">
              <w:rPr>
                <w:vertAlign w:val="superscript"/>
              </w:rPr>
              <w:lastRenderedPageBreak/>
              <w:t>46</w:t>
            </w:r>
            <w:r w:rsidRPr="006A792F">
              <w:t xml:space="preserve"> Decyzja Rady (UE) 2022/549 z dnia 17 marca 2022 r. w sprawie stanowiska, jakie ma zostać zajęte w imieniu Unii </w:t>
            </w:r>
            <w:r w:rsidRPr="006A792F">
              <w:lastRenderedPageBreak/>
              <w:t>Europejskiej na drugim etapie czwartego posiedzenia Konferencji Stron Konwencji z </w:t>
            </w:r>
            <w:proofErr w:type="spellStart"/>
            <w:r w:rsidRPr="006A792F">
              <w:t>Minamaty</w:t>
            </w:r>
            <w:proofErr w:type="spellEnd"/>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5</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Motyw 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proponowany przez Komisję</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(5a</w:t>
            </w:r>
            <w:proofErr w:type="gramStart"/>
            <w:r w:rsidRPr="006A792F">
              <w:rPr>
                <w:b/>
                <w:i/>
              </w:rPr>
              <w:t>)</w:t>
            </w:r>
            <w:r w:rsidRPr="006A792F">
              <w:rPr>
                <w:b/>
                <w:i/>
              </w:rPr>
              <w:tab/>
              <w:t>Wobec</w:t>
            </w:r>
            <w:proofErr w:type="gramEnd"/>
            <w:r w:rsidRPr="006A792F">
              <w:rPr>
                <w:b/>
                <w:i/>
              </w:rPr>
              <w:t xml:space="preserve"> szkodliwego wpływu rtęci i związków rtęci na zdrowie ludzkie i środowisko należy w jak największym stopniu zminimalizować narażenie na nie i ich emisje. Najnowsze raporty pokazują, że europejskie przedsiębiorstwa produkują i eksportują związki rtęci, które służą do niedozwolonych zastosowań, zwłaszcza w kosmetykach. W związku z tym Komisja powinna przedstawić sprawozdanie z wdrażania i egzekwowania konwencji z </w:t>
            </w:r>
            <w:proofErr w:type="spellStart"/>
            <w:r w:rsidRPr="006A792F">
              <w:rPr>
                <w:b/>
                <w:i/>
              </w:rPr>
              <w:t>Minamaty</w:t>
            </w:r>
            <w:proofErr w:type="spellEnd"/>
            <w:r w:rsidRPr="006A792F">
              <w:rPr>
                <w:b/>
                <w:i/>
              </w:rPr>
              <w:t xml:space="preserve">, w szczególności w odniesieniu do stosowania rtęci i związków rtęci w kosmetykach oraz produkcji, przywozu i wywozu rtęci i związków rtęci do niedozwolonych zastosowań. Komisja powinna dokonać dokładniejszej oceny pozostałych zastosowań rtęci, na przykład w </w:t>
            </w:r>
            <w:proofErr w:type="spellStart"/>
            <w:r w:rsidRPr="006A792F">
              <w:rPr>
                <w:b/>
                <w:i/>
              </w:rPr>
              <w:t>porozymetrii</w:t>
            </w:r>
            <w:proofErr w:type="spellEnd"/>
            <w:r w:rsidRPr="006A792F">
              <w:rPr>
                <w:b/>
                <w:i/>
              </w:rPr>
              <w:t>, latarniach morskich i szczepionkach, a także zbadać potrzebę zmiany wykazu dużych źródeł odpadów oraz w stosownych przypadkach zaproponować środki mające na celu stopniową rezygnację z takich zastosowań i uregulowanie produkcji, przywozu i wywozu do takich celów.</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6</w:t>
      </w:r>
    </w:p>
    <w:p w:rsidR="00273394" w:rsidRPr="006A792F" w:rsidRDefault="00273394" w:rsidP="00273394">
      <w:pPr>
        <w:pStyle w:val="NormalBold12b"/>
      </w:pPr>
      <w:r w:rsidRPr="006A792F">
        <w:t>Wniosek dotyczący rozporządzenia</w:t>
      </w:r>
    </w:p>
    <w:p w:rsidR="00273394" w:rsidRPr="006A792F" w:rsidRDefault="00273394" w:rsidP="00273394">
      <w:pPr>
        <w:pStyle w:val="NormalBold"/>
      </w:pPr>
      <w:r w:rsidRPr="006A792F">
        <w:t>Motyw 5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394" w:rsidRPr="006A792F" w:rsidTr="00AF5621">
        <w:trPr>
          <w:trHeight w:hRule="exact" w:val="240"/>
          <w:jc w:val="center"/>
        </w:trPr>
        <w:tc>
          <w:tcPr>
            <w:tcW w:w="9752" w:type="dxa"/>
            <w:gridSpan w:val="2"/>
          </w:tcPr>
          <w:p w:rsidR="00273394" w:rsidRPr="006A792F" w:rsidRDefault="00273394" w:rsidP="00AF5621"/>
        </w:tc>
      </w:tr>
      <w:tr w:rsidR="00273394" w:rsidRPr="006A792F" w:rsidTr="00AF5621">
        <w:trPr>
          <w:trHeight w:val="240"/>
          <w:jc w:val="center"/>
        </w:trPr>
        <w:tc>
          <w:tcPr>
            <w:tcW w:w="4876" w:type="dxa"/>
          </w:tcPr>
          <w:p w:rsidR="00273394" w:rsidRPr="006A792F" w:rsidRDefault="00273394" w:rsidP="00AF5621">
            <w:pPr>
              <w:pStyle w:val="AmColumnHeading"/>
            </w:pPr>
            <w:r w:rsidRPr="006A792F">
              <w:t>Tekst proponowany przez Komisję</w:t>
            </w:r>
          </w:p>
        </w:tc>
        <w:tc>
          <w:tcPr>
            <w:tcW w:w="4876" w:type="dxa"/>
          </w:tcPr>
          <w:p w:rsidR="00273394" w:rsidRPr="006A792F" w:rsidRDefault="00273394" w:rsidP="00AF5621">
            <w:pPr>
              <w:pStyle w:val="AmColumnHeading"/>
            </w:pPr>
            <w:r w:rsidRPr="006A792F">
              <w:t>Poprawka</w:t>
            </w:r>
          </w:p>
        </w:tc>
      </w:tr>
      <w:tr w:rsidR="00273394" w:rsidRPr="006A792F" w:rsidTr="00AF5621">
        <w:trPr>
          <w:jc w:val="center"/>
        </w:trPr>
        <w:tc>
          <w:tcPr>
            <w:tcW w:w="4876" w:type="dxa"/>
          </w:tcPr>
          <w:p w:rsidR="00273394" w:rsidRPr="006A792F" w:rsidRDefault="00273394" w:rsidP="00AF5621">
            <w:pPr>
              <w:pStyle w:val="Normal6a"/>
            </w:pPr>
          </w:p>
        </w:tc>
        <w:tc>
          <w:tcPr>
            <w:tcW w:w="4876" w:type="dxa"/>
          </w:tcPr>
          <w:p w:rsidR="00273394" w:rsidRPr="006A792F" w:rsidRDefault="00273394" w:rsidP="00AF5621">
            <w:pPr>
              <w:pStyle w:val="Normal6a"/>
            </w:pPr>
            <w:r w:rsidRPr="006A792F">
              <w:rPr>
                <w:b/>
                <w:i/>
              </w:rPr>
              <w:t>(5b</w:t>
            </w:r>
            <w:proofErr w:type="gramStart"/>
            <w:r w:rsidRPr="006A792F">
              <w:rPr>
                <w:b/>
                <w:i/>
              </w:rPr>
              <w:t>)</w:t>
            </w:r>
            <w:r w:rsidRPr="006A792F">
              <w:tab/>
            </w:r>
            <w:r w:rsidRPr="006A792F">
              <w:rPr>
                <w:b/>
                <w:i/>
              </w:rPr>
              <w:t>Ze</w:t>
            </w:r>
            <w:proofErr w:type="gramEnd"/>
            <w:r w:rsidRPr="006A792F">
              <w:rPr>
                <w:b/>
                <w:i/>
              </w:rPr>
              <w:t xml:space="preserve"> względu na brak odpowiednich systemów zbiórki produktów z dodatkiem rtęci jako odpadów nieelektronicznych i </w:t>
            </w:r>
            <w:r w:rsidRPr="006A792F">
              <w:rPr>
                <w:b/>
                <w:i/>
              </w:rPr>
              <w:lastRenderedPageBreak/>
              <w:t>elektronicznych nadal występują wtórne emisje rtęci ze składowisk i spalarni odpadów, co wskazuje na potrzebę prowadzenia zbiórki takich odpadów oddzielnie i w sposób bezpieczny dla środowiska.</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7</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Artykuł 1 – akapit 1 – punkt 1 – litera a</w:t>
      </w:r>
    </w:p>
    <w:p w:rsidR="00273394" w:rsidRPr="006A792F" w:rsidRDefault="00273394" w:rsidP="00273394">
      <w:pPr>
        <w:keepNext/>
      </w:pPr>
      <w:r w:rsidRPr="006A792F">
        <w:t>Rozporządzenie (UE) 2017/852</w:t>
      </w:r>
    </w:p>
    <w:p w:rsidR="00273394" w:rsidRPr="006A792F" w:rsidRDefault="00273394" w:rsidP="00273394">
      <w:r w:rsidRPr="006A792F">
        <w:t>Artykuł 10 – ustęp 2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proponowany przez Komisję</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r w:rsidRPr="006A792F">
              <w:t>2a.</w:t>
            </w:r>
            <w:r w:rsidRPr="006A792F">
              <w:tab/>
              <w:t>Od dnia 1 stycznia 2025 r. amalgamatu stomatologicznego nie można stosować w leczeniu stomatologicznym u żadnej grupy ludności, z wyjątkiem sytuacji, w których lekarz dentysta uzna to za absolutnie niezbędne z uwagi na szczególne potrzeby medyczne pacjenta.;</w:t>
            </w:r>
          </w:p>
        </w:tc>
        <w:tc>
          <w:tcPr>
            <w:tcW w:w="4876" w:type="dxa"/>
          </w:tcPr>
          <w:p w:rsidR="00273394" w:rsidRPr="006A792F" w:rsidRDefault="00273394" w:rsidP="00AF5621">
            <w:pPr>
              <w:pStyle w:val="Normal6"/>
              <w:rPr>
                <w:szCs w:val="24"/>
              </w:rPr>
            </w:pPr>
            <w:r w:rsidRPr="006A792F">
              <w:t>2a.</w:t>
            </w:r>
            <w:r w:rsidRPr="006A792F">
              <w:tab/>
              <w:t xml:space="preserve">Od dnia 1 stycznia 2025 r. amalgamatu stomatologicznego nie można stosować w leczeniu stomatologicznym u żadnej grupy ludności, z wyjątkiem sytuacji, w których lekarz dentysta uzna to za absolutnie niezbędne z uwagi na </w:t>
            </w:r>
            <w:r w:rsidRPr="006A792F">
              <w:rPr>
                <w:b/>
                <w:bCs/>
                <w:i/>
                <w:iCs/>
              </w:rPr>
              <w:t>należycie uzasadnione</w:t>
            </w:r>
            <w:r w:rsidRPr="006A792F">
              <w:t xml:space="preserve"> szczególne potrzeby medyczne pacjenta.”;</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8</w:t>
      </w:r>
    </w:p>
    <w:p w:rsidR="00273394" w:rsidRPr="006A792F" w:rsidRDefault="00273394" w:rsidP="00273394">
      <w:pPr>
        <w:pStyle w:val="NormalBold12b"/>
      </w:pPr>
      <w:r w:rsidRPr="006A792F">
        <w:t>Wniosek dotyczący rozporządzenia</w:t>
      </w:r>
    </w:p>
    <w:p w:rsidR="00273394" w:rsidRPr="006A792F" w:rsidRDefault="00273394" w:rsidP="00273394">
      <w:pPr>
        <w:pStyle w:val="NormalBold"/>
      </w:pPr>
      <w:r w:rsidRPr="006A792F">
        <w:t>Artykuł 1 – akapit 1 – punkt 1 a (nowy)</w:t>
      </w:r>
    </w:p>
    <w:p w:rsidR="00273394" w:rsidRPr="006A792F" w:rsidRDefault="00273394" w:rsidP="00273394">
      <w:r w:rsidRPr="006A792F">
        <w:t>Rozporządzenie (UE) 2017/852</w:t>
      </w:r>
    </w:p>
    <w:p w:rsidR="00273394" w:rsidRPr="006A792F" w:rsidRDefault="00273394" w:rsidP="00273394">
      <w:r w:rsidRPr="006A792F">
        <w:t>Artykuł 11 – akapit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394" w:rsidRPr="006A792F" w:rsidTr="00AF5621">
        <w:trPr>
          <w:trHeight w:hRule="exact" w:val="240"/>
          <w:jc w:val="center"/>
        </w:trPr>
        <w:tc>
          <w:tcPr>
            <w:tcW w:w="9752" w:type="dxa"/>
            <w:gridSpan w:val="2"/>
          </w:tcPr>
          <w:p w:rsidR="00273394" w:rsidRPr="006A792F" w:rsidRDefault="00273394" w:rsidP="00AF5621"/>
        </w:tc>
      </w:tr>
      <w:tr w:rsidR="00273394" w:rsidRPr="006A792F" w:rsidTr="00AF5621">
        <w:trPr>
          <w:trHeight w:val="240"/>
          <w:jc w:val="center"/>
        </w:trPr>
        <w:tc>
          <w:tcPr>
            <w:tcW w:w="4876" w:type="dxa"/>
          </w:tcPr>
          <w:p w:rsidR="00273394" w:rsidRPr="006A792F" w:rsidRDefault="00273394" w:rsidP="00AF5621">
            <w:pPr>
              <w:pStyle w:val="AmColumnHeading"/>
            </w:pPr>
            <w:r w:rsidRPr="006A792F">
              <w:t>Tekst proponowany przez Komisję</w:t>
            </w:r>
          </w:p>
        </w:tc>
        <w:tc>
          <w:tcPr>
            <w:tcW w:w="4876" w:type="dxa"/>
          </w:tcPr>
          <w:p w:rsidR="00273394" w:rsidRPr="006A792F" w:rsidRDefault="00273394" w:rsidP="00AF5621">
            <w:pPr>
              <w:pStyle w:val="AmColumnHeading"/>
            </w:pPr>
            <w:r w:rsidRPr="006A792F">
              <w:t>Poprawka</w:t>
            </w:r>
          </w:p>
        </w:tc>
      </w:tr>
      <w:tr w:rsidR="00273394" w:rsidRPr="006A792F" w:rsidTr="00AF5621">
        <w:trPr>
          <w:jc w:val="center"/>
        </w:trPr>
        <w:tc>
          <w:tcPr>
            <w:tcW w:w="4876" w:type="dxa"/>
          </w:tcPr>
          <w:p w:rsidR="00273394" w:rsidRPr="006A792F" w:rsidRDefault="00273394" w:rsidP="00AF5621">
            <w:pPr>
              <w:pStyle w:val="Normal6a"/>
            </w:pPr>
          </w:p>
        </w:tc>
        <w:tc>
          <w:tcPr>
            <w:tcW w:w="4876" w:type="dxa"/>
          </w:tcPr>
          <w:p w:rsidR="00273394" w:rsidRPr="006A792F" w:rsidRDefault="00273394" w:rsidP="007C5E0C">
            <w:pPr>
              <w:pStyle w:val="Normal6a"/>
            </w:pPr>
            <w:r w:rsidRPr="006A792F">
              <w:rPr>
                <w:b/>
                <w:i/>
              </w:rPr>
              <w:t>1a</w:t>
            </w:r>
            <w:proofErr w:type="gramStart"/>
            <w:r w:rsidRPr="006A792F">
              <w:rPr>
                <w:b/>
                <w:i/>
              </w:rPr>
              <w:t>)</w:t>
            </w:r>
            <w:r w:rsidRPr="006A792F">
              <w:tab/>
            </w:r>
            <w:r w:rsidRPr="006A792F">
              <w:rPr>
                <w:b/>
                <w:i/>
              </w:rPr>
              <w:t>w</w:t>
            </w:r>
            <w:proofErr w:type="gramEnd"/>
            <w:r w:rsidRPr="006A792F">
              <w:rPr>
                <w:b/>
                <w:i/>
              </w:rPr>
              <w:t xml:space="preserve"> art. 11 dodaje się </w:t>
            </w:r>
            <w:r w:rsidR="007C5E0C">
              <w:rPr>
                <w:b/>
                <w:i/>
              </w:rPr>
              <w:t>akapit</w:t>
            </w:r>
            <w:r w:rsidRPr="006A792F">
              <w:rPr>
                <w:b/>
                <w:i/>
              </w:rPr>
              <w:t xml:space="preserve"> w brzmieniu:</w:t>
            </w:r>
          </w:p>
        </w:tc>
      </w:tr>
      <w:tr w:rsidR="00273394" w:rsidRPr="006A792F" w:rsidTr="00AF5621">
        <w:trPr>
          <w:jc w:val="center"/>
        </w:trPr>
        <w:tc>
          <w:tcPr>
            <w:tcW w:w="4876" w:type="dxa"/>
          </w:tcPr>
          <w:p w:rsidR="00273394" w:rsidRPr="006A792F" w:rsidRDefault="00273394" w:rsidP="00AF5621">
            <w:pPr>
              <w:pStyle w:val="Normal6a"/>
            </w:pPr>
          </w:p>
        </w:tc>
        <w:tc>
          <w:tcPr>
            <w:tcW w:w="4876" w:type="dxa"/>
          </w:tcPr>
          <w:p w:rsidR="00273394" w:rsidRPr="006A792F" w:rsidRDefault="00273394" w:rsidP="00AF5621">
            <w:pPr>
              <w:pStyle w:val="Normal6a"/>
            </w:pPr>
            <w:r w:rsidRPr="006A792F">
              <w:rPr>
                <w:b/>
                <w:i/>
              </w:rPr>
              <w:t>„Produkty z dodatkiem rtęci, które nadal znajdują się w obiegu i których nie można już używać, uznaje się za odpady i prowadzi się ich zbiórkę oddzielnie i w sposób bezpieczny dla środowiska.”;</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9</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Artykuł 1 – akapit 1 – punkt 1 b (nowy)</w:t>
      </w:r>
    </w:p>
    <w:p w:rsidR="00273394" w:rsidRPr="006A792F" w:rsidRDefault="00273394" w:rsidP="00273394">
      <w:pPr>
        <w:keepNext/>
      </w:pPr>
      <w:r w:rsidRPr="006A792F">
        <w:lastRenderedPageBreak/>
        <w:t>Rozporządzenie (UE) 2017/852</w:t>
      </w:r>
    </w:p>
    <w:p w:rsidR="00273394" w:rsidRPr="006A792F" w:rsidRDefault="00273394" w:rsidP="00273394">
      <w:r w:rsidRPr="006A792F">
        <w:t>Artykuł 18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proponowany przez Komisję</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1b</w:t>
            </w:r>
            <w:proofErr w:type="gramStart"/>
            <w:r w:rsidRPr="006A792F">
              <w:rPr>
                <w:b/>
                <w:i/>
              </w:rPr>
              <w:t>)</w:t>
            </w:r>
            <w:r w:rsidRPr="006A792F">
              <w:rPr>
                <w:b/>
                <w:i/>
              </w:rPr>
              <w:tab/>
              <w:t>w</w:t>
            </w:r>
            <w:proofErr w:type="gramEnd"/>
            <w:r w:rsidRPr="006A792F">
              <w:rPr>
                <w:b/>
                <w:i/>
              </w:rPr>
              <w:t xml:space="preserve"> art. 18 dodaje się ustęp w brzmieniu:</w:t>
            </w:r>
          </w:p>
        </w:tc>
      </w:tr>
      <w:tr w:rsidR="00273394" w:rsidRPr="006A792F" w:rsidTr="00AF5621">
        <w:trPr>
          <w:jc w:val="center"/>
        </w:trPr>
        <w:tc>
          <w:tcPr>
            <w:tcW w:w="4876" w:type="dxa"/>
          </w:tcPr>
          <w:p w:rsidR="00273394" w:rsidRPr="006A792F" w:rsidRDefault="00273394" w:rsidP="00AF5621">
            <w:pPr>
              <w:pStyle w:val="Normal6a"/>
            </w:pPr>
          </w:p>
        </w:tc>
        <w:tc>
          <w:tcPr>
            <w:tcW w:w="4876" w:type="dxa"/>
          </w:tcPr>
          <w:p w:rsidR="00273394" w:rsidRPr="006A792F" w:rsidRDefault="00273394" w:rsidP="00F4553B">
            <w:pPr>
              <w:pStyle w:val="Normal6a"/>
              <w:rPr>
                <w:szCs w:val="24"/>
              </w:rPr>
            </w:pPr>
            <w:r w:rsidRPr="006A792F">
              <w:rPr>
                <w:b/>
                <w:i/>
              </w:rPr>
              <w:t>„3a.</w:t>
            </w:r>
            <w:r w:rsidRPr="006A792F">
              <w:rPr>
                <w:b/>
                <w:i/>
              </w:rPr>
              <w:tab/>
              <w:t xml:space="preserve">Do dnia </w:t>
            </w:r>
            <w:r w:rsidR="0026112A" w:rsidRPr="006A792F">
              <w:rPr>
                <w:b/>
                <w:i/>
              </w:rPr>
              <w:t>3</w:t>
            </w:r>
            <w:r w:rsidR="0026112A">
              <w:rPr>
                <w:b/>
                <w:i/>
              </w:rPr>
              <w:t>0</w:t>
            </w:r>
            <w:r w:rsidR="0026112A" w:rsidRPr="006A792F">
              <w:rPr>
                <w:b/>
                <w:i/>
              </w:rPr>
              <w:t xml:space="preserve"> </w:t>
            </w:r>
            <w:r w:rsidRPr="006A792F">
              <w:rPr>
                <w:b/>
                <w:i/>
              </w:rPr>
              <w:t>czerwca 2024 r., a następnie co dwa lata, państwa członkowskie składają Komisji sprawozdanie na temat planowanych i wdrożonych środków mających na celu ograniczenie emisji i uwolnień rtęci z krematoriów.</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Komisja podaje do wiadomości publicznej dane dotyczące środków zgłoszonych przez państwa członkowskie zgodnie z akapitem pierwszym.”;</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10</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Artykuł 1 – akapit 1 – punkt 1 c (nowy)</w:t>
      </w:r>
    </w:p>
    <w:p w:rsidR="00273394" w:rsidRPr="006A792F" w:rsidRDefault="00273394" w:rsidP="00273394">
      <w:pPr>
        <w:keepNext/>
      </w:pPr>
      <w:r w:rsidRPr="006A792F">
        <w:t>Rozporządzenie (UE) 2017/852</w:t>
      </w:r>
    </w:p>
    <w:p w:rsidR="00273394" w:rsidRPr="006A792F" w:rsidRDefault="00273394" w:rsidP="00273394">
      <w:r w:rsidRPr="006A792F">
        <w:t>Artykuł 19 – ustęp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proponowany przez Komisję</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1c</w:t>
            </w:r>
            <w:proofErr w:type="gramStart"/>
            <w:r w:rsidRPr="006A792F">
              <w:rPr>
                <w:b/>
                <w:i/>
              </w:rPr>
              <w:t>)</w:t>
            </w:r>
            <w:r w:rsidRPr="006A792F">
              <w:rPr>
                <w:b/>
                <w:i/>
              </w:rPr>
              <w:tab/>
              <w:t>w</w:t>
            </w:r>
            <w:proofErr w:type="gramEnd"/>
            <w:r w:rsidRPr="006A792F">
              <w:rPr>
                <w:b/>
                <w:i/>
              </w:rPr>
              <w:t xml:space="preserve"> art. 19 dodaje się ustęp w brzmieniu:</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 xml:space="preserve">„1a. </w:t>
            </w:r>
            <w:r w:rsidRPr="006A792F">
              <w:rPr>
                <w:b/>
                <w:i/>
              </w:rPr>
              <w:tab/>
              <w:t>Do dnia 31 grudnia 2025 r. Komisja przedłoży Parlamentowi Europejskiemu i Radzie sprawozdanie w sprawie ograniczenia emisji i uwolnień rtęci z krematoriów na podstawie sprawozdań, o których mowa w art. 18 ust. 3a, oraz w stosownych przypadkach, z uwzględnieniem istniejących wytycznych, projekt wytycznych dotyczących technologii ograniczenia emisji, mających na celu kontrolę i ograniczenie emisji i uwolnień rtęci z krematoriów.”;</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11</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Artykuł 1 – akapit 1 – punkt 1 d (nowy)</w:t>
      </w:r>
    </w:p>
    <w:p w:rsidR="00273394" w:rsidRPr="006A792F" w:rsidRDefault="00273394" w:rsidP="00273394">
      <w:pPr>
        <w:keepNext/>
      </w:pPr>
      <w:r w:rsidRPr="006A792F">
        <w:lastRenderedPageBreak/>
        <w:t>Rozporządzenie (UE) 2017/852</w:t>
      </w:r>
    </w:p>
    <w:p w:rsidR="00273394" w:rsidRPr="006A792F" w:rsidRDefault="00273394" w:rsidP="00273394">
      <w:r w:rsidRPr="006A792F">
        <w:t>Artykuł 19 – ustęp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proponowany przez Komisję</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1d</w:t>
            </w:r>
            <w:proofErr w:type="gramStart"/>
            <w:r w:rsidRPr="006A792F">
              <w:rPr>
                <w:b/>
                <w:i/>
              </w:rPr>
              <w:t>)</w:t>
            </w:r>
            <w:r w:rsidRPr="006A792F">
              <w:rPr>
                <w:b/>
                <w:i/>
              </w:rPr>
              <w:tab/>
              <w:t>w</w:t>
            </w:r>
            <w:proofErr w:type="gramEnd"/>
            <w:r w:rsidRPr="006A792F">
              <w:rPr>
                <w:b/>
                <w:i/>
              </w:rPr>
              <w:t xml:space="preserve"> art. 19 dodaje się ustęp w brzmieniu:</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„2a.</w:t>
            </w:r>
            <w:r w:rsidRPr="006A792F">
              <w:rPr>
                <w:b/>
                <w:i/>
              </w:rPr>
              <w:tab/>
              <w:t>Do dnia 30 czerwca 2026 r. Komisja przedłoży Parlamentowi Europejskiemu i Radzie sprawozdanie oceniające wykonalność wycofania do 2030 r. zwolnień dotyczących stosowania amalgamatu stomatologicznego, o których mowa w art. 10. W sprawozdaniu tym Komisja przedstawi również wpływ na zdrowie pacjentów ogółem i pacjentów zdanych na wypełnienia z amalgamatu.</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W stosownych przypadkach wraz ze sprawozdaniem, o którym mowa w akapicie pierwszym, Komisja zaproponuje stosowne środki.</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Najpóźniej do dnia 31 grudnia 2026 r. Komisja przedstawi Parlamentowi Europejskiemu i Radzie sprawozdanie dotyczące:</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proofErr w:type="gramStart"/>
            <w:r w:rsidRPr="006A792F">
              <w:rPr>
                <w:b/>
                <w:i/>
              </w:rPr>
              <w:t>a</w:t>
            </w:r>
            <w:proofErr w:type="gramEnd"/>
            <w:r w:rsidRPr="006A792F">
              <w:rPr>
                <w:b/>
                <w:i/>
              </w:rPr>
              <w:t xml:space="preserve">) </w:t>
            </w:r>
            <w:r w:rsidRPr="006A792F">
              <w:rPr>
                <w:b/>
                <w:i/>
              </w:rPr>
              <w:tab/>
              <w:t>wdrożenia i egzekwowania konwencji, w tym w odniesieniu do stopniowego wycofania rtęci z kosmetyków przez strony konwencji do 2025 r. oraz kontroli i eliminowania produkcji, przywozu i wywozu związków rtęci na potrzeby nielegalnych praktyk w Unii i na świecie;</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b</w:t>
            </w:r>
            <w:proofErr w:type="gramStart"/>
            <w:r w:rsidRPr="006A792F">
              <w:rPr>
                <w:b/>
                <w:i/>
              </w:rPr>
              <w:t>)</w:t>
            </w:r>
            <w:r w:rsidRPr="006A792F">
              <w:rPr>
                <w:b/>
                <w:i/>
              </w:rPr>
              <w:tab/>
              <w:t xml:space="preserve"> potrzeby</w:t>
            </w:r>
            <w:proofErr w:type="gramEnd"/>
            <w:r w:rsidRPr="006A792F">
              <w:rPr>
                <w:b/>
                <w:i/>
              </w:rPr>
              <w:t xml:space="preserve"> stopniowej rezygnacji z pozostałych zastosowań rtęci, takich jak w latarniach morskich i w </w:t>
            </w:r>
            <w:proofErr w:type="spellStart"/>
            <w:r w:rsidRPr="006A792F">
              <w:rPr>
                <w:b/>
                <w:i/>
              </w:rPr>
              <w:t>porozymetrii</w:t>
            </w:r>
            <w:proofErr w:type="spellEnd"/>
            <w:r w:rsidRPr="006A792F">
              <w:rPr>
                <w:b/>
                <w:i/>
              </w:rPr>
              <w:t>;</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proofErr w:type="gramStart"/>
            <w:r w:rsidRPr="006A792F">
              <w:rPr>
                <w:b/>
                <w:i/>
              </w:rPr>
              <w:t>c</w:t>
            </w:r>
            <w:proofErr w:type="gramEnd"/>
            <w:r w:rsidRPr="006A792F">
              <w:rPr>
                <w:b/>
                <w:i/>
              </w:rPr>
              <w:t xml:space="preserve">) </w:t>
            </w:r>
            <w:r w:rsidRPr="006A792F">
              <w:rPr>
                <w:b/>
                <w:i/>
              </w:rPr>
              <w:tab/>
              <w:t>konieczności rozszerzenia wykazu źródeł odpadów rtęciowych, o których mowa w art. 11.</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iCs/>
              </w:rPr>
              <w:t xml:space="preserve">Wraz ze sprawozdaniem, o którym mowa w akapicie trzecim niniejszego ustępu, w stosownych przypadkach Komisja zaproponuje odpowiednie środki, takie jak przegląd rozporządzenia Parlamentu Europejskiego i Rady (UE) nr 649/20121a oraz ograniczenie wywozu </w:t>
            </w:r>
            <w:proofErr w:type="spellStart"/>
            <w:r w:rsidRPr="006A792F">
              <w:rPr>
                <w:b/>
                <w:i/>
                <w:iCs/>
              </w:rPr>
              <w:t>amidochlorku</w:t>
            </w:r>
            <w:proofErr w:type="spellEnd"/>
            <w:r w:rsidRPr="006A792F">
              <w:rPr>
                <w:b/>
                <w:i/>
                <w:iCs/>
              </w:rPr>
              <w:t xml:space="preserve"> rtęci</w:t>
            </w:r>
            <w:r w:rsidRPr="006A792F">
              <w:rPr>
                <w:b/>
              </w:rPr>
              <w:t xml:space="preserve"> </w:t>
            </w:r>
            <w:r w:rsidRPr="006A792F">
              <w:rPr>
                <w:b/>
                <w:i/>
              </w:rPr>
              <w:t>(</w:t>
            </w:r>
            <w:r w:rsidRPr="006A792F">
              <w:rPr>
                <w:b/>
                <w:i/>
                <w:sz w:val="21"/>
                <w:shd w:val="clear" w:color="auto" w:fill="FFFFFF"/>
              </w:rPr>
              <w:t>HgNH2</w:t>
            </w:r>
            <w:r w:rsidRPr="006A792F">
              <w:rPr>
                <w:rStyle w:val="Emphasis"/>
                <w:b/>
                <w:sz w:val="21"/>
                <w:shd w:val="clear" w:color="auto" w:fill="FFFFFF"/>
              </w:rPr>
              <w:t>Cl</w:t>
            </w:r>
            <w:r w:rsidRPr="006A792F">
              <w:rPr>
                <w:rStyle w:val="Emphasis"/>
                <w:rFonts w:ascii="Arial" w:hAnsi="Arial"/>
                <w:b/>
                <w:sz w:val="21"/>
                <w:shd w:val="clear" w:color="auto" w:fill="FFFFFF"/>
              </w:rPr>
              <w:t>)</w:t>
            </w:r>
            <w:r w:rsidRPr="006A792F">
              <w:rPr>
                <w:b/>
                <w:i/>
              </w:rPr>
              <w:t>.</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b/>
                <w:i/>
              </w:rPr>
            </w:pPr>
            <w:r w:rsidRPr="006A792F">
              <w:rPr>
                <w:b/>
                <w:i/>
              </w:rPr>
              <w:t>__________________________________</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b/>
                <w:i/>
              </w:rPr>
            </w:pPr>
            <w:r w:rsidRPr="006A792F">
              <w:rPr>
                <w:b/>
                <w:i/>
                <w:vertAlign w:val="superscript"/>
              </w:rPr>
              <w:t>1a</w:t>
            </w:r>
            <w:r w:rsidRPr="006A792F">
              <w:rPr>
                <w:b/>
                <w:i/>
              </w:rPr>
              <w:t xml:space="preserve"> Rozporządzenie Parlamentu Europejskiego i Rady (UE) nr 649/2012 z dnia 4 lipca 2012 r. dotyczące wywozu i przywozu niebezpiecznych chemikaliów (Dz.U. L 201 z 27.7.2012, </w:t>
            </w:r>
            <w:proofErr w:type="gramStart"/>
            <w:r w:rsidRPr="006A792F">
              <w:rPr>
                <w:b/>
                <w:i/>
              </w:rPr>
              <w:t>s</w:t>
            </w:r>
            <w:proofErr w:type="gramEnd"/>
            <w:r w:rsidRPr="006A792F">
              <w:rPr>
                <w:b/>
                <w:i/>
              </w:rPr>
              <w:t>. 60).”.</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12</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Artykuł 1 – akapit 1 – punkt 1 e (nowy)</w:t>
      </w:r>
    </w:p>
    <w:p w:rsidR="00273394" w:rsidRPr="006A792F" w:rsidRDefault="00273394" w:rsidP="00273394">
      <w:pPr>
        <w:keepNext/>
      </w:pPr>
      <w:r w:rsidRPr="006A792F">
        <w:t>Rozporządzenie (UE) 2017/852</w:t>
      </w:r>
    </w:p>
    <w:p w:rsidR="00273394" w:rsidRPr="006A792F" w:rsidRDefault="00273394" w:rsidP="00273394">
      <w:r w:rsidRPr="006A792F">
        <w:t>Artykuł 19 – ustęp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keepNext/>
            </w:pPr>
          </w:p>
        </w:tc>
      </w:tr>
      <w:tr w:rsidR="00273394" w:rsidRPr="006A792F" w:rsidTr="00AF5621">
        <w:trPr>
          <w:jc w:val="center"/>
        </w:trPr>
        <w:tc>
          <w:tcPr>
            <w:tcW w:w="4876" w:type="dxa"/>
          </w:tcPr>
          <w:p w:rsidR="00273394" w:rsidRPr="006A792F" w:rsidRDefault="00273394" w:rsidP="00AF5621">
            <w:pPr>
              <w:pStyle w:val="ColumnHeading"/>
              <w:keepNext/>
            </w:pPr>
            <w:r w:rsidRPr="006A792F">
              <w:t>Tekst obowiązujący</w:t>
            </w:r>
          </w:p>
        </w:tc>
        <w:tc>
          <w:tcPr>
            <w:tcW w:w="4876" w:type="dxa"/>
          </w:tcPr>
          <w:p w:rsidR="00273394" w:rsidRPr="006A792F" w:rsidRDefault="00273394" w:rsidP="00AF5621">
            <w:pPr>
              <w:pStyle w:val="ColumnHeading"/>
              <w:keepNext/>
            </w:pPr>
            <w:r w:rsidRPr="006A792F">
              <w:t>Poprawka</w:t>
            </w:r>
          </w:p>
        </w:tc>
      </w:tr>
      <w:tr w:rsidR="00273394" w:rsidRPr="006A792F" w:rsidTr="00AF5621">
        <w:trPr>
          <w:jc w:val="center"/>
        </w:trPr>
        <w:tc>
          <w:tcPr>
            <w:tcW w:w="4876" w:type="dxa"/>
          </w:tcPr>
          <w:p w:rsidR="00273394" w:rsidRPr="006A792F" w:rsidRDefault="00273394" w:rsidP="00AF5621">
            <w:pPr>
              <w:pStyle w:val="Normal6"/>
            </w:pPr>
          </w:p>
        </w:tc>
        <w:tc>
          <w:tcPr>
            <w:tcW w:w="4876" w:type="dxa"/>
          </w:tcPr>
          <w:p w:rsidR="00273394" w:rsidRPr="006A792F" w:rsidRDefault="00273394" w:rsidP="00AF5621">
            <w:pPr>
              <w:pStyle w:val="Normal6"/>
              <w:rPr>
                <w:szCs w:val="24"/>
              </w:rPr>
            </w:pPr>
            <w:r w:rsidRPr="006A792F">
              <w:rPr>
                <w:b/>
                <w:i/>
              </w:rPr>
              <w:t>1</w:t>
            </w:r>
            <w:r w:rsidR="00D06771">
              <w:rPr>
                <w:b/>
                <w:i/>
              </w:rPr>
              <w:t>e</w:t>
            </w:r>
            <w:proofErr w:type="gramStart"/>
            <w:r w:rsidRPr="006A792F">
              <w:rPr>
                <w:b/>
                <w:i/>
              </w:rPr>
              <w:t>)</w:t>
            </w:r>
            <w:r w:rsidRPr="006A792F">
              <w:rPr>
                <w:b/>
                <w:i/>
              </w:rPr>
              <w:tab/>
              <w:t>art</w:t>
            </w:r>
            <w:proofErr w:type="gramEnd"/>
            <w:r w:rsidRPr="006A792F">
              <w:rPr>
                <w:b/>
                <w:i/>
              </w:rPr>
              <w:t>. 19 ust. 3 otrzymuje brzmienie:</w:t>
            </w:r>
          </w:p>
        </w:tc>
      </w:tr>
      <w:tr w:rsidR="00273394" w:rsidRPr="006A792F" w:rsidTr="00AF5621">
        <w:trPr>
          <w:jc w:val="center"/>
        </w:trPr>
        <w:tc>
          <w:tcPr>
            <w:tcW w:w="4876" w:type="dxa"/>
          </w:tcPr>
          <w:p w:rsidR="00273394" w:rsidRPr="006A792F" w:rsidRDefault="00273394" w:rsidP="00AF5621">
            <w:pPr>
              <w:pStyle w:val="Normal6"/>
            </w:pPr>
            <w:r w:rsidRPr="006A792F">
              <w:t xml:space="preserve">3. </w:t>
            </w:r>
            <w:r w:rsidRPr="006A792F">
              <w:rPr>
                <w:b/>
                <w:i/>
              </w:rPr>
              <w:tab/>
            </w:r>
            <w:r w:rsidRPr="006A792F">
              <w:t xml:space="preserve">W stosownych przypadkach Komisja przedstawia wniosek ustawodawczy wraz ze swoimi sprawozdaniami, o których mowa w </w:t>
            </w:r>
            <w:r w:rsidRPr="006A792F">
              <w:rPr>
                <w:b/>
                <w:i/>
              </w:rPr>
              <w:t>ust. 1 i 2</w:t>
            </w:r>
            <w:r w:rsidRPr="006A792F">
              <w:t>.</w:t>
            </w:r>
          </w:p>
        </w:tc>
        <w:tc>
          <w:tcPr>
            <w:tcW w:w="4876" w:type="dxa"/>
          </w:tcPr>
          <w:p w:rsidR="00273394" w:rsidRPr="006A792F" w:rsidRDefault="00273394" w:rsidP="00AF5621">
            <w:pPr>
              <w:pStyle w:val="Normal6"/>
              <w:rPr>
                <w:szCs w:val="24"/>
              </w:rPr>
            </w:pPr>
            <w:r w:rsidRPr="006A792F">
              <w:rPr>
                <w:b/>
                <w:i/>
              </w:rPr>
              <w:t>„3.</w:t>
            </w:r>
            <w:r w:rsidRPr="006A792F">
              <w:t xml:space="preserve"> </w:t>
            </w:r>
            <w:r w:rsidRPr="006A792F">
              <w:rPr>
                <w:b/>
                <w:i/>
              </w:rPr>
              <w:tab/>
            </w:r>
            <w:r w:rsidRPr="006A792F">
              <w:t xml:space="preserve">W stosownych przypadkach Komisja przedstawia wniosek ustawodawczy wraz ze swoimi sprawozdaniami, o których mowa w </w:t>
            </w:r>
            <w:r w:rsidRPr="006A792F">
              <w:rPr>
                <w:b/>
                <w:i/>
              </w:rPr>
              <w:t>niniejszym artykule</w:t>
            </w:r>
            <w:r w:rsidRPr="006A792F">
              <w:t>.</w:t>
            </w:r>
            <w:r w:rsidRPr="006A792F">
              <w:rPr>
                <w:b/>
                <w:i/>
              </w:rPr>
              <w:t>”;</w:t>
            </w:r>
          </w:p>
        </w:tc>
      </w:tr>
    </w:tbl>
    <w:p w:rsidR="00273394" w:rsidRPr="006A792F" w:rsidRDefault="00273394" w:rsidP="00273394">
      <w:bookmarkStart w:id="8" w:name="_GoBack"/>
      <w:bookmarkEnd w:id="8"/>
    </w:p>
    <w:p w:rsidR="00273394" w:rsidRPr="006A792F" w:rsidRDefault="00273394" w:rsidP="00273394">
      <w:pPr>
        <w:pStyle w:val="AmNumberTabs"/>
      </w:pPr>
      <w:r w:rsidRPr="006A792F">
        <w:t>Poprawka</w:t>
      </w:r>
      <w:r w:rsidRPr="006A792F">
        <w:tab/>
      </w:r>
      <w:r w:rsidRPr="006A792F">
        <w:tab/>
        <w:t>13</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Załącznik – akapit 1 – punkt 2</w:t>
      </w:r>
    </w:p>
    <w:p w:rsidR="00273394" w:rsidRPr="006A792F" w:rsidRDefault="00273394" w:rsidP="00273394">
      <w:pPr>
        <w:keepNext/>
      </w:pPr>
      <w:r w:rsidRPr="006A792F">
        <w:t>Rozporządzenie (UE) 2017/852</w:t>
      </w:r>
    </w:p>
    <w:p w:rsidR="00273394" w:rsidRPr="006A792F" w:rsidRDefault="00273394" w:rsidP="00273394">
      <w:r w:rsidRPr="006A792F">
        <w:t>Załącznik II – część A – pozycja 4a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pStyle w:val="ColumnHeading"/>
              <w:keepNext/>
            </w:pPr>
            <w:r w:rsidRPr="006A792F">
              <w:t>Tekst proponowany przez Komisję</w:t>
            </w:r>
          </w:p>
        </w:tc>
      </w:tr>
      <w:tr w:rsidR="00273394" w:rsidRPr="006A792F" w:rsidTr="00AF5621">
        <w:trPr>
          <w:jc w:val="center"/>
        </w:trPr>
        <w:tc>
          <w:tcPr>
            <w:tcW w:w="4876" w:type="dxa"/>
          </w:tcPr>
          <w:p w:rsidR="00273394" w:rsidRPr="006A792F" w:rsidRDefault="00273394" w:rsidP="00AF5621">
            <w:pPr>
              <w:pStyle w:val="Normal6a"/>
              <w:rPr>
                <w:noProof/>
              </w:rPr>
            </w:pPr>
            <w:r w:rsidRPr="006A792F">
              <w:t>„4a. Lampy z luminoforem trójpasmowym stosowane na potrzeby oświetlenia ogólnego nieobjęte pozycją 4 lit. a).</w:t>
            </w:r>
          </w:p>
        </w:tc>
        <w:tc>
          <w:tcPr>
            <w:tcW w:w="4876" w:type="dxa"/>
          </w:tcPr>
          <w:p w:rsidR="00273394" w:rsidRPr="006A792F" w:rsidRDefault="00273394" w:rsidP="00AF5621">
            <w:pPr>
              <w:pStyle w:val="Normal6a"/>
              <w:jc w:val="center"/>
              <w:rPr>
                <w:noProof/>
                <w:szCs w:val="24"/>
              </w:rPr>
            </w:pPr>
            <w:r w:rsidRPr="006A792F">
              <w:rPr>
                <w:b/>
                <w:i/>
                <w:sz w:val="20"/>
              </w:rPr>
              <w:t>31.12.2027</w:t>
            </w:r>
          </w:p>
        </w:tc>
      </w:tr>
      <w:tr w:rsidR="00273394" w:rsidRPr="006A792F" w:rsidTr="00AF5621">
        <w:trPr>
          <w:jc w:val="center"/>
        </w:trPr>
        <w:tc>
          <w:tcPr>
            <w:tcW w:w="9752" w:type="dxa"/>
            <w:gridSpan w:val="2"/>
          </w:tcPr>
          <w:p w:rsidR="00273394" w:rsidRPr="006A792F" w:rsidRDefault="00273394" w:rsidP="00AF5621">
            <w:pPr>
              <w:pStyle w:val="ColumnHeading"/>
              <w:keepNext/>
              <w:rPr>
                <w:szCs w:val="24"/>
              </w:rPr>
            </w:pPr>
            <w:r w:rsidRPr="006A792F">
              <w:t>Poprawka</w:t>
            </w:r>
          </w:p>
        </w:tc>
      </w:tr>
      <w:tr w:rsidR="00273394" w:rsidRPr="006A792F" w:rsidTr="00AF5621">
        <w:trPr>
          <w:jc w:val="center"/>
        </w:trPr>
        <w:tc>
          <w:tcPr>
            <w:tcW w:w="4876" w:type="dxa"/>
          </w:tcPr>
          <w:p w:rsidR="00273394" w:rsidRPr="006A792F" w:rsidRDefault="00273394" w:rsidP="00AF5621">
            <w:pPr>
              <w:pStyle w:val="Normal6a"/>
              <w:rPr>
                <w:noProof/>
              </w:rPr>
            </w:pPr>
            <w:r w:rsidRPr="006A792F">
              <w:t>„4a. Lampy z luminoforem trójpasmowym stosowane na potrzeby oświetlenia ogólnego nieobjęte pozycją 4 lit. a).</w:t>
            </w:r>
          </w:p>
        </w:tc>
        <w:tc>
          <w:tcPr>
            <w:tcW w:w="4876" w:type="dxa"/>
          </w:tcPr>
          <w:p w:rsidR="00273394" w:rsidRPr="006A792F" w:rsidRDefault="00273394" w:rsidP="00AF5621">
            <w:pPr>
              <w:pStyle w:val="Normal6a"/>
              <w:jc w:val="center"/>
              <w:rPr>
                <w:noProof/>
                <w:szCs w:val="24"/>
              </w:rPr>
            </w:pPr>
            <w:r w:rsidRPr="006A792F">
              <w:rPr>
                <w:b/>
                <w:i/>
                <w:sz w:val="20"/>
              </w:rPr>
              <w:t>31.12.2025</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14</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Załącznik – akapit 1 – punkt 2</w:t>
      </w:r>
    </w:p>
    <w:p w:rsidR="00273394" w:rsidRPr="006A792F" w:rsidRDefault="00273394" w:rsidP="00273394">
      <w:pPr>
        <w:keepNext/>
      </w:pPr>
      <w:r w:rsidRPr="006A792F">
        <w:lastRenderedPageBreak/>
        <w:t>Rozporządzenie (UE) 2017/852</w:t>
      </w:r>
    </w:p>
    <w:p w:rsidR="00273394" w:rsidRPr="006A792F" w:rsidRDefault="00273394" w:rsidP="00273394">
      <w:r w:rsidRPr="006A792F">
        <w:t>Załącznik II – część A – pozycja 4c</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pStyle w:val="ColumnHeading"/>
              <w:keepNext/>
            </w:pPr>
            <w:r w:rsidRPr="006A792F">
              <w:t>Tekst proponowany przez Komisję</w:t>
            </w:r>
          </w:p>
        </w:tc>
      </w:tr>
      <w:tr w:rsidR="00273394" w:rsidRPr="006A792F" w:rsidTr="00AF5621">
        <w:trPr>
          <w:jc w:val="center"/>
        </w:trPr>
        <w:tc>
          <w:tcPr>
            <w:tcW w:w="4876" w:type="dxa"/>
          </w:tcPr>
          <w:p w:rsidR="00273394" w:rsidRPr="006A792F" w:rsidRDefault="00273394" w:rsidP="00AF5621">
            <w:pPr>
              <w:pStyle w:val="Normal6a"/>
              <w:rPr>
                <w:noProof/>
              </w:rPr>
            </w:pPr>
            <w:r w:rsidRPr="006A792F">
              <w:t>4c. Lampy inne niż liniowe z luminoforem trójpasmowym.</w:t>
            </w:r>
          </w:p>
        </w:tc>
        <w:tc>
          <w:tcPr>
            <w:tcW w:w="4876" w:type="dxa"/>
          </w:tcPr>
          <w:p w:rsidR="00273394" w:rsidRPr="006A792F" w:rsidRDefault="00273394" w:rsidP="00AF5621">
            <w:pPr>
              <w:pStyle w:val="Normal6a"/>
              <w:jc w:val="center"/>
              <w:rPr>
                <w:noProof/>
                <w:szCs w:val="24"/>
              </w:rPr>
            </w:pPr>
            <w:r w:rsidRPr="006A792F">
              <w:rPr>
                <w:b/>
                <w:i/>
                <w:sz w:val="20"/>
              </w:rPr>
              <w:t>31.12.2027</w:t>
            </w:r>
          </w:p>
        </w:tc>
      </w:tr>
      <w:tr w:rsidR="00273394" w:rsidRPr="006A792F" w:rsidTr="00AF5621">
        <w:trPr>
          <w:jc w:val="center"/>
        </w:trPr>
        <w:tc>
          <w:tcPr>
            <w:tcW w:w="9752" w:type="dxa"/>
            <w:gridSpan w:val="2"/>
          </w:tcPr>
          <w:p w:rsidR="00273394" w:rsidRPr="006A792F" w:rsidRDefault="00273394" w:rsidP="00AF5621">
            <w:pPr>
              <w:pStyle w:val="ColumnHeading"/>
              <w:keepNext/>
              <w:rPr>
                <w:szCs w:val="24"/>
              </w:rPr>
            </w:pPr>
            <w:r w:rsidRPr="006A792F">
              <w:t>Poprawka</w:t>
            </w:r>
          </w:p>
        </w:tc>
      </w:tr>
      <w:tr w:rsidR="00273394" w:rsidRPr="006A792F" w:rsidTr="00AF5621">
        <w:trPr>
          <w:jc w:val="center"/>
        </w:trPr>
        <w:tc>
          <w:tcPr>
            <w:tcW w:w="4876" w:type="dxa"/>
          </w:tcPr>
          <w:p w:rsidR="00273394" w:rsidRPr="006A792F" w:rsidRDefault="00273394" w:rsidP="00AF5621">
            <w:pPr>
              <w:pStyle w:val="Normal6a"/>
            </w:pPr>
            <w:r w:rsidRPr="006A792F">
              <w:t>4c. Lampy inne niż liniowe z luminoforem trójpasmowym.</w:t>
            </w:r>
          </w:p>
        </w:tc>
        <w:tc>
          <w:tcPr>
            <w:tcW w:w="4876" w:type="dxa"/>
          </w:tcPr>
          <w:p w:rsidR="00273394" w:rsidRPr="006A792F" w:rsidRDefault="00273394" w:rsidP="00AF5621">
            <w:pPr>
              <w:pStyle w:val="Normal6a"/>
              <w:jc w:val="center"/>
            </w:pPr>
            <w:r w:rsidRPr="006A792F">
              <w:rPr>
                <w:b/>
                <w:i/>
                <w:sz w:val="20"/>
              </w:rPr>
              <w:t>31.12.2025</w:t>
            </w:r>
          </w:p>
        </w:tc>
      </w:tr>
    </w:tbl>
    <w:p w:rsidR="00273394" w:rsidRPr="006A792F" w:rsidRDefault="00273394" w:rsidP="00273394"/>
    <w:p w:rsidR="00273394" w:rsidRPr="006A792F" w:rsidRDefault="00273394" w:rsidP="00273394">
      <w:pPr>
        <w:pStyle w:val="AmNumberTabs"/>
      </w:pPr>
      <w:r w:rsidRPr="006A792F">
        <w:t>Poprawka</w:t>
      </w:r>
      <w:r w:rsidRPr="006A792F">
        <w:tab/>
      </w:r>
      <w:r w:rsidRPr="006A792F">
        <w:tab/>
        <w:t>15</w:t>
      </w:r>
    </w:p>
    <w:p w:rsidR="00273394" w:rsidRPr="006A792F" w:rsidRDefault="00273394" w:rsidP="00273394"/>
    <w:p w:rsidR="00273394" w:rsidRPr="006A792F" w:rsidRDefault="00273394" w:rsidP="00273394">
      <w:pPr>
        <w:pStyle w:val="NormalBold"/>
        <w:keepNext/>
      </w:pPr>
      <w:r w:rsidRPr="006A792F">
        <w:t>Wniosek dotyczący rozporządzenia</w:t>
      </w:r>
    </w:p>
    <w:p w:rsidR="00273394" w:rsidRPr="006A792F" w:rsidRDefault="00273394" w:rsidP="00273394">
      <w:pPr>
        <w:pStyle w:val="NormalBold"/>
      </w:pPr>
      <w:r w:rsidRPr="006A792F">
        <w:t>Załącznik – akapit 1 – punkt 3</w:t>
      </w:r>
    </w:p>
    <w:p w:rsidR="00273394" w:rsidRPr="006A792F" w:rsidRDefault="00273394" w:rsidP="00273394">
      <w:pPr>
        <w:keepNext/>
      </w:pPr>
      <w:r w:rsidRPr="006A792F">
        <w:t>Rozporządzenie (UE) 2017/852</w:t>
      </w:r>
    </w:p>
    <w:p w:rsidR="00273394" w:rsidRPr="006A792F" w:rsidRDefault="00273394" w:rsidP="00273394">
      <w:r w:rsidRPr="006A792F">
        <w:t>Załącznik II – część A – pozycja 5a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273394" w:rsidRPr="006A792F" w:rsidTr="00AF5621">
        <w:trPr>
          <w:jc w:val="center"/>
        </w:trPr>
        <w:tc>
          <w:tcPr>
            <w:tcW w:w="9752" w:type="dxa"/>
            <w:gridSpan w:val="2"/>
          </w:tcPr>
          <w:p w:rsidR="00273394" w:rsidRPr="006A792F" w:rsidRDefault="00273394" w:rsidP="00AF5621">
            <w:pPr>
              <w:pStyle w:val="ColumnHeading"/>
              <w:keepNext/>
            </w:pPr>
            <w:r w:rsidRPr="006A792F">
              <w:t>Tekst proponowany przez Komisję</w:t>
            </w:r>
          </w:p>
        </w:tc>
      </w:tr>
      <w:tr w:rsidR="00273394" w:rsidRPr="006A792F" w:rsidTr="00AF5621">
        <w:trPr>
          <w:jc w:val="center"/>
        </w:trPr>
        <w:tc>
          <w:tcPr>
            <w:tcW w:w="4876" w:type="dxa"/>
          </w:tcPr>
          <w:p w:rsidR="00273394" w:rsidRPr="006A792F" w:rsidRDefault="00273394" w:rsidP="00AF5621">
            <w:pPr>
              <w:pStyle w:val="Normal6a"/>
              <w:jc w:val="center"/>
              <w:rPr>
                <w:noProof/>
              </w:rPr>
            </w:pPr>
            <w:r w:rsidRPr="006A792F">
              <w:t>5a. Wysokoprężne lampy rtęciowo-sodowe (HPMV) na potrzeby oświetlenia ogólnego.</w:t>
            </w:r>
          </w:p>
        </w:tc>
        <w:tc>
          <w:tcPr>
            <w:tcW w:w="4876" w:type="dxa"/>
          </w:tcPr>
          <w:p w:rsidR="00273394" w:rsidRPr="006A792F" w:rsidRDefault="00273394" w:rsidP="00AF5621">
            <w:pPr>
              <w:pStyle w:val="Normal6a"/>
              <w:jc w:val="center"/>
              <w:rPr>
                <w:noProof/>
              </w:rPr>
            </w:pPr>
            <w:r w:rsidRPr="006A792F">
              <w:t>31.12.2025</w:t>
            </w:r>
          </w:p>
        </w:tc>
      </w:tr>
      <w:tr w:rsidR="00273394" w:rsidRPr="006A792F" w:rsidTr="00AF5621">
        <w:trPr>
          <w:jc w:val="center"/>
        </w:trPr>
        <w:tc>
          <w:tcPr>
            <w:tcW w:w="9752" w:type="dxa"/>
            <w:gridSpan w:val="2"/>
          </w:tcPr>
          <w:p w:rsidR="00273394" w:rsidRPr="006A792F" w:rsidRDefault="00273394" w:rsidP="00AF5621">
            <w:pPr>
              <w:pStyle w:val="ColumnHeading"/>
              <w:keepNext/>
              <w:rPr>
                <w:szCs w:val="24"/>
              </w:rPr>
            </w:pPr>
            <w:r w:rsidRPr="006A792F">
              <w:t>Poprawka</w:t>
            </w:r>
          </w:p>
        </w:tc>
      </w:tr>
      <w:tr w:rsidR="00273394" w:rsidRPr="006A792F" w:rsidTr="00AF5621">
        <w:trPr>
          <w:jc w:val="center"/>
        </w:trPr>
        <w:tc>
          <w:tcPr>
            <w:tcW w:w="4876" w:type="dxa"/>
          </w:tcPr>
          <w:p w:rsidR="00273394" w:rsidRPr="006A792F" w:rsidRDefault="00273394" w:rsidP="00AF5621">
            <w:pPr>
              <w:jc w:val="center"/>
              <w:rPr>
                <w:rFonts w:eastAsia="Arial"/>
                <w:b/>
                <w:i/>
              </w:rPr>
            </w:pPr>
            <w:r w:rsidRPr="006A792F">
              <w:t>5a. Wysokoprężne lampy rtęciowo-sodowe (HPMV) na potrzeby oświetlenia ogólnego</w:t>
            </w:r>
            <w:r w:rsidRPr="006A792F">
              <w:rPr>
                <w:b/>
                <w:bCs/>
                <w:i/>
                <w:iCs/>
              </w:rPr>
              <w:t>, gdy przy</w:t>
            </w:r>
            <w:r w:rsidRPr="006A792F">
              <w:t>:</w:t>
            </w:r>
          </w:p>
          <w:p w:rsidR="00273394" w:rsidRPr="006A792F" w:rsidRDefault="00273394" w:rsidP="00AF5621">
            <w:pPr>
              <w:jc w:val="center"/>
              <w:rPr>
                <w:rFonts w:eastAsia="Arial"/>
                <w:b/>
                <w:i/>
              </w:rPr>
            </w:pPr>
          </w:p>
          <w:p w:rsidR="00273394" w:rsidRPr="006A792F" w:rsidRDefault="00273394" w:rsidP="00AF5621">
            <w:pPr>
              <w:widowControl/>
              <w:spacing w:after="120"/>
              <w:ind w:left="714" w:hanging="357"/>
              <w:jc w:val="center"/>
              <w:rPr>
                <w:rFonts w:eastAsia="Arial"/>
                <w:b/>
                <w:i/>
                <w:color w:val="000000"/>
              </w:rPr>
            </w:pPr>
            <w:r w:rsidRPr="006A792F">
              <w:rPr>
                <w:b/>
                <w:i/>
                <w:color w:val="000000"/>
              </w:rPr>
              <w:t>a</w:t>
            </w:r>
            <w:proofErr w:type="gramStart"/>
            <w:r w:rsidRPr="006A792F">
              <w:rPr>
                <w:b/>
                <w:i/>
                <w:color w:val="000000"/>
              </w:rPr>
              <w:t>)</w:t>
            </w:r>
            <w:r w:rsidRPr="006A792F">
              <w:rPr>
                <w:b/>
                <w:i/>
                <w:color w:val="000000"/>
              </w:rPr>
              <w:tab/>
              <w:t>P</w:t>
            </w:r>
            <w:proofErr w:type="gramEnd"/>
            <w:r w:rsidRPr="006A792F">
              <w:rPr>
                <w:b/>
                <w:i/>
                <w:color w:val="000000"/>
              </w:rPr>
              <w:t xml:space="preserve"> ≤ 105 W ilość Hg przekracza 16 mg;</w:t>
            </w:r>
          </w:p>
          <w:p w:rsidR="00273394" w:rsidRPr="006A792F" w:rsidRDefault="00273394" w:rsidP="00AF5621">
            <w:pPr>
              <w:widowControl/>
              <w:spacing w:after="120"/>
              <w:ind w:left="714" w:hanging="357"/>
              <w:jc w:val="center"/>
              <w:rPr>
                <w:rFonts w:eastAsia="Arial"/>
                <w:b/>
                <w:i/>
                <w:color w:val="000000"/>
              </w:rPr>
            </w:pPr>
            <w:r w:rsidRPr="006A792F">
              <w:rPr>
                <w:b/>
                <w:i/>
                <w:color w:val="000000"/>
              </w:rPr>
              <w:t>b</w:t>
            </w:r>
            <w:proofErr w:type="gramStart"/>
            <w:r w:rsidRPr="006A792F">
              <w:rPr>
                <w:b/>
                <w:i/>
                <w:color w:val="000000"/>
              </w:rPr>
              <w:t>)</w:t>
            </w:r>
            <w:r w:rsidRPr="006A792F">
              <w:rPr>
                <w:b/>
                <w:i/>
                <w:color w:val="000000"/>
              </w:rPr>
              <w:tab/>
              <w:t>105 W</w:t>
            </w:r>
            <w:proofErr w:type="gramEnd"/>
            <w:r w:rsidRPr="006A792F">
              <w:rPr>
                <w:b/>
                <w:i/>
                <w:color w:val="000000"/>
              </w:rPr>
              <w:t xml:space="preserve"> &lt; P ≤ 155 W ilość Hg przekracza 20 mg;</w:t>
            </w:r>
          </w:p>
          <w:p w:rsidR="00273394" w:rsidRPr="006A792F" w:rsidRDefault="00273394" w:rsidP="00AF5621">
            <w:pPr>
              <w:widowControl/>
              <w:spacing w:after="120"/>
              <w:ind w:left="714" w:hanging="357"/>
              <w:jc w:val="center"/>
              <w:rPr>
                <w:rFonts w:eastAsia="Arial"/>
                <w:b/>
                <w:i/>
                <w:color w:val="000000"/>
              </w:rPr>
            </w:pPr>
            <w:r w:rsidRPr="006A792F">
              <w:rPr>
                <w:b/>
                <w:i/>
                <w:color w:val="000000"/>
              </w:rPr>
              <w:t>c</w:t>
            </w:r>
            <w:proofErr w:type="gramStart"/>
            <w:r w:rsidRPr="006A792F">
              <w:rPr>
                <w:b/>
                <w:i/>
                <w:color w:val="000000"/>
              </w:rPr>
              <w:t>)</w:t>
            </w:r>
            <w:r w:rsidRPr="006A792F">
              <w:rPr>
                <w:b/>
                <w:i/>
                <w:color w:val="000000"/>
              </w:rPr>
              <w:tab/>
              <w:t>P</w:t>
            </w:r>
            <w:proofErr w:type="gramEnd"/>
            <w:r w:rsidRPr="006A792F">
              <w:rPr>
                <w:b/>
                <w:i/>
                <w:color w:val="000000"/>
              </w:rPr>
              <w:t xml:space="preserve"> &gt; 155 W ilość Hg przekracza 25 mg.</w:t>
            </w:r>
          </w:p>
        </w:tc>
        <w:tc>
          <w:tcPr>
            <w:tcW w:w="4876" w:type="dxa"/>
          </w:tcPr>
          <w:p w:rsidR="00273394" w:rsidRPr="006A792F" w:rsidRDefault="00273394" w:rsidP="00AF5621">
            <w:pPr>
              <w:pStyle w:val="Normal6a"/>
              <w:jc w:val="center"/>
              <w:rPr>
                <w:noProof/>
              </w:rPr>
            </w:pPr>
            <w:r w:rsidRPr="006A792F">
              <w:t>31.12.2025</w:t>
            </w:r>
          </w:p>
        </w:tc>
      </w:tr>
    </w:tbl>
    <w:p w:rsidR="00E365E1" w:rsidRPr="006A792F" w:rsidRDefault="00E365E1" w:rsidP="002618FF">
      <w:bookmarkStart w:id="9" w:name="TextBodyEnd"/>
      <w:bookmarkEnd w:id="9"/>
    </w:p>
    <w:sectPr w:rsidR="00E365E1" w:rsidRPr="006A792F" w:rsidSect="006A79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8FF" w:rsidRPr="006A792F" w:rsidRDefault="002618FF">
      <w:r w:rsidRPr="006A792F">
        <w:separator/>
      </w:r>
    </w:p>
  </w:endnote>
  <w:endnote w:type="continuationSeparator" w:id="0">
    <w:p w:rsidR="002618FF" w:rsidRPr="006A792F" w:rsidRDefault="002618FF">
      <w:r w:rsidRPr="006A79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9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9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9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8FF" w:rsidRPr="006A792F" w:rsidRDefault="002618FF">
      <w:r w:rsidRPr="006A792F">
        <w:separator/>
      </w:r>
    </w:p>
  </w:footnote>
  <w:footnote w:type="continuationSeparator" w:id="0">
    <w:p w:rsidR="002618FF" w:rsidRPr="006A792F" w:rsidRDefault="002618FF">
      <w:r w:rsidRPr="006A792F">
        <w:continuationSeparator/>
      </w:r>
    </w:p>
  </w:footnote>
  <w:footnote w:id="1">
    <w:p w:rsidR="0026112A" w:rsidRPr="006F4AF1" w:rsidRDefault="0026112A" w:rsidP="0026112A">
      <w:pPr>
        <w:pStyle w:val="FootnoteText"/>
        <w:ind w:left="357" w:hanging="357"/>
        <w:rPr>
          <w:lang w:val="pl-PL"/>
        </w:rPr>
      </w:pPr>
      <w:r>
        <w:rPr>
          <w:rStyle w:val="FootnoteReference"/>
        </w:rPr>
        <w:footnoteRef/>
      </w:r>
      <w:r w:rsidRPr="004011EA">
        <w:rPr>
          <w:lang w:val="pl-PL"/>
        </w:rPr>
        <w:t xml:space="preserve"> </w:t>
      </w:r>
      <w:r w:rsidRPr="004011EA">
        <w:rPr>
          <w:lang w:val="pl-PL"/>
        </w:rPr>
        <w:tab/>
      </w:r>
      <w:r>
        <w:rPr>
          <w:lang w:val="pl-PL"/>
        </w:rPr>
        <w:t>Sprawa została odesłana do komisji właściwej w celu przeprowadzenia negocjacji międzyinstytucjonalnych na podstawie art. 59 ust. 4 akapit czwarty Regulaminu (A9-0002/2024).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9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9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9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PL"/>
    <w:docVar w:name="dvnumam" w:val="15"/>
    <w:docVar w:name="dvpe" w:val="753.554"/>
    <w:docVar w:name="dvrapporteur" w:val="Sprawozdawca: "/>
    <w:docVar w:name="dvstar" w:val="***I"/>
    <w:docVar w:name="dvtitre" w:val="Rezolucja ustawodawcza Parlamentu Europejskiego z dnia  2024 r. w sprawie wniosku dotyczącego rozporządzenia Parlamentu Europejskiego i Rady zmieniającego rozporządzenie Parlamentu Europejskiego i Rady (UE) 2017/852 z dnia 17 maja 2017 r. w sprawie rtęci w odniesieniu do amalgamatu stomatologicznego i innych produktów z dodatkiem rtęci objętych ograniczeniami produkcji oraz ograniczeniami przywozowymi i wywozowymi(COM(2023)0395 – C9-0309/2023 – 2023/0272(COD))"/>
  </w:docVars>
  <w:rsids>
    <w:rsidRoot w:val="002618FF"/>
    <w:rsid w:val="00002272"/>
    <w:rsid w:val="00064002"/>
    <w:rsid w:val="000677B9"/>
    <w:rsid w:val="000831BA"/>
    <w:rsid w:val="000A42CC"/>
    <w:rsid w:val="000E7DD9"/>
    <w:rsid w:val="0010095E"/>
    <w:rsid w:val="0010471E"/>
    <w:rsid w:val="00125B37"/>
    <w:rsid w:val="00187494"/>
    <w:rsid w:val="001F32AE"/>
    <w:rsid w:val="0026112A"/>
    <w:rsid w:val="002618FF"/>
    <w:rsid w:val="00273394"/>
    <w:rsid w:val="002767FF"/>
    <w:rsid w:val="002B18FE"/>
    <w:rsid w:val="002B5493"/>
    <w:rsid w:val="00343214"/>
    <w:rsid w:val="00361C00"/>
    <w:rsid w:val="00373D5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90E"/>
    <w:rsid w:val="006037C0"/>
    <w:rsid w:val="006631B6"/>
    <w:rsid w:val="00680577"/>
    <w:rsid w:val="006A792F"/>
    <w:rsid w:val="006F74FA"/>
    <w:rsid w:val="00731ADD"/>
    <w:rsid w:val="00734777"/>
    <w:rsid w:val="00747932"/>
    <w:rsid w:val="00751A4A"/>
    <w:rsid w:val="00756632"/>
    <w:rsid w:val="00762C74"/>
    <w:rsid w:val="00786EC0"/>
    <w:rsid w:val="007C5E0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77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53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8DC355-3568-4D95-B12F-2D0B99871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73394"/>
    <w:pPr>
      <w:spacing w:after="120"/>
    </w:pPr>
  </w:style>
  <w:style w:type="paragraph" w:customStyle="1" w:styleId="NormalBold">
    <w:name w:val="NormalBold"/>
    <w:basedOn w:val="Normal"/>
    <w:link w:val="NormalBoldChar"/>
    <w:rsid w:val="00273394"/>
    <w:rPr>
      <w:b/>
    </w:rPr>
  </w:style>
  <w:style w:type="paragraph" w:customStyle="1" w:styleId="NormalHanging12a">
    <w:name w:val="NormalHanging12a"/>
    <w:basedOn w:val="Normal"/>
    <w:rsid w:val="00273394"/>
    <w:pPr>
      <w:spacing w:after="240"/>
      <w:ind w:left="567" w:hanging="567"/>
    </w:pPr>
  </w:style>
  <w:style w:type="paragraph" w:customStyle="1" w:styleId="AmColumnHeading">
    <w:name w:val="AmColumnHeading"/>
    <w:basedOn w:val="Normal"/>
    <w:rsid w:val="00273394"/>
    <w:pPr>
      <w:spacing w:after="240"/>
      <w:jc w:val="center"/>
    </w:pPr>
    <w:rPr>
      <w:i/>
    </w:rPr>
  </w:style>
  <w:style w:type="paragraph" w:customStyle="1" w:styleId="AmNumberTabs">
    <w:name w:val="AmNumberTabs"/>
    <w:basedOn w:val="Normal"/>
    <w:link w:val="AmNumberTabsChar"/>
    <w:rsid w:val="002733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73394"/>
    <w:pPr>
      <w:spacing w:before="240"/>
    </w:pPr>
    <w:rPr>
      <w:b/>
    </w:rPr>
  </w:style>
  <w:style w:type="paragraph" w:customStyle="1" w:styleId="EPComma">
    <w:name w:val="EPComma"/>
    <w:basedOn w:val="Normal"/>
    <w:rsid w:val="00273394"/>
    <w:pPr>
      <w:spacing w:before="480" w:after="240"/>
    </w:pPr>
  </w:style>
  <w:style w:type="character" w:customStyle="1" w:styleId="Normal6Char">
    <w:name w:val="Normal6 Char"/>
    <w:basedOn w:val="DefaultParagraphFont"/>
    <w:link w:val="Normal6"/>
    <w:locked/>
    <w:rsid w:val="00273394"/>
    <w:rPr>
      <w:sz w:val="24"/>
      <w:lang w:val="pl-PL"/>
    </w:rPr>
  </w:style>
  <w:style w:type="paragraph" w:customStyle="1" w:styleId="Normal6">
    <w:name w:val="Normal6"/>
    <w:basedOn w:val="Normal"/>
    <w:link w:val="Normal6Char"/>
    <w:rsid w:val="00273394"/>
    <w:pPr>
      <w:spacing w:after="120"/>
    </w:pPr>
  </w:style>
  <w:style w:type="character" w:customStyle="1" w:styleId="NormalBoldChar">
    <w:name w:val="NormalBold Char"/>
    <w:basedOn w:val="DefaultParagraphFont"/>
    <w:link w:val="NormalBold"/>
    <w:locked/>
    <w:rsid w:val="00273394"/>
    <w:rPr>
      <w:b/>
      <w:sz w:val="24"/>
      <w:lang w:val="pl-PL"/>
    </w:rPr>
  </w:style>
  <w:style w:type="paragraph" w:customStyle="1" w:styleId="ColumnHeading">
    <w:name w:val="ColumnHeading"/>
    <w:basedOn w:val="Normal"/>
    <w:rsid w:val="00273394"/>
    <w:pPr>
      <w:spacing w:after="240"/>
      <w:jc w:val="center"/>
    </w:pPr>
    <w:rPr>
      <w:i/>
    </w:rPr>
  </w:style>
  <w:style w:type="character" w:customStyle="1" w:styleId="AmNumberTabsChar">
    <w:name w:val="AmNumberTabs Char"/>
    <w:basedOn w:val="DefaultParagraphFont"/>
    <w:link w:val="AmNumberTabs"/>
    <w:rsid w:val="00273394"/>
    <w:rPr>
      <w:b/>
      <w:sz w:val="24"/>
      <w:lang w:val="pl-PL"/>
    </w:rPr>
  </w:style>
  <w:style w:type="character" w:customStyle="1" w:styleId="NormalBold12bChar">
    <w:name w:val="NormalBold12b Char"/>
    <w:basedOn w:val="AmNumberTabsChar"/>
    <w:link w:val="NormalBold12b"/>
    <w:rsid w:val="00273394"/>
    <w:rPr>
      <w:b/>
      <w:sz w:val="24"/>
      <w:lang w:val="pl-PL"/>
    </w:rPr>
  </w:style>
  <w:style w:type="character" w:styleId="Emphasis">
    <w:name w:val="Emphasis"/>
    <w:basedOn w:val="DefaultParagraphFont"/>
    <w:uiPriority w:val="20"/>
    <w:qFormat/>
    <w:rsid w:val="00273394"/>
    <w:rPr>
      <w:i/>
      <w:iCs/>
    </w:rPr>
  </w:style>
  <w:style w:type="paragraph" w:customStyle="1" w:styleId="CrossRef">
    <w:name w:val="CrossRef"/>
    <w:basedOn w:val="Normal"/>
    <w:rsid w:val="00273394"/>
    <w:pPr>
      <w:spacing w:before="240"/>
      <w:jc w:val="center"/>
    </w:pPr>
    <w:rPr>
      <w:i/>
    </w:rPr>
  </w:style>
  <w:style w:type="paragraph" w:customStyle="1" w:styleId="AmDocTypeTab">
    <w:name w:val="AmDocTypeTab"/>
    <w:basedOn w:val="Normal"/>
    <w:rsid w:val="0026112A"/>
    <w:pPr>
      <w:tabs>
        <w:tab w:val="right" w:pos="9070"/>
      </w:tabs>
    </w:pPr>
    <w:rPr>
      <w:b/>
      <w:szCs w:val="24"/>
      <w:lang w:eastAsia="en-US"/>
    </w:rPr>
  </w:style>
  <w:style w:type="paragraph" w:customStyle="1" w:styleId="Normal12a">
    <w:name w:val="Normal12a"/>
    <w:basedOn w:val="Normal"/>
    <w:rsid w:val="0026112A"/>
    <w:pPr>
      <w:spacing w:after="24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9414F-E442-4083-BEA0-53C5C3C8F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2339</Words>
  <Characters>15075</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2024-05-29T09:44:00Z</dcterms:created>
  <dcterms:modified xsi:type="dcterms:W3CDTF">2024-05-29T09:44:00Z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P9_TA(2024)0019_</vt:lpwstr>
  </property>
  <property fmtid="{D5CDD505-2E9C-101B-9397-08002B2CF9AE}" pid="4" name="&lt;Type&gt;">
    <vt:lpwstr>RR</vt:lpwstr>
  </property>
</Properties>
</file>