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80753" w14:paraId="6BF1F6F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C1048C6" w14:textId="77777777" w:rsidR="00751A4A" w:rsidRPr="00C80753" w:rsidRDefault="004D05A0" w:rsidP="0010095E">
            <w:pPr>
              <w:pStyle w:val="EPName"/>
            </w:pPr>
            <w:r w:rsidRPr="00C80753">
              <w:t>Parlamento Europeu</w:t>
            </w:r>
          </w:p>
          <w:p w14:paraId="67C483A8" w14:textId="77777777" w:rsidR="00751A4A" w:rsidRPr="00C8075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80753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78FBB8EB" w14:textId="77777777" w:rsidR="00751A4A" w:rsidRPr="00C80753" w:rsidRDefault="00187494" w:rsidP="0010095E">
            <w:pPr>
              <w:pStyle w:val="EPLogo"/>
            </w:pPr>
            <w:r w:rsidRPr="00C80753">
              <w:rPr>
                <w:noProof/>
                <w:lang w:val="en-GB"/>
              </w:rPr>
              <w:drawing>
                <wp:inline distT="0" distB="0" distL="0" distR="0" wp14:anchorId="7EB34EBE" wp14:editId="3FE0CA5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C9D7692" w14:textId="77777777" w:rsidR="00D058B8" w:rsidRPr="00C80753" w:rsidRDefault="00D058B8" w:rsidP="004C5D52">
      <w:pPr>
        <w:pStyle w:val="LineTop"/>
      </w:pPr>
    </w:p>
    <w:p w14:paraId="7FDA8219" w14:textId="77777777" w:rsidR="00680577" w:rsidRPr="00C80753" w:rsidRDefault="004D05A0" w:rsidP="00680577">
      <w:pPr>
        <w:pStyle w:val="EPBodyTA1"/>
      </w:pPr>
      <w:r w:rsidRPr="00C80753">
        <w:t>TEXTOS APROVADOS</w:t>
      </w:r>
    </w:p>
    <w:p w14:paraId="7CBDE8B9" w14:textId="77777777" w:rsidR="00D058B8" w:rsidRPr="00C80753" w:rsidRDefault="00D058B8" w:rsidP="00D058B8">
      <w:pPr>
        <w:pStyle w:val="LineBottom"/>
      </w:pPr>
    </w:p>
    <w:p w14:paraId="1C95F3ED" w14:textId="0ACF9087" w:rsidR="004D05A0" w:rsidRPr="00C80753" w:rsidRDefault="004D05A0" w:rsidP="004D05A0">
      <w:pPr>
        <w:pStyle w:val="ATHeading1"/>
      </w:pPr>
      <w:bookmarkStart w:id="0" w:name="TANumber"/>
      <w:r w:rsidRPr="00C80753">
        <w:t>P9_</w:t>
      </w:r>
      <w:proofErr w:type="gramStart"/>
      <w:r w:rsidRPr="00C80753">
        <w:t>TA(</w:t>
      </w:r>
      <w:proofErr w:type="gramEnd"/>
      <w:r w:rsidRPr="00C80753">
        <w:t>2024)00</w:t>
      </w:r>
      <w:r w:rsidR="00F744C3">
        <w:t>19</w:t>
      </w:r>
      <w:bookmarkEnd w:id="0"/>
    </w:p>
    <w:p w14:paraId="3FBB822C" w14:textId="77777777" w:rsidR="004D05A0" w:rsidRPr="00C80753" w:rsidRDefault="004D05A0" w:rsidP="004D05A0">
      <w:pPr>
        <w:pStyle w:val="ATHeading2"/>
      </w:pPr>
      <w:bookmarkStart w:id="1" w:name="title"/>
      <w:r w:rsidRPr="00C80753">
        <w:t>Mercúrio: amálgamas dentárias e outros produtos com mercúrio adicionado sujeitos a restrições de fabrico, importação e exportação</w:t>
      </w:r>
      <w:bookmarkEnd w:id="1"/>
    </w:p>
    <w:p w14:paraId="177D98DF" w14:textId="77777777" w:rsidR="004D05A0" w:rsidRPr="00C80753" w:rsidRDefault="004D05A0" w:rsidP="004D05A0">
      <w:pPr>
        <w:rPr>
          <w:i/>
          <w:vanish/>
        </w:rPr>
      </w:pPr>
      <w:r w:rsidRPr="00C80753">
        <w:rPr>
          <w:i/>
        </w:rPr>
        <w:fldChar w:fldCharType="begin"/>
      </w:r>
      <w:r w:rsidRPr="00C80753">
        <w:rPr>
          <w:i/>
        </w:rPr>
        <w:instrText xml:space="preserve"> TC"(</w:instrText>
      </w:r>
      <w:bookmarkStart w:id="2" w:name="DocNumber"/>
      <w:r w:rsidRPr="00C80753">
        <w:rPr>
          <w:i/>
        </w:rPr>
        <w:instrText>A9-0002/2024</w:instrText>
      </w:r>
      <w:bookmarkEnd w:id="2"/>
      <w:r w:rsidRPr="00C80753">
        <w:rPr>
          <w:i/>
        </w:rPr>
        <w:instrText xml:space="preserve"> - Relatora: Marlene </w:instrText>
      </w:r>
      <w:proofErr w:type="spellStart"/>
      <w:r w:rsidRPr="00C80753">
        <w:rPr>
          <w:i/>
        </w:rPr>
        <w:instrText>Mortler</w:instrText>
      </w:r>
      <w:proofErr w:type="spellEnd"/>
      <w:r w:rsidRPr="00C80753">
        <w:rPr>
          <w:i/>
        </w:rPr>
        <w:instrText xml:space="preserve">)"\l3 \n&gt; \* MERGEFORMAT </w:instrText>
      </w:r>
      <w:r w:rsidRPr="00C80753">
        <w:rPr>
          <w:i/>
        </w:rPr>
        <w:fldChar w:fldCharType="end"/>
      </w:r>
    </w:p>
    <w:p w14:paraId="485E500B" w14:textId="77777777" w:rsidR="004D05A0" w:rsidRPr="00C80753" w:rsidRDefault="004D05A0" w:rsidP="004D05A0">
      <w:pPr>
        <w:rPr>
          <w:vanish/>
        </w:rPr>
      </w:pPr>
      <w:bookmarkStart w:id="3" w:name="Commission"/>
      <w:r w:rsidRPr="00C80753">
        <w:rPr>
          <w:vanish/>
        </w:rPr>
        <w:t>Comissão do Ambiente, da Saúde Pública e da Segurança Alimentar</w:t>
      </w:r>
      <w:bookmarkEnd w:id="3"/>
    </w:p>
    <w:p w14:paraId="65319634" w14:textId="77777777" w:rsidR="004D05A0" w:rsidRPr="00C80753" w:rsidRDefault="004D05A0" w:rsidP="004D05A0">
      <w:pPr>
        <w:rPr>
          <w:vanish/>
        </w:rPr>
      </w:pPr>
      <w:bookmarkStart w:id="4" w:name="PE"/>
      <w:r w:rsidRPr="00C80753">
        <w:rPr>
          <w:vanish/>
        </w:rPr>
        <w:t>PE753.554</w:t>
      </w:r>
      <w:bookmarkEnd w:id="4"/>
    </w:p>
    <w:p w14:paraId="3A5C2B6C" w14:textId="2C2A2195" w:rsidR="004D05A0" w:rsidRPr="00C80753" w:rsidRDefault="00F744C3" w:rsidP="004D05A0">
      <w:pPr>
        <w:pStyle w:val="ATHeading3"/>
      </w:pPr>
      <w:bookmarkStart w:id="5" w:name="Sujet"/>
      <w:r>
        <w:t>Alterações aprovadas pelo</w:t>
      </w:r>
      <w:r w:rsidR="004D05A0" w:rsidRPr="00C80753">
        <w:t xml:space="preserve"> Parlamento Europeu, </w:t>
      </w:r>
      <w:r>
        <w:t>em</w:t>
      </w:r>
      <w:r w:rsidR="004D05A0" w:rsidRPr="00C80753">
        <w:t xml:space="preserve"> </w:t>
      </w:r>
      <w:r w:rsidR="005D28EF">
        <w:t>17</w:t>
      </w:r>
      <w:r w:rsidR="004D05A0" w:rsidRPr="00C80753">
        <w:t xml:space="preserve"> de </w:t>
      </w:r>
      <w:r w:rsidR="005D28EF">
        <w:t>janeiro</w:t>
      </w:r>
      <w:r w:rsidR="004D05A0" w:rsidRPr="00C80753">
        <w:t xml:space="preserve"> de 2024, sobre a proposta de regulamento do Parlamento Europeu e do Conselho que altera o Regulamento (UE) 2017/852 do Parlamento Europeu e do Conselho, de 17 de maio de 2017, relativo ao mercúrio no que respeita às amálgamas dentárias e a outros produtos com mercúrio adicionado sujeitos a restrições de fabrico, importação e exportação</w:t>
      </w:r>
      <w:bookmarkEnd w:id="5"/>
      <w:r w:rsidR="004D05A0" w:rsidRPr="00C80753">
        <w:t xml:space="preserve"> </w:t>
      </w:r>
      <w:bookmarkStart w:id="6" w:name="References"/>
      <w:r w:rsidR="004D05A0" w:rsidRPr="00C80753">
        <w:t>(COM(2023)0395 – C9-0309/2023 – 2023/0272(COD))</w:t>
      </w:r>
      <w:bookmarkEnd w:id="6"/>
      <w:r>
        <w:rPr>
          <w:rStyle w:val="FootnoteReference"/>
        </w:rPr>
        <w:footnoteReference w:id="1"/>
      </w:r>
    </w:p>
    <w:p w14:paraId="7CFAA29A" w14:textId="77777777" w:rsidR="004D05A0" w:rsidRPr="00C80753" w:rsidRDefault="004D05A0" w:rsidP="004D05A0"/>
    <w:p w14:paraId="363CDC04" w14:textId="108C8433" w:rsidR="00875D9A" w:rsidRPr="00C80753" w:rsidRDefault="00875D9A" w:rsidP="00875D9A">
      <w:pPr>
        <w:pStyle w:val="NormalBold"/>
      </w:pPr>
      <w:bookmarkStart w:id="7" w:name="TextBodyBegin"/>
      <w:bookmarkEnd w:id="7"/>
      <w:r w:rsidRPr="00C80753">
        <w:t>(Processo legislativo ordinário: primeira leitura)</w:t>
      </w:r>
    </w:p>
    <w:p w14:paraId="1692A8E9" w14:textId="77777777" w:rsidR="00875D9A" w:rsidRPr="00DF35A3" w:rsidRDefault="00875D9A" w:rsidP="00875D9A"/>
    <w:p w14:paraId="13669E2E" w14:textId="77777777" w:rsidR="00875D9A" w:rsidRPr="00C80753" w:rsidRDefault="00875D9A" w:rsidP="00875D9A">
      <w:r w:rsidRPr="00C80753">
        <w:br w:type="page"/>
      </w:r>
    </w:p>
    <w:p w14:paraId="62CF12A4" w14:textId="77777777" w:rsidR="00875D9A" w:rsidRPr="00C80753" w:rsidRDefault="00875D9A" w:rsidP="00875D9A"/>
    <w:p w14:paraId="3D0B05CE" w14:textId="77777777" w:rsidR="00875D9A" w:rsidRPr="00C80753" w:rsidRDefault="00875D9A" w:rsidP="00875D9A">
      <w:pPr>
        <w:pStyle w:val="AmNumberTabs"/>
      </w:pPr>
      <w:r w:rsidRPr="00C80753">
        <w:t>Alteração</w:t>
      </w:r>
      <w:r w:rsidRPr="00C80753">
        <w:tab/>
      </w:r>
      <w:r w:rsidRPr="00C80753">
        <w:tab/>
        <w:t>1</w:t>
      </w:r>
    </w:p>
    <w:p w14:paraId="6AEA7CB6" w14:textId="77777777" w:rsidR="00875D9A" w:rsidRPr="00C80753" w:rsidRDefault="00875D9A" w:rsidP="00875D9A"/>
    <w:p w14:paraId="40BF39E5" w14:textId="77777777" w:rsidR="00875D9A" w:rsidRPr="00C80753" w:rsidRDefault="00875D9A" w:rsidP="00875D9A">
      <w:pPr>
        <w:pStyle w:val="NormalBold"/>
        <w:keepNext/>
      </w:pPr>
      <w:r w:rsidRPr="00C80753">
        <w:t>Proposta de regulamento</w:t>
      </w:r>
    </w:p>
    <w:p w14:paraId="031CCFB3" w14:textId="77777777" w:rsidR="00875D9A" w:rsidRPr="00C80753" w:rsidRDefault="00875D9A" w:rsidP="00875D9A">
      <w:pPr>
        <w:pStyle w:val="NormalBold"/>
      </w:pPr>
      <w:r w:rsidRPr="00C80753">
        <w:t>Considerando 1-A (novo)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875D9A" w:rsidRPr="00C80753" w14:paraId="7EE82EFD" w14:textId="77777777" w:rsidTr="007034AA">
        <w:trPr>
          <w:jc w:val="center"/>
        </w:trPr>
        <w:tc>
          <w:tcPr>
            <w:tcW w:w="9752" w:type="dxa"/>
            <w:gridSpan w:val="2"/>
          </w:tcPr>
          <w:p w14:paraId="0358C0C6" w14:textId="77777777" w:rsidR="00875D9A" w:rsidRPr="00C80753" w:rsidRDefault="00875D9A" w:rsidP="007034AA">
            <w:pPr>
              <w:keepNext/>
            </w:pPr>
          </w:p>
        </w:tc>
      </w:tr>
      <w:tr w:rsidR="00875D9A" w:rsidRPr="00C80753" w14:paraId="4AA23DEC" w14:textId="77777777" w:rsidTr="007034AA">
        <w:trPr>
          <w:jc w:val="center"/>
        </w:trPr>
        <w:tc>
          <w:tcPr>
            <w:tcW w:w="4876" w:type="dxa"/>
          </w:tcPr>
          <w:p w14:paraId="2C5FA68C" w14:textId="77777777" w:rsidR="00875D9A" w:rsidRPr="00C80753" w:rsidRDefault="00875D9A" w:rsidP="007034AA">
            <w:pPr>
              <w:pStyle w:val="ColumnHeading"/>
              <w:keepNext/>
            </w:pPr>
            <w:r w:rsidRPr="00C80753">
              <w:t>Texto da Comissão</w:t>
            </w:r>
          </w:p>
        </w:tc>
        <w:tc>
          <w:tcPr>
            <w:tcW w:w="4876" w:type="dxa"/>
          </w:tcPr>
          <w:p w14:paraId="6C852325" w14:textId="77777777" w:rsidR="00875D9A" w:rsidRPr="00C80753" w:rsidRDefault="00875D9A" w:rsidP="007034AA">
            <w:pPr>
              <w:pStyle w:val="ColumnHeading"/>
              <w:keepNext/>
            </w:pPr>
            <w:r w:rsidRPr="00C80753">
              <w:t>Alteração</w:t>
            </w:r>
          </w:p>
        </w:tc>
      </w:tr>
      <w:tr w:rsidR="00875D9A" w:rsidRPr="00C80753" w14:paraId="69A0B40C" w14:textId="77777777" w:rsidTr="007034AA">
        <w:trPr>
          <w:jc w:val="center"/>
        </w:trPr>
        <w:tc>
          <w:tcPr>
            <w:tcW w:w="4876" w:type="dxa"/>
          </w:tcPr>
          <w:p w14:paraId="4D2E6DC3" w14:textId="77777777" w:rsidR="00875D9A" w:rsidRPr="00C80753" w:rsidRDefault="00875D9A" w:rsidP="007034AA">
            <w:pPr>
              <w:pStyle w:val="Normal6"/>
            </w:pPr>
          </w:p>
        </w:tc>
        <w:tc>
          <w:tcPr>
            <w:tcW w:w="4876" w:type="dxa"/>
          </w:tcPr>
          <w:p w14:paraId="0935A251" w14:textId="77777777" w:rsidR="00875D9A" w:rsidRPr="00C80753" w:rsidRDefault="00875D9A" w:rsidP="007034AA">
            <w:pPr>
              <w:pStyle w:val="Normal6"/>
              <w:rPr>
                <w:szCs w:val="24"/>
              </w:rPr>
            </w:pPr>
            <w:r w:rsidRPr="00C80753">
              <w:rPr>
                <w:b/>
                <w:i/>
              </w:rPr>
              <w:t>(1-A)</w:t>
            </w:r>
            <w:r w:rsidRPr="00C80753">
              <w:rPr>
                <w:b/>
                <w:i/>
              </w:rPr>
              <w:tab/>
              <w:t>O mercúrio é uma substância química preocupante para o ambiente a nível mundial, devido à sua propagação atmosférica a longa distância, à sua persistência no ambiente por introdução antropogénica e à sua capacidade de bioacumulação nos ecossistemas. O mercúrio também tem efeitos negativos significativos na saúde humana e é transferido das mães para as crianças através da placenta ou da amamentação. A poluição por mercúrio do ambiente pode resultar de atividades antropogénicas, incluindo uma insuficiente gestão dos resíduos de mercúrio, a cremação ou a aplicação incorreta de separadores obrigatórios nos consultórios dentários.</w:t>
            </w:r>
          </w:p>
        </w:tc>
      </w:tr>
    </w:tbl>
    <w:p w14:paraId="55281A28" w14:textId="77777777" w:rsidR="00875D9A" w:rsidRPr="00C80753" w:rsidRDefault="00875D9A" w:rsidP="00875D9A"/>
    <w:p w14:paraId="7E805CA6" w14:textId="77777777" w:rsidR="00875D9A" w:rsidRPr="00C80753" w:rsidRDefault="00875D9A" w:rsidP="00875D9A">
      <w:pPr>
        <w:pStyle w:val="AmNumberTabs"/>
      </w:pPr>
      <w:r w:rsidRPr="00C80753">
        <w:t>Alteração</w:t>
      </w:r>
      <w:r w:rsidRPr="00C80753">
        <w:tab/>
      </w:r>
      <w:r w:rsidRPr="00C80753">
        <w:tab/>
        <w:t>2</w:t>
      </w:r>
    </w:p>
    <w:p w14:paraId="1D6F50A1" w14:textId="77777777" w:rsidR="00875D9A" w:rsidRPr="00C80753" w:rsidRDefault="00875D9A" w:rsidP="00875D9A"/>
    <w:p w14:paraId="527501EF" w14:textId="77777777" w:rsidR="00875D9A" w:rsidRPr="00C80753" w:rsidRDefault="00875D9A" w:rsidP="00875D9A">
      <w:pPr>
        <w:pStyle w:val="NormalBold"/>
        <w:keepNext/>
      </w:pPr>
      <w:r w:rsidRPr="00C80753">
        <w:t>Proposta de regulamento</w:t>
      </w:r>
    </w:p>
    <w:p w14:paraId="6DD818AB" w14:textId="77777777" w:rsidR="00875D9A" w:rsidRPr="00C80753" w:rsidRDefault="00875D9A" w:rsidP="00875D9A">
      <w:pPr>
        <w:pStyle w:val="NormalBold"/>
      </w:pPr>
      <w:r w:rsidRPr="00C80753">
        <w:t>Considerando 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875D9A" w:rsidRPr="00C80753" w14:paraId="6460F89B" w14:textId="77777777" w:rsidTr="007034AA">
        <w:trPr>
          <w:jc w:val="center"/>
        </w:trPr>
        <w:tc>
          <w:tcPr>
            <w:tcW w:w="9752" w:type="dxa"/>
            <w:gridSpan w:val="2"/>
          </w:tcPr>
          <w:p w14:paraId="16375913" w14:textId="77777777" w:rsidR="00875D9A" w:rsidRPr="00C80753" w:rsidRDefault="00875D9A" w:rsidP="007034AA">
            <w:pPr>
              <w:keepNext/>
            </w:pPr>
          </w:p>
        </w:tc>
      </w:tr>
      <w:tr w:rsidR="00875D9A" w:rsidRPr="00C80753" w14:paraId="4981896D" w14:textId="77777777" w:rsidTr="007034AA">
        <w:trPr>
          <w:jc w:val="center"/>
        </w:trPr>
        <w:tc>
          <w:tcPr>
            <w:tcW w:w="4876" w:type="dxa"/>
          </w:tcPr>
          <w:p w14:paraId="772E2FD1" w14:textId="77777777" w:rsidR="00875D9A" w:rsidRPr="00C80753" w:rsidRDefault="00875D9A" w:rsidP="007034AA">
            <w:pPr>
              <w:pStyle w:val="ColumnHeading"/>
              <w:keepNext/>
            </w:pPr>
            <w:r w:rsidRPr="00C80753">
              <w:t>Texto da Comissão</w:t>
            </w:r>
          </w:p>
        </w:tc>
        <w:tc>
          <w:tcPr>
            <w:tcW w:w="4876" w:type="dxa"/>
          </w:tcPr>
          <w:p w14:paraId="41ED5924" w14:textId="77777777" w:rsidR="00875D9A" w:rsidRPr="00C80753" w:rsidRDefault="00875D9A" w:rsidP="007034AA">
            <w:pPr>
              <w:pStyle w:val="ColumnHeading"/>
              <w:keepNext/>
            </w:pPr>
            <w:r w:rsidRPr="00C80753">
              <w:t>Alteração</w:t>
            </w:r>
          </w:p>
        </w:tc>
      </w:tr>
      <w:tr w:rsidR="00875D9A" w:rsidRPr="00C80753" w14:paraId="2239DACE" w14:textId="77777777" w:rsidTr="007034AA">
        <w:trPr>
          <w:jc w:val="center"/>
        </w:trPr>
        <w:tc>
          <w:tcPr>
            <w:tcW w:w="4876" w:type="dxa"/>
          </w:tcPr>
          <w:p w14:paraId="09820227" w14:textId="77777777" w:rsidR="00875D9A" w:rsidRPr="00C80753" w:rsidRDefault="00875D9A" w:rsidP="007034AA">
            <w:pPr>
              <w:pStyle w:val="Normal6"/>
            </w:pPr>
            <w:proofErr w:type="gramStart"/>
            <w:r w:rsidRPr="00C80753">
              <w:t>(4)</w:t>
            </w:r>
            <w:r w:rsidRPr="00C80753">
              <w:tab/>
              <w:t>Tendo</w:t>
            </w:r>
            <w:proofErr w:type="gramEnd"/>
            <w:r w:rsidRPr="00C80753">
              <w:t xml:space="preserve"> em conta a disponibilidade de alternativas sem mercúrio, é adequado proibir a utilização de amálgama dentária para tratamentos dentários de todos os membros da população, mantendo simultaneamente a possibilidade de utilizar amálgamas dentárias para tratamento de doentes com necessidades médicas específicas. A fim de evitar o fabrico de amálgama dentária para exportação a partir da União estando esta proibida no mercado da União, torna-se necessário proibir o fabrico e exportação de amálgama dentária. O artigo 10.º do Regulamento (UE) </w:t>
            </w:r>
            <w:r w:rsidRPr="00C80753">
              <w:lastRenderedPageBreak/>
              <w:t>2017/852 deve, por conseguinte, ser alterado em conformidade.</w:t>
            </w:r>
          </w:p>
        </w:tc>
        <w:tc>
          <w:tcPr>
            <w:tcW w:w="4876" w:type="dxa"/>
          </w:tcPr>
          <w:p w14:paraId="5B9946B1" w14:textId="77777777" w:rsidR="00875D9A" w:rsidRPr="00C80753" w:rsidRDefault="00875D9A" w:rsidP="007034AA">
            <w:pPr>
              <w:pStyle w:val="Normal6"/>
              <w:rPr>
                <w:szCs w:val="24"/>
              </w:rPr>
            </w:pPr>
            <w:proofErr w:type="gramStart"/>
            <w:r w:rsidRPr="00C80753">
              <w:lastRenderedPageBreak/>
              <w:t>(4)</w:t>
            </w:r>
            <w:r w:rsidRPr="00C80753">
              <w:tab/>
              <w:t>Tendo</w:t>
            </w:r>
            <w:proofErr w:type="gramEnd"/>
            <w:r w:rsidRPr="00C80753">
              <w:t xml:space="preserve"> em conta a disponibilidade de alternativas sem mercúrio, </w:t>
            </w:r>
            <w:r w:rsidRPr="00C80753">
              <w:rPr>
                <w:b/>
                <w:i/>
              </w:rPr>
              <w:t xml:space="preserve">a acessibilidade dos preços dos materiais alternativos e a atual transição para obturações sem mercúrio em muitos Estados-Membros, </w:t>
            </w:r>
            <w:r w:rsidRPr="00C80753">
              <w:t>é adequado proibir a utilização de amálgama dentária para tratamentos dentários de todos os membros da população, mantendo simultaneamente a possibilidade de utilizar amálgamas dentárias para tratamento de doentes com necessidades médicas específicas</w:t>
            </w:r>
            <w:r w:rsidRPr="00C80753">
              <w:rPr>
                <w:b/>
                <w:i/>
              </w:rPr>
              <w:t xml:space="preserve">. A transição para alternativas sem mercúrio nas obturações dentárias já avançou em </w:t>
            </w:r>
            <w:r w:rsidRPr="00C80753">
              <w:rPr>
                <w:b/>
                <w:i/>
              </w:rPr>
              <w:lastRenderedPageBreak/>
              <w:t>muitos Estados-Membros, o que realça a viabilidade e a necessidade dessa proibição para evitar uma maior poluição por mercúrio de forma eficaz em termos de custos</w:t>
            </w:r>
            <w:r w:rsidRPr="00C80753">
              <w:t>.</w:t>
            </w:r>
            <w:r w:rsidRPr="00C80753">
              <w:rPr>
                <w:b/>
                <w:i/>
              </w:rPr>
              <w:t xml:space="preserve"> </w:t>
            </w:r>
            <w:r w:rsidRPr="00C80753">
              <w:t>A fim de evitar o fabrico de amálgama dentária para exportação a partir da União estando esta proibida no mercado da União, torna-se necessário proibir o fabrico e exportação de amálgama dentária. O artigo 10.º do Regulamento (UE) 2017/852 deve, por conseguinte, ser alterado em conformidade.</w:t>
            </w:r>
          </w:p>
        </w:tc>
      </w:tr>
    </w:tbl>
    <w:p w14:paraId="208BD6E5" w14:textId="77777777" w:rsidR="00875D9A" w:rsidRPr="00C80753" w:rsidRDefault="00875D9A" w:rsidP="00875D9A"/>
    <w:p w14:paraId="2FBFE2AA" w14:textId="77777777" w:rsidR="00875D9A" w:rsidRPr="00C80753" w:rsidRDefault="00875D9A" w:rsidP="00875D9A">
      <w:pPr>
        <w:pStyle w:val="AmNumberTabs"/>
      </w:pPr>
      <w:r w:rsidRPr="00C80753">
        <w:t>Alteração</w:t>
      </w:r>
      <w:r w:rsidRPr="00C80753">
        <w:tab/>
      </w:r>
      <w:r w:rsidRPr="00C80753">
        <w:tab/>
        <w:t>3</w:t>
      </w:r>
    </w:p>
    <w:p w14:paraId="6F675491" w14:textId="77777777" w:rsidR="00875D9A" w:rsidRPr="00C80753" w:rsidRDefault="00875D9A" w:rsidP="00875D9A"/>
    <w:p w14:paraId="6A244372" w14:textId="77777777" w:rsidR="00875D9A" w:rsidRPr="00C80753" w:rsidRDefault="00875D9A" w:rsidP="00875D9A">
      <w:pPr>
        <w:pStyle w:val="NormalBold"/>
        <w:keepNext/>
      </w:pPr>
      <w:r w:rsidRPr="00C80753">
        <w:t>Proposta de regulamento</w:t>
      </w:r>
    </w:p>
    <w:p w14:paraId="0C3C6786" w14:textId="77777777" w:rsidR="00875D9A" w:rsidRPr="00C80753" w:rsidRDefault="00875D9A" w:rsidP="00875D9A">
      <w:pPr>
        <w:pStyle w:val="NormalBold"/>
      </w:pPr>
      <w:r w:rsidRPr="00C80753">
        <w:t>Considerando 4-A (novo)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875D9A" w:rsidRPr="00C80753" w14:paraId="62A45A5D" w14:textId="77777777" w:rsidTr="0026777E">
        <w:trPr>
          <w:jc w:val="center"/>
        </w:trPr>
        <w:tc>
          <w:tcPr>
            <w:tcW w:w="9752" w:type="dxa"/>
            <w:gridSpan w:val="2"/>
          </w:tcPr>
          <w:p w14:paraId="045C43DE" w14:textId="77777777" w:rsidR="00875D9A" w:rsidRPr="00C80753" w:rsidRDefault="00875D9A" w:rsidP="007034AA">
            <w:pPr>
              <w:keepNext/>
            </w:pPr>
          </w:p>
        </w:tc>
      </w:tr>
      <w:tr w:rsidR="00875D9A" w:rsidRPr="00C80753" w14:paraId="474AC5A4" w14:textId="77777777" w:rsidTr="0026777E">
        <w:trPr>
          <w:jc w:val="center"/>
        </w:trPr>
        <w:tc>
          <w:tcPr>
            <w:tcW w:w="4876" w:type="dxa"/>
          </w:tcPr>
          <w:p w14:paraId="562B7CE6" w14:textId="77777777" w:rsidR="00875D9A" w:rsidRPr="00C80753" w:rsidRDefault="00875D9A" w:rsidP="007034AA">
            <w:pPr>
              <w:pStyle w:val="ColumnHeading"/>
              <w:keepNext/>
            </w:pPr>
            <w:r w:rsidRPr="00C80753">
              <w:t>Texto da Comissão</w:t>
            </w:r>
          </w:p>
        </w:tc>
        <w:tc>
          <w:tcPr>
            <w:tcW w:w="4876" w:type="dxa"/>
          </w:tcPr>
          <w:p w14:paraId="5D635899" w14:textId="77777777" w:rsidR="00875D9A" w:rsidRPr="00C80753" w:rsidRDefault="00875D9A" w:rsidP="007034AA">
            <w:pPr>
              <w:pStyle w:val="ColumnHeading"/>
              <w:keepNext/>
            </w:pPr>
            <w:r w:rsidRPr="00C80753">
              <w:t>Alteração</w:t>
            </w:r>
          </w:p>
        </w:tc>
      </w:tr>
      <w:tr w:rsidR="00875D9A" w:rsidRPr="00C80753" w14:paraId="07F1598B" w14:textId="77777777" w:rsidTr="0026777E">
        <w:trPr>
          <w:jc w:val="center"/>
        </w:trPr>
        <w:tc>
          <w:tcPr>
            <w:tcW w:w="4876" w:type="dxa"/>
          </w:tcPr>
          <w:p w14:paraId="1A8CF92D" w14:textId="77777777" w:rsidR="00875D9A" w:rsidRPr="00C80753" w:rsidRDefault="00875D9A" w:rsidP="007034AA">
            <w:pPr>
              <w:pStyle w:val="Normal6"/>
            </w:pPr>
          </w:p>
        </w:tc>
        <w:tc>
          <w:tcPr>
            <w:tcW w:w="4876" w:type="dxa"/>
          </w:tcPr>
          <w:p w14:paraId="2D3FE999" w14:textId="77777777" w:rsidR="00875D9A" w:rsidRPr="00C80753" w:rsidRDefault="00875D9A" w:rsidP="007034AA">
            <w:pPr>
              <w:pStyle w:val="Normal6"/>
              <w:rPr>
                <w:szCs w:val="24"/>
              </w:rPr>
            </w:pPr>
            <w:r w:rsidRPr="00C80753">
              <w:rPr>
                <w:b/>
                <w:i/>
              </w:rPr>
              <w:t>(4-A</w:t>
            </w:r>
            <w:proofErr w:type="gramStart"/>
            <w:r w:rsidRPr="00C80753">
              <w:rPr>
                <w:b/>
                <w:i/>
              </w:rPr>
              <w:t>)</w:t>
            </w:r>
            <w:r w:rsidRPr="00C80753">
              <w:rPr>
                <w:b/>
                <w:i/>
              </w:rPr>
              <w:tab/>
              <w:t>Os</w:t>
            </w:r>
            <w:proofErr w:type="gramEnd"/>
            <w:r w:rsidRPr="00C80753">
              <w:rPr>
                <w:b/>
                <w:i/>
              </w:rPr>
              <w:t xml:space="preserve"> crematórios são uma fonte significativa de libertação de mercúrio para a atmosfera e, mesmo com a eliminação progressiva das amálgamas dentárias, continuarão a contribuir para a poluição por mercúrio do ar, da água e do solo. É necessário recolher informações sobre as medidas aplicadas nos Estados-Membros e elaborar orientações para os crematórios, a fim de assegurar uma prevenção adequada da poluição e de atenuar o seu impacto no ambiente e na saúde humana.</w:t>
            </w:r>
          </w:p>
        </w:tc>
      </w:tr>
    </w:tbl>
    <w:p w14:paraId="3543FB4C" w14:textId="77777777" w:rsidR="0026777E" w:rsidRPr="00DF35A3" w:rsidRDefault="0026777E" w:rsidP="0026777E">
      <w:pPr>
        <w:pStyle w:val="AmNumberTabs"/>
        <w:rPr>
          <w:b w:val="0"/>
        </w:rPr>
      </w:pPr>
    </w:p>
    <w:p w14:paraId="3983D6D7" w14:textId="137CC952" w:rsidR="0026777E" w:rsidRPr="000D3C5E" w:rsidRDefault="0026777E" w:rsidP="0026777E">
      <w:pPr>
        <w:pStyle w:val="AmNumberTabs"/>
      </w:pPr>
      <w:r w:rsidRPr="000D3C5E">
        <w:t>Alteração</w:t>
      </w:r>
      <w:r w:rsidRPr="000D3C5E">
        <w:tab/>
      </w:r>
      <w:r w:rsidRPr="000D3C5E">
        <w:tab/>
        <w:t>16</w:t>
      </w:r>
    </w:p>
    <w:p w14:paraId="11D5DA4A" w14:textId="77777777" w:rsidR="0026777E" w:rsidRPr="000D3C5E" w:rsidRDefault="0026777E" w:rsidP="0026777E">
      <w:pPr>
        <w:pStyle w:val="NormalBold12b"/>
      </w:pPr>
      <w:r w:rsidRPr="000D3C5E">
        <w:t>Proposta de regulamento</w:t>
      </w:r>
    </w:p>
    <w:p w14:paraId="5423F6BD" w14:textId="67A5EDF2" w:rsidR="0026777E" w:rsidRPr="000D3C5E" w:rsidRDefault="0026777E" w:rsidP="0026777E">
      <w:pPr>
        <w:pStyle w:val="NormalBold"/>
      </w:pPr>
      <w:r>
        <w:t>Considerando 4-B</w:t>
      </w:r>
      <w:r w:rsidRPr="000D3C5E">
        <w:t xml:space="preserve"> (novo)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6777E" w:rsidRPr="000D3C5E" w14:paraId="3D68974F" w14:textId="77777777" w:rsidTr="00C75E8E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02BD90CC" w14:textId="77777777" w:rsidR="0026777E" w:rsidRPr="000D3C5E" w:rsidRDefault="0026777E" w:rsidP="00C75E8E"/>
        </w:tc>
      </w:tr>
      <w:tr w:rsidR="0026777E" w:rsidRPr="000D3C5E" w14:paraId="60050490" w14:textId="77777777" w:rsidTr="00C75E8E">
        <w:trPr>
          <w:trHeight w:val="240"/>
          <w:jc w:val="center"/>
        </w:trPr>
        <w:tc>
          <w:tcPr>
            <w:tcW w:w="4876" w:type="dxa"/>
          </w:tcPr>
          <w:p w14:paraId="70818A30" w14:textId="77777777" w:rsidR="0026777E" w:rsidRPr="000D3C5E" w:rsidRDefault="0026777E" w:rsidP="00C75E8E">
            <w:pPr>
              <w:pStyle w:val="AmColumnHeading"/>
            </w:pPr>
            <w:r w:rsidRPr="000D3C5E">
              <w:t>Texto da Comissão</w:t>
            </w:r>
          </w:p>
        </w:tc>
        <w:tc>
          <w:tcPr>
            <w:tcW w:w="4876" w:type="dxa"/>
          </w:tcPr>
          <w:p w14:paraId="349F5823" w14:textId="77777777" w:rsidR="0026777E" w:rsidRPr="000D3C5E" w:rsidRDefault="0026777E" w:rsidP="00C75E8E">
            <w:pPr>
              <w:pStyle w:val="AmColumnHeading"/>
            </w:pPr>
            <w:r w:rsidRPr="000D3C5E">
              <w:t>Alteração</w:t>
            </w:r>
          </w:p>
        </w:tc>
      </w:tr>
      <w:tr w:rsidR="0026777E" w:rsidRPr="000D3C5E" w14:paraId="688D5DEE" w14:textId="77777777" w:rsidTr="00C75E8E">
        <w:trPr>
          <w:jc w:val="center"/>
        </w:trPr>
        <w:tc>
          <w:tcPr>
            <w:tcW w:w="4876" w:type="dxa"/>
          </w:tcPr>
          <w:p w14:paraId="3B8CFDF3" w14:textId="77777777" w:rsidR="0026777E" w:rsidRPr="000D3C5E" w:rsidRDefault="0026777E" w:rsidP="00C75E8E">
            <w:pPr>
              <w:pStyle w:val="Normal6a"/>
            </w:pPr>
          </w:p>
        </w:tc>
        <w:tc>
          <w:tcPr>
            <w:tcW w:w="4876" w:type="dxa"/>
          </w:tcPr>
          <w:p w14:paraId="2AF733DD" w14:textId="1FB590B2" w:rsidR="0026777E" w:rsidRPr="000D3C5E" w:rsidRDefault="0026777E" w:rsidP="00C75E8E">
            <w:pPr>
              <w:pStyle w:val="Normal6a"/>
            </w:pPr>
            <w:r>
              <w:rPr>
                <w:b/>
                <w:i/>
              </w:rPr>
              <w:t>(4-B</w:t>
            </w:r>
            <w:r w:rsidRPr="000D3C5E">
              <w:rPr>
                <w:b/>
                <w:i/>
              </w:rPr>
              <w:t>)</w:t>
            </w:r>
            <w:r w:rsidRPr="000D3C5E">
              <w:tab/>
            </w:r>
            <w:r w:rsidRPr="000D3C5E">
              <w:rPr>
                <w:b/>
                <w:i/>
              </w:rPr>
              <w:t xml:space="preserve">A fim de limitar o impacto socioeconómico de uma transição para obturações sem mercúrio nos custos com os cuidados dentários suportados pelos doentes e pelos médicos dentistas, os Estados-Membros devem garantir um </w:t>
            </w:r>
            <w:r w:rsidRPr="000D3C5E">
              <w:rPr>
                <w:b/>
                <w:i/>
              </w:rPr>
              <w:lastRenderedPageBreak/>
              <w:t>reembolso adequado no caso das alternativas sem mercúrio. A eliminação gradual da amálgama dentária deve ser acompanhada por uma formação profissional para os médicos dentistas, se for caso disso, de modo a permitir uma adaptação a novas técnicas.</w:t>
            </w:r>
          </w:p>
        </w:tc>
      </w:tr>
    </w:tbl>
    <w:p w14:paraId="5104DD7F" w14:textId="64A166DB" w:rsidR="00875D9A" w:rsidRPr="00C80753" w:rsidRDefault="00875D9A" w:rsidP="0026777E"/>
    <w:p w14:paraId="42B22D39" w14:textId="77777777" w:rsidR="00875D9A" w:rsidRPr="00C80753" w:rsidRDefault="00875D9A" w:rsidP="00875D9A">
      <w:pPr>
        <w:pStyle w:val="AmNumberTabs"/>
      </w:pPr>
      <w:r w:rsidRPr="00C80753">
        <w:t>Alteração</w:t>
      </w:r>
      <w:r w:rsidRPr="00C80753">
        <w:tab/>
      </w:r>
      <w:r w:rsidRPr="00C80753">
        <w:tab/>
        <w:t>4</w:t>
      </w:r>
    </w:p>
    <w:p w14:paraId="487DC69D" w14:textId="77777777" w:rsidR="00875D9A" w:rsidRPr="00C80753" w:rsidRDefault="00875D9A" w:rsidP="00875D9A"/>
    <w:p w14:paraId="1C3945E3" w14:textId="77777777" w:rsidR="00875D9A" w:rsidRPr="00C80753" w:rsidRDefault="00875D9A" w:rsidP="00875D9A">
      <w:pPr>
        <w:pStyle w:val="NormalBold"/>
        <w:keepNext/>
      </w:pPr>
      <w:r w:rsidRPr="00C80753">
        <w:t>Proposta de regulamento</w:t>
      </w:r>
    </w:p>
    <w:p w14:paraId="5C3AC891" w14:textId="77777777" w:rsidR="00875D9A" w:rsidRPr="00C80753" w:rsidRDefault="00875D9A" w:rsidP="00875D9A">
      <w:pPr>
        <w:pStyle w:val="NormalBold"/>
      </w:pPr>
      <w:r w:rsidRPr="00C80753">
        <w:t>Considerando 5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875D9A" w:rsidRPr="00C80753" w14:paraId="1FC52DA5" w14:textId="77777777" w:rsidTr="007034AA">
        <w:trPr>
          <w:jc w:val="center"/>
        </w:trPr>
        <w:tc>
          <w:tcPr>
            <w:tcW w:w="9752" w:type="dxa"/>
            <w:gridSpan w:val="2"/>
          </w:tcPr>
          <w:p w14:paraId="562D37DE" w14:textId="77777777" w:rsidR="00875D9A" w:rsidRPr="00C80753" w:rsidRDefault="00875D9A" w:rsidP="007034AA">
            <w:pPr>
              <w:keepNext/>
            </w:pPr>
          </w:p>
        </w:tc>
      </w:tr>
      <w:tr w:rsidR="00875D9A" w:rsidRPr="00C80753" w14:paraId="4627A996" w14:textId="77777777" w:rsidTr="007034AA">
        <w:trPr>
          <w:jc w:val="center"/>
        </w:trPr>
        <w:tc>
          <w:tcPr>
            <w:tcW w:w="4876" w:type="dxa"/>
          </w:tcPr>
          <w:p w14:paraId="6A74DF4B" w14:textId="77777777" w:rsidR="00875D9A" w:rsidRPr="00C80753" w:rsidRDefault="00875D9A" w:rsidP="007034AA">
            <w:pPr>
              <w:pStyle w:val="ColumnHeading"/>
              <w:keepNext/>
            </w:pPr>
            <w:r w:rsidRPr="00C80753">
              <w:t>Texto da Comissão</w:t>
            </w:r>
          </w:p>
        </w:tc>
        <w:tc>
          <w:tcPr>
            <w:tcW w:w="4876" w:type="dxa"/>
          </w:tcPr>
          <w:p w14:paraId="20A71D9C" w14:textId="77777777" w:rsidR="00875D9A" w:rsidRPr="00C80753" w:rsidRDefault="00875D9A" w:rsidP="007034AA">
            <w:pPr>
              <w:pStyle w:val="ColumnHeading"/>
              <w:keepNext/>
            </w:pPr>
            <w:r w:rsidRPr="00C80753">
              <w:t>Alteração</w:t>
            </w:r>
          </w:p>
        </w:tc>
      </w:tr>
      <w:tr w:rsidR="00875D9A" w:rsidRPr="00C80753" w14:paraId="1986FF14" w14:textId="77777777" w:rsidTr="007034AA">
        <w:trPr>
          <w:jc w:val="center"/>
        </w:trPr>
        <w:tc>
          <w:tcPr>
            <w:tcW w:w="4876" w:type="dxa"/>
          </w:tcPr>
          <w:p w14:paraId="7AA1B701" w14:textId="77777777" w:rsidR="00875D9A" w:rsidRPr="00C80753" w:rsidRDefault="00875D9A" w:rsidP="007034AA">
            <w:pPr>
              <w:pStyle w:val="Normal6"/>
            </w:pPr>
            <w:r w:rsidRPr="00C80753">
              <w:t>(5)</w:t>
            </w:r>
            <w:r w:rsidRPr="00C80753">
              <w:tab/>
              <w:t>O artigo 4.º, n.º 1, da Diretiva 2011/65/UE do Parlamento Europeu e do Conselho</w:t>
            </w:r>
            <w:r w:rsidRPr="00C80753">
              <w:rPr>
                <w:vertAlign w:val="superscript"/>
              </w:rPr>
              <w:t>44</w:t>
            </w:r>
            <w:r w:rsidRPr="00C80753">
              <w:t xml:space="preserve"> proíbe a colocação no mercado da União e a importação para a União de determinados equipamentos elétricos e eletrónicos que contêm mercúrio. O anexo III da referida diretiva enumera, entre outros elementos, determinadas lâmpadas com mercúrio adicionado isentas da referida proibição até às datas nele especificadas. Essa isenção já expirou a 13 de abril de 2016 no caso das lâmpadas não lineares de </w:t>
            </w:r>
            <w:proofErr w:type="spellStart"/>
            <w:r w:rsidRPr="00C80753">
              <w:t>halofosfatos</w:t>
            </w:r>
            <w:proofErr w:type="spellEnd"/>
            <w:r w:rsidRPr="00C80753">
              <w:rPr>
                <w:b/>
                <w:i/>
              </w:rPr>
              <w:t xml:space="preserve"> e expirará</w:t>
            </w:r>
            <w:r w:rsidRPr="00C80753">
              <w:t xml:space="preserve"> a 24 de fevereiro de 2023 </w:t>
            </w:r>
            <w:r w:rsidRPr="00C80753">
              <w:rPr>
                <w:b/>
                <w:i/>
              </w:rPr>
              <w:t>ou</w:t>
            </w:r>
            <w:r w:rsidRPr="00C80753">
              <w:t xml:space="preserve"> </w:t>
            </w:r>
            <w:r w:rsidRPr="00C80753">
              <w:rPr>
                <w:b/>
                <w:bCs/>
                <w:i/>
                <w:iCs/>
              </w:rPr>
              <w:t>a</w:t>
            </w:r>
            <w:r w:rsidRPr="00C80753">
              <w:t xml:space="preserve"> 24 </w:t>
            </w:r>
            <w:r w:rsidRPr="00C80753">
              <w:rPr>
                <w:b/>
                <w:bCs/>
                <w:i/>
                <w:iCs/>
              </w:rPr>
              <w:t>de fevereiro de</w:t>
            </w:r>
            <w:r w:rsidRPr="00C80753">
              <w:t xml:space="preserve"> </w:t>
            </w:r>
            <w:r w:rsidRPr="00C80753">
              <w:rPr>
                <w:b/>
                <w:i/>
              </w:rPr>
              <w:t>2027</w:t>
            </w:r>
            <w:r w:rsidRPr="00C80753">
              <w:t xml:space="preserve"> para determinadas lâmpadas fluorescentes compactas, lâmpadas fluorescentes lineares </w:t>
            </w:r>
            <w:r w:rsidRPr="00C80753">
              <w:rPr>
                <w:b/>
                <w:i/>
              </w:rPr>
              <w:t>e</w:t>
            </w:r>
            <w:r w:rsidRPr="00C80753">
              <w:t xml:space="preserve"> lâmpadas de vapor de sódio de alta pressão para iluminação geral, bem como para </w:t>
            </w:r>
            <w:r w:rsidRPr="00C80753">
              <w:rPr>
                <w:b/>
                <w:i/>
              </w:rPr>
              <w:t>as</w:t>
            </w:r>
            <w:r w:rsidRPr="00C80753">
              <w:t xml:space="preserve"> </w:t>
            </w:r>
            <w:r w:rsidRPr="00C80753">
              <w:rPr>
                <w:b/>
                <w:bCs/>
                <w:i/>
                <w:iCs/>
              </w:rPr>
              <w:t>lâmpadas</w:t>
            </w:r>
            <w:r w:rsidRPr="00C80753">
              <w:t xml:space="preserve"> </w:t>
            </w:r>
            <w:r w:rsidRPr="00C80753">
              <w:rPr>
                <w:b/>
                <w:i/>
              </w:rPr>
              <w:t>fluorescentes não lineares</w:t>
            </w:r>
            <w:r w:rsidRPr="00C80753">
              <w:t xml:space="preserve"> </w:t>
            </w:r>
            <w:r w:rsidRPr="00C80753">
              <w:rPr>
                <w:b/>
                <w:bCs/>
                <w:i/>
                <w:iCs/>
              </w:rPr>
              <w:t>de</w:t>
            </w:r>
            <w:r w:rsidRPr="00C80753">
              <w:t xml:space="preserve"> </w:t>
            </w:r>
            <w:r w:rsidRPr="00C80753">
              <w:rPr>
                <w:b/>
                <w:i/>
              </w:rPr>
              <w:t xml:space="preserve">fósforo </w:t>
            </w:r>
            <w:proofErr w:type="spellStart"/>
            <w:r w:rsidRPr="00C80753">
              <w:rPr>
                <w:b/>
                <w:i/>
              </w:rPr>
              <w:t>tribanda</w:t>
            </w:r>
            <w:proofErr w:type="spellEnd"/>
            <w:r w:rsidRPr="00C80753">
              <w:t xml:space="preserve">. Além disso, determinadas lâmpadas fluorescentes lineares para iluminação geral são enumeradas para uma futura proibição na Decisão MC-4/3, adotada na quarta reunião, realizada de 21 a 25 de março de 2022, da Conferência das Partes na Convenção de </w:t>
            </w:r>
            <w:proofErr w:type="spellStart"/>
            <w:r w:rsidRPr="00C80753">
              <w:t>Minamata</w:t>
            </w:r>
            <w:proofErr w:type="spellEnd"/>
            <w:r w:rsidRPr="00C80753">
              <w:t xml:space="preserve"> sobre o Mercúrio</w:t>
            </w:r>
            <w:r w:rsidRPr="00C80753">
              <w:rPr>
                <w:vertAlign w:val="superscript"/>
              </w:rPr>
              <w:t>45</w:t>
            </w:r>
            <w:r w:rsidRPr="00C80753">
              <w:t>. A União aprovou a referida decisão por meio da Decisão (UE) 2022/549 do Conselho</w:t>
            </w:r>
            <w:r w:rsidRPr="00C80753">
              <w:rPr>
                <w:vertAlign w:val="superscript"/>
              </w:rPr>
              <w:t>46</w:t>
            </w:r>
            <w:r w:rsidRPr="00C80753">
              <w:t xml:space="preserve">. Uma vez que algumas dessas lâmpadas não são atualmente abrangidas pelo anexo II, parte A, do Regulamento (UE) 2017/852, devem, por razões de coerência, ser </w:t>
            </w:r>
            <w:r w:rsidRPr="00C80753">
              <w:lastRenderedPageBreak/>
              <w:t>incluídas no mesmo, a fim de proibir o seu fabrico e exportação a partir das datas especificadas no anexo III da Diretiva 2011/65/UE e das datas mais ambiciosas incluídas na Decisão MC-4/3.</w:t>
            </w:r>
          </w:p>
        </w:tc>
        <w:tc>
          <w:tcPr>
            <w:tcW w:w="4876" w:type="dxa"/>
          </w:tcPr>
          <w:p w14:paraId="28F6A790" w14:textId="77777777" w:rsidR="00875D9A" w:rsidRPr="00C80753" w:rsidRDefault="00875D9A" w:rsidP="007034AA">
            <w:pPr>
              <w:pStyle w:val="Normal6"/>
              <w:rPr>
                <w:szCs w:val="24"/>
              </w:rPr>
            </w:pPr>
            <w:r w:rsidRPr="00C80753">
              <w:lastRenderedPageBreak/>
              <w:t>(5)</w:t>
            </w:r>
            <w:r w:rsidRPr="00C80753">
              <w:tab/>
              <w:t>O artigo 4.º, n.º 1, da Diretiva 2011/65/UE do Parlamento Europeu e do Conselho</w:t>
            </w:r>
            <w:r w:rsidRPr="00C80753">
              <w:rPr>
                <w:vertAlign w:val="superscript"/>
              </w:rPr>
              <w:t>44</w:t>
            </w:r>
            <w:r w:rsidRPr="00C80753">
              <w:t xml:space="preserve"> proíbe a colocação no mercado da União e a importação para a União de determinados equipamentos elétricos e eletrónicos que contêm mercúrio. O anexo III da referida diretiva enumera, entre outros elementos, determinadas lâmpadas com mercúrio adicionado isentas da referida proibição até às datas nele especificadas. Essa isenção já expirou a 13 de abril de 2016 no caso das lâmpadas não lineares de </w:t>
            </w:r>
            <w:proofErr w:type="spellStart"/>
            <w:r w:rsidRPr="00C80753">
              <w:t>halofosfatos</w:t>
            </w:r>
            <w:proofErr w:type="spellEnd"/>
            <w:r w:rsidRPr="00C80753">
              <w:rPr>
                <w:b/>
                <w:i/>
              </w:rPr>
              <w:t>,</w:t>
            </w:r>
            <w:r w:rsidRPr="00C80753">
              <w:t xml:space="preserve"> a 24 de fevereiro de 2023 para determinadas lâmpadas fluorescentes compactas</w:t>
            </w:r>
            <w:r w:rsidRPr="00C80753">
              <w:rPr>
                <w:b/>
                <w:i/>
              </w:rPr>
              <w:t xml:space="preserve"> </w:t>
            </w:r>
            <w:r w:rsidRPr="00C80753">
              <w:rPr>
                <w:b/>
                <w:bCs/>
                <w:i/>
                <w:iCs/>
              </w:rPr>
              <w:t>e a 24 de agosto de 2023</w:t>
            </w:r>
            <w:r w:rsidRPr="00C80753">
              <w:t xml:space="preserve"> para lâmpadas fluorescentes lineares </w:t>
            </w:r>
            <w:r w:rsidRPr="00C80753">
              <w:rPr>
                <w:b/>
                <w:i/>
              </w:rPr>
              <w:t xml:space="preserve">para iluminação geral. Para as lâmpadas fluorescentes não lineares de fósforo </w:t>
            </w:r>
            <w:proofErr w:type="spellStart"/>
            <w:r w:rsidRPr="00C80753">
              <w:rPr>
                <w:b/>
                <w:i/>
              </w:rPr>
              <w:t>tribanda</w:t>
            </w:r>
            <w:proofErr w:type="spellEnd"/>
            <w:r w:rsidRPr="00C80753">
              <w:rPr>
                <w:b/>
                <w:i/>
              </w:rPr>
              <w:t>, a isenção expira a 24 de fevereiro de 2025. A isenção para a maioria das</w:t>
            </w:r>
            <w:r w:rsidRPr="00C80753">
              <w:t xml:space="preserve"> lâmpadas de vapor de sódio de alta pressão para iluminação geral, </w:t>
            </w:r>
            <w:r w:rsidRPr="00C80753">
              <w:rPr>
                <w:b/>
                <w:i/>
              </w:rPr>
              <w:t xml:space="preserve">com índices de cor atualizados, expirou a 24 de fevereiro de 2023, sendo que para as restantes, </w:t>
            </w:r>
            <w:r w:rsidRPr="00C80753">
              <w:rPr>
                <w:b/>
                <w:bCs/>
                <w:i/>
                <w:iCs/>
              </w:rPr>
              <w:t>bem como para outras lâmpadas</w:t>
            </w:r>
            <w:r w:rsidRPr="00C80753">
              <w:t xml:space="preserve"> </w:t>
            </w:r>
            <w:r w:rsidRPr="00C80753">
              <w:rPr>
                <w:b/>
                <w:i/>
              </w:rPr>
              <w:t>de vapor de sódio</w:t>
            </w:r>
            <w:r w:rsidRPr="00C80753">
              <w:t xml:space="preserve"> de </w:t>
            </w:r>
            <w:r w:rsidRPr="00C80753">
              <w:rPr>
                <w:b/>
                <w:i/>
              </w:rPr>
              <w:t>alta pressão para iluminação geral, a isenção irá expirar a 24 de fevereiro de 2025</w:t>
            </w:r>
            <w:r w:rsidRPr="00C80753">
              <w:t xml:space="preserve">. Além disso, determinadas lâmpadas fluorescentes lineares para iluminação geral são enumeradas para uma futura proibição na Decisão MC-4/3, adotada na quarta reunião, realizada de 21 a 25 de março de 2022, da Conferência das Partes </w:t>
            </w:r>
            <w:r w:rsidRPr="00C80753">
              <w:lastRenderedPageBreak/>
              <w:t xml:space="preserve">na Convenção de </w:t>
            </w:r>
            <w:proofErr w:type="spellStart"/>
            <w:r w:rsidRPr="00C80753">
              <w:t>Minamata</w:t>
            </w:r>
            <w:proofErr w:type="spellEnd"/>
            <w:r w:rsidRPr="00C80753">
              <w:t xml:space="preserve"> sobre o Mercúrio</w:t>
            </w:r>
            <w:r w:rsidRPr="00C80753">
              <w:rPr>
                <w:vertAlign w:val="superscript"/>
              </w:rPr>
              <w:t>45</w:t>
            </w:r>
            <w:r w:rsidRPr="00C80753">
              <w:t>. A União aprovou a referida decisão por meio da Decisão (UE) 2022/549 do Conselho</w:t>
            </w:r>
            <w:r w:rsidRPr="00C80753">
              <w:rPr>
                <w:vertAlign w:val="superscript"/>
              </w:rPr>
              <w:t>46</w:t>
            </w:r>
            <w:r w:rsidRPr="00C80753">
              <w:t xml:space="preserve">. Uma vez que </w:t>
            </w:r>
            <w:r w:rsidRPr="00C80753">
              <w:rPr>
                <w:b/>
                <w:i/>
              </w:rPr>
              <w:t xml:space="preserve">é adequado proibir a exportação da União das restantes lâmpadas com mercúrio adicionado o mais rapidamente possível e </w:t>
            </w:r>
            <w:r w:rsidRPr="00C80753">
              <w:t>que algumas dessas lâmpadas não são atualmente abrangidas pelo anexo II, parte A, do Regulamento (UE) 2017/852,</w:t>
            </w:r>
            <w:r w:rsidRPr="00C80753">
              <w:rPr>
                <w:b/>
                <w:i/>
              </w:rPr>
              <w:t xml:space="preserve"> estas</w:t>
            </w:r>
            <w:r w:rsidRPr="00C80753">
              <w:t xml:space="preserve"> devem, por razões de coerência, ser incluídas no mesmo, a fim de proibir o seu fabrico e exportação a partir das datas especificadas no anexo III da Diretiva 2011/65/UE e das datas mais ambiciosas incluídas na Decisão MC-4/3. </w:t>
            </w:r>
            <w:r w:rsidRPr="00C80753">
              <w:rPr>
                <w:b/>
                <w:i/>
              </w:rPr>
              <w:t>Além disso, é possível obter benefícios conexos significativos através da descontinuação progressiva da exportação de lâmpadas com mercúrio adicionado o mais rapidamente possível, dado que as alternativas sem mercúrio são mais eficientes do ponto de vista energético e, por conseguinte, impediriam a libertação de toneladas de emissões de CO</w:t>
            </w:r>
            <w:r w:rsidRPr="00F744C3">
              <w:rPr>
                <w:b/>
                <w:i/>
                <w:vertAlign w:val="subscript"/>
              </w:rPr>
              <w:t>2</w:t>
            </w:r>
            <w:r w:rsidRPr="00C80753">
              <w:rPr>
                <w:b/>
                <w:i/>
              </w:rPr>
              <w:t>.</w:t>
            </w:r>
          </w:p>
        </w:tc>
      </w:tr>
      <w:tr w:rsidR="00875D9A" w:rsidRPr="00C80753" w14:paraId="74DF2ADF" w14:textId="77777777" w:rsidTr="007034AA">
        <w:trPr>
          <w:jc w:val="center"/>
        </w:trPr>
        <w:tc>
          <w:tcPr>
            <w:tcW w:w="4876" w:type="dxa"/>
          </w:tcPr>
          <w:p w14:paraId="6AF46BD8" w14:textId="77777777" w:rsidR="00875D9A" w:rsidRPr="00C80753" w:rsidRDefault="00875D9A" w:rsidP="007034AA">
            <w:pPr>
              <w:pStyle w:val="Normal6"/>
            </w:pPr>
            <w:r w:rsidRPr="00C80753">
              <w:lastRenderedPageBreak/>
              <w:t>__________________</w:t>
            </w:r>
          </w:p>
        </w:tc>
        <w:tc>
          <w:tcPr>
            <w:tcW w:w="4876" w:type="dxa"/>
          </w:tcPr>
          <w:p w14:paraId="3DDA258B" w14:textId="77777777" w:rsidR="00875D9A" w:rsidRPr="00C80753" w:rsidRDefault="00875D9A" w:rsidP="007034AA">
            <w:pPr>
              <w:pStyle w:val="Normal6"/>
              <w:rPr>
                <w:szCs w:val="24"/>
              </w:rPr>
            </w:pPr>
            <w:r w:rsidRPr="00C80753">
              <w:t>__________________</w:t>
            </w:r>
          </w:p>
        </w:tc>
      </w:tr>
      <w:tr w:rsidR="00875D9A" w:rsidRPr="00C80753" w14:paraId="46CE4781" w14:textId="77777777" w:rsidTr="007034AA">
        <w:trPr>
          <w:jc w:val="center"/>
        </w:trPr>
        <w:tc>
          <w:tcPr>
            <w:tcW w:w="4876" w:type="dxa"/>
          </w:tcPr>
          <w:p w14:paraId="307CA400" w14:textId="77777777" w:rsidR="00875D9A" w:rsidRPr="00C80753" w:rsidRDefault="00875D9A" w:rsidP="007034AA">
            <w:pPr>
              <w:pStyle w:val="Normal6"/>
            </w:pPr>
            <w:r w:rsidRPr="00C80753">
              <w:rPr>
                <w:vertAlign w:val="superscript"/>
              </w:rPr>
              <w:t>44</w:t>
            </w:r>
            <w:r w:rsidRPr="00C80753">
              <w:t xml:space="preserve"> Diretiva 2011/65/UE do Parlamento Europeu e do Conselho, de 8 de junho de 2011, relativa à restrição do uso de determinadas substâncias perigosas em equipamentos elétricos e eletrónicos (JO L 174 de 1.7.2011, p. 88).</w:t>
            </w:r>
          </w:p>
        </w:tc>
        <w:tc>
          <w:tcPr>
            <w:tcW w:w="4876" w:type="dxa"/>
          </w:tcPr>
          <w:p w14:paraId="38AC588F" w14:textId="77777777" w:rsidR="00875D9A" w:rsidRPr="00C80753" w:rsidRDefault="00875D9A" w:rsidP="007034AA">
            <w:pPr>
              <w:pStyle w:val="Normal6"/>
              <w:rPr>
                <w:szCs w:val="24"/>
              </w:rPr>
            </w:pPr>
            <w:r w:rsidRPr="00C80753">
              <w:rPr>
                <w:vertAlign w:val="superscript"/>
              </w:rPr>
              <w:t>44</w:t>
            </w:r>
            <w:r w:rsidRPr="00C80753">
              <w:t xml:space="preserve"> Diretiva 2011/65/UE do Parlamento Europeu e do Conselho, de 8 de junho de 2011, relativa à restrição do uso de determinadas substâncias perigosas em equipamentos elétricos e eletrónicos (JO L 174 de 1.7.2011, p. 88).</w:t>
            </w:r>
          </w:p>
        </w:tc>
      </w:tr>
      <w:tr w:rsidR="00875D9A" w:rsidRPr="00C80753" w14:paraId="393C8F6E" w14:textId="77777777" w:rsidTr="007034AA">
        <w:trPr>
          <w:jc w:val="center"/>
        </w:trPr>
        <w:tc>
          <w:tcPr>
            <w:tcW w:w="4876" w:type="dxa"/>
          </w:tcPr>
          <w:p w14:paraId="729A0CBB" w14:textId="77777777" w:rsidR="00875D9A" w:rsidRPr="00C80753" w:rsidRDefault="00875D9A" w:rsidP="007034AA">
            <w:pPr>
              <w:pStyle w:val="Normal6"/>
            </w:pPr>
            <w:r w:rsidRPr="00C80753">
              <w:rPr>
                <w:vertAlign w:val="superscript"/>
              </w:rPr>
              <w:t>45</w:t>
            </w:r>
            <w:r w:rsidRPr="00C80753">
              <w:t xml:space="preserve"> Decisão (UE) 2022/549 do Conselho, de 17 de março de 2022, relativa à posição a tomar, em nome da União Europeia, no segundo segmento da quarta reunião da Conferência das Partes na Convenção de </w:t>
            </w:r>
            <w:proofErr w:type="spellStart"/>
            <w:r w:rsidRPr="00C80753">
              <w:t>Minamata</w:t>
            </w:r>
            <w:proofErr w:type="spellEnd"/>
            <w:r w:rsidRPr="00C80753">
              <w:t xml:space="preserve"> sobre o Mercúrio, no que respeita à adoção de uma decisão de alteração dos anexos A e B dessa Convenção (JO L 107 de 6.4.2022, p. 78).</w:t>
            </w:r>
          </w:p>
        </w:tc>
        <w:tc>
          <w:tcPr>
            <w:tcW w:w="4876" w:type="dxa"/>
          </w:tcPr>
          <w:p w14:paraId="1AE75F37" w14:textId="77777777" w:rsidR="00875D9A" w:rsidRPr="00C80753" w:rsidRDefault="00875D9A" w:rsidP="007034AA">
            <w:pPr>
              <w:pStyle w:val="Normal6"/>
              <w:rPr>
                <w:szCs w:val="24"/>
              </w:rPr>
            </w:pPr>
            <w:r w:rsidRPr="00C80753">
              <w:rPr>
                <w:vertAlign w:val="superscript"/>
              </w:rPr>
              <w:t>45</w:t>
            </w:r>
            <w:r w:rsidRPr="00C80753">
              <w:t xml:space="preserve"> Decisão (UE) 2022/549 do Conselho, de 17 de março de 2022, relativa à posição a tomar, em nome da União Europeia, no segundo segmento da quarta reunião da Conferência das Partes na Convenção de </w:t>
            </w:r>
            <w:proofErr w:type="spellStart"/>
            <w:r w:rsidRPr="00C80753">
              <w:t>Minamata</w:t>
            </w:r>
            <w:proofErr w:type="spellEnd"/>
            <w:r w:rsidRPr="00C80753">
              <w:t xml:space="preserve"> sobre o Mercúrio, no que respeita à adoção de uma decisão de alteração dos anexos A e B dessa Convenção (JO L 107 de 6.4.2022, p. 78).</w:t>
            </w:r>
          </w:p>
        </w:tc>
      </w:tr>
      <w:tr w:rsidR="00875D9A" w:rsidRPr="00C80753" w14:paraId="4B16B2E1" w14:textId="77777777" w:rsidTr="007034AA">
        <w:trPr>
          <w:jc w:val="center"/>
        </w:trPr>
        <w:tc>
          <w:tcPr>
            <w:tcW w:w="4876" w:type="dxa"/>
          </w:tcPr>
          <w:p w14:paraId="63574F9E" w14:textId="77777777" w:rsidR="00875D9A" w:rsidRPr="00C80753" w:rsidRDefault="00875D9A" w:rsidP="007034AA">
            <w:pPr>
              <w:pStyle w:val="Normal6"/>
            </w:pPr>
            <w:r w:rsidRPr="00C80753">
              <w:rPr>
                <w:vertAlign w:val="superscript"/>
              </w:rPr>
              <w:t>46</w:t>
            </w:r>
            <w:r w:rsidRPr="00C80753">
              <w:t xml:space="preserve"> Decisão (UE) 2022/549 do Conselho, de 17 de março de 2022, relativa à posição a tomar, em nome da União Europeia, no segundo segmento da quarta reunião da </w:t>
            </w:r>
            <w:bookmarkStart w:id="8" w:name="_GoBack"/>
            <w:bookmarkEnd w:id="8"/>
            <w:r w:rsidRPr="00C80753">
              <w:t xml:space="preserve">Conferência das Partes na Convenção de </w:t>
            </w:r>
            <w:proofErr w:type="spellStart"/>
            <w:r w:rsidRPr="00C80753">
              <w:t>Minamata</w:t>
            </w:r>
            <w:proofErr w:type="spellEnd"/>
            <w:r w:rsidRPr="00C80753">
              <w:t xml:space="preserve"> sobre o Mercúrio, no que respeita à adoção de uma decisão de alteração dos anexos A e B dessa </w:t>
            </w:r>
            <w:r w:rsidRPr="00C80753">
              <w:lastRenderedPageBreak/>
              <w:t>Convenção.</w:t>
            </w:r>
          </w:p>
        </w:tc>
        <w:tc>
          <w:tcPr>
            <w:tcW w:w="4876" w:type="dxa"/>
          </w:tcPr>
          <w:p w14:paraId="27964661" w14:textId="6316EFB7" w:rsidR="00875D9A" w:rsidRPr="00C80753" w:rsidRDefault="00875D9A" w:rsidP="007034AA">
            <w:pPr>
              <w:pStyle w:val="Normal6"/>
              <w:rPr>
                <w:szCs w:val="24"/>
              </w:rPr>
            </w:pPr>
            <w:r w:rsidRPr="00C80753">
              <w:rPr>
                <w:vertAlign w:val="superscript"/>
              </w:rPr>
              <w:lastRenderedPageBreak/>
              <w:t>46</w:t>
            </w:r>
            <w:r w:rsidRPr="00C80753">
              <w:t xml:space="preserve"> Decisão (UE) 2022/549 do Conselho, de 17 de março de 2022, relativa à posição a tomar, em nome da União Europeia, no segundo segmento da quarta reunião da Conferência das Partes na Convenção de </w:t>
            </w:r>
            <w:proofErr w:type="spellStart"/>
            <w:r w:rsidRPr="00C80753">
              <w:t>Minamata</w:t>
            </w:r>
            <w:proofErr w:type="spellEnd"/>
            <w:r w:rsidRPr="00C80753">
              <w:t xml:space="preserve"> sobre o Mercúrio, no que respeita à adoção de uma decisão de alteração dos anexos A e B dessa </w:t>
            </w:r>
            <w:r w:rsidRPr="00C80753">
              <w:lastRenderedPageBreak/>
              <w:t>Convenção</w:t>
            </w:r>
            <w:r w:rsidR="00517C28">
              <w:t xml:space="preserve"> </w:t>
            </w:r>
            <w:r w:rsidR="00517C28" w:rsidRPr="00517C28">
              <w:rPr>
                <w:b/>
                <w:i/>
              </w:rPr>
              <w:t>(JO L 107 de 6.4.2022, p. 78)</w:t>
            </w:r>
            <w:r w:rsidRPr="00C80753">
              <w:t>.</w:t>
            </w:r>
          </w:p>
        </w:tc>
      </w:tr>
    </w:tbl>
    <w:p w14:paraId="40D9520E" w14:textId="77777777" w:rsidR="00875D9A" w:rsidRPr="00C80753" w:rsidRDefault="00875D9A" w:rsidP="00875D9A"/>
    <w:p w14:paraId="6C2DC7A3" w14:textId="77777777" w:rsidR="00875D9A" w:rsidRPr="00C80753" w:rsidRDefault="00875D9A" w:rsidP="00875D9A">
      <w:pPr>
        <w:pStyle w:val="AmNumberTabs"/>
      </w:pPr>
      <w:r w:rsidRPr="00C80753">
        <w:t>Alteração</w:t>
      </w:r>
      <w:r w:rsidRPr="00C80753">
        <w:tab/>
      </w:r>
      <w:r w:rsidRPr="00C80753">
        <w:tab/>
        <w:t>5</w:t>
      </w:r>
    </w:p>
    <w:p w14:paraId="3350AF47" w14:textId="77777777" w:rsidR="00875D9A" w:rsidRPr="00C80753" w:rsidRDefault="00875D9A" w:rsidP="00875D9A"/>
    <w:p w14:paraId="39610265" w14:textId="77777777" w:rsidR="00875D9A" w:rsidRPr="00C80753" w:rsidRDefault="00875D9A" w:rsidP="00875D9A">
      <w:pPr>
        <w:pStyle w:val="NormalBold"/>
        <w:keepNext/>
      </w:pPr>
      <w:r w:rsidRPr="00C80753">
        <w:t>Proposta de regulamento</w:t>
      </w:r>
    </w:p>
    <w:p w14:paraId="59A5C118" w14:textId="77777777" w:rsidR="00875D9A" w:rsidRPr="00C80753" w:rsidRDefault="00875D9A" w:rsidP="00875D9A">
      <w:pPr>
        <w:pStyle w:val="NormalBold"/>
      </w:pPr>
      <w:r w:rsidRPr="00C80753">
        <w:t>Considerando 5-A (novo)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875D9A" w:rsidRPr="00C80753" w14:paraId="24F3983E" w14:textId="77777777" w:rsidTr="007034AA">
        <w:trPr>
          <w:jc w:val="center"/>
        </w:trPr>
        <w:tc>
          <w:tcPr>
            <w:tcW w:w="9752" w:type="dxa"/>
            <w:gridSpan w:val="2"/>
          </w:tcPr>
          <w:p w14:paraId="46ED9ED8" w14:textId="77777777" w:rsidR="00875D9A" w:rsidRPr="00C80753" w:rsidRDefault="00875D9A" w:rsidP="007034AA">
            <w:pPr>
              <w:keepNext/>
            </w:pPr>
          </w:p>
        </w:tc>
      </w:tr>
      <w:tr w:rsidR="00875D9A" w:rsidRPr="00C80753" w14:paraId="0694AAB9" w14:textId="77777777" w:rsidTr="007034AA">
        <w:trPr>
          <w:jc w:val="center"/>
        </w:trPr>
        <w:tc>
          <w:tcPr>
            <w:tcW w:w="4876" w:type="dxa"/>
          </w:tcPr>
          <w:p w14:paraId="302438D9" w14:textId="77777777" w:rsidR="00875D9A" w:rsidRPr="00C80753" w:rsidRDefault="00875D9A" w:rsidP="007034AA">
            <w:pPr>
              <w:pStyle w:val="ColumnHeading"/>
              <w:keepNext/>
            </w:pPr>
            <w:r w:rsidRPr="00C80753">
              <w:t>Texto da Comissão</w:t>
            </w:r>
          </w:p>
        </w:tc>
        <w:tc>
          <w:tcPr>
            <w:tcW w:w="4876" w:type="dxa"/>
          </w:tcPr>
          <w:p w14:paraId="78A5AAC1" w14:textId="77777777" w:rsidR="00875D9A" w:rsidRPr="00C80753" w:rsidRDefault="00875D9A" w:rsidP="007034AA">
            <w:pPr>
              <w:pStyle w:val="ColumnHeading"/>
              <w:keepNext/>
            </w:pPr>
            <w:r w:rsidRPr="00C80753">
              <w:t>Alteração</w:t>
            </w:r>
          </w:p>
        </w:tc>
      </w:tr>
      <w:tr w:rsidR="00875D9A" w:rsidRPr="00C80753" w14:paraId="67FE4B57" w14:textId="77777777" w:rsidTr="007034AA">
        <w:trPr>
          <w:jc w:val="center"/>
        </w:trPr>
        <w:tc>
          <w:tcPr>
            <w:tcW w:w="4876" w:type="dxa"/>
          </w:tcPr>
          <w:p w14:paraId="10663162" w14:textId="77777777" w:rsidR="00875D9A" w:rsidRPr="00C80753" w:rsidRDefault="00875D9A" w:rsidP="007034AA">
            <w:pPr>
              <w:pStyle w:val="Normal6"/>
            </w:pPr>
          </w:p>
        </w:tc>
        <w:tc>
          <w:tcPr>
            <w:tcW w:w="4876" w:type="dxa"/>
          </w:tcPr>
          <w:p w14:paraId="3B813C97" w14:textId="77777777" w:rsidR="00875D9A" w:rsidRPr="00C80753" w:rsidRDefault="00875D9A" w:rsidP="007034AA">
            <w:pPr>
              <w:pStyle w:val="Normal6"/>
              <w:rPr>
                <w:szCs w:val="24"/>
              </w:rPr>
            </w:pPr>
            <w:r w:rsidRPr="00C80753">
              <w:rPr>
                <w:b/>
                <w:i/>
              </w:rPr>
              <w:t>(5-A</w:t>
            </w:r>
            <w:proofErr w:type="gramStart"/>
            <w:r w:rsidRPr="00C80753">
              <w:rPr>
                <w:b/>
                <w:i/>
              </w:rPr>
              <w:t>)</w:t>
            </w:r>
            <w:r w:rsidRPr="00C80753">
              <w:rPr>
                <w:b/>
                <w:i/>
              </w:rPr>
              <w:tab/>
              <w:t>Tendo</w:t>
            </w:r>
            <w:proofErr w:type="gramEnd"/>
            <w:r w:rsidRPr="00C80753">
              <w:rPr>
                <w:b/>
                <w:i/>
              </w:rPr>
              <w:t xml:space="preserve"> em conta os efeitos nocivos do mercúrio e dos compostos de mercúrio na saúde humana e no ambiente, a exposição e as emissões devem ser minimizadas tanto quanto possível. De acordo com relatórios recentes, as empresas europeias estão a fabricar e a exportar compostos de mercúrio destinados a utilizações não permitidas, nomeadamente em cosméticos. Por conseguinte, a Comissão deve apresentar um relatório sobre a aplicação e execução da Convenção de </w:t>
            </w:r>
            <w:proofErr w:type="spellStart"/>
            <w:r w:rsidRPr="00C80753">
              <w:rPr>
                <w:b/>
                <w:i/>
              </w:rPr>
              <w:t>Minamata</w:t>
            </w:r>
            <w:proofErr w:type="spellEnd"/>
            <w:r w:rsidRPr="00C80753">
              <w:rPr>
                <w:b/>
                <w:i/>
              </w:rPr>
              <w:t xml:space="preserve">, em especial no que diz respeito à utilização de mercúrio e de compostos de mercúrio em cosméticos, bem como ao fabrico, à importação e à exportação de mercúrio e de compostos de mercúrio para utilizações não permitidas. A Comissão deve continuar a avaliar as restantes utilizações do mercúrio, por exemplo na </w:t>
            </w:r>
            <w:proofErr w:type="spellStart"/>
            <w:r w:rsidRPr="00C80753">
              <w:rPr>
                <w:b/>
                <w:i/>
              </w:rPr>
              <w:t>porosimetria</w:t>
            </w:r>
            <w:proofErr w:type="spellEnd"/>
            <w:r w:rsidRPr="00C80753">
              <w:rPr>
                <w:b/>
                <w:i/>
              </w:rPr>
              <w:t>, nos faróis marítimos e nas vacinas, bem como a necessidade de alterar a lista de grandes fontes de resíduos e, se for caso disso, sugerir medidas para eliminar progressivamente essas utilizações e regular o fabrico, a importação e a exportação para esses fins.</w:t>
            </w:r>
          </w:p>
        </w:tc>
      </w:tr>
    </w:tbl>
    <w:p w14:paraId="219D2452" w14:textId="77777777" w:rsidR="00875D9A" w:rsidRPr="00C80753" w:rsidRDefault="00875D9A" w:rsidP="00875D9A"/>
    <w:p w14:paraId="24871DDB" w14:textId="77777777" w:rsidR="00875D9A" w:rsidRPr="00C80753" w:rsidRDefault="00875D9A" w:rsidP="00875D9A">
      <w:pPr>
        <w:pStyle w:val="AmNumberTabs"/>
      </w:pPr>
      <w:r w:rsidRPr="00C80753">
        <w:t>Alteração</w:t>
      </w:r>
      <w:r w:rsidRPr="00C80753">
        <w:tab/>
      </w:r>
      <w:r w:rsidRPr="00C80753">
        <w:tab/>
        <w:t>6</w:t>
      </w:r>
    </w:p>
    <w:p w14:paraId="6E9119A5" w14:textId="77777777" w:rsidR="00875D9A" w:rsidRPr="00C80753" w:rsidRDefault="00875D9A" w:rsidP="00875D9A">
      <w:pPr>
        <w:pStyle w:val="NormalBold12b"/>
      </w:pPr>
      <w:r w:rsidRPr="00C80753">
        <w:t>Proposta de regulamento</w:t>
      </w:r>
    </w:p>
    <w:p w14:paraId="4F91CCE5" w14:textId="77777777" w:rsidR="00875D9A" w:rsidRPr="00C80753" w:rsidRDefault="00875D9A" w:rsidP="00875D9A">
      <w:pPr>
        <w:pStyle w:val="NormalBold"/>
      </w:pPr>
      <w:r w:rsidRPr="00C80753">
        <w:t>Considerando 5-B (novo)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75D9A" w:rsidRPr="00C80753" w14:paraId="4E9BF913" w14:textId="77777777" w:rsidTr="007034AA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276E5412" w14:textId="77777777" w:rsidR="00875D9A" w:rsidRPr="00C80753" w:rsidRDefault="00875D9A" w:rsidP="007034AA"/>
        </w:tc>
      </w:tr>
      <w:tr w:rsidR="00875D9A" w:rsidRPr="00C80753" w14:paraId="5642E66F" w14:textId="77777777" w:rsidTr="007034AA">
        <w:trPr>
          <w:trHeight w:val="240"/>
          <w:jc w:val="center"/>
        </w:trPr>
        <w:tc>
          <w:tcPr>
            <w:tcW w:w="4876" w:type="dxa"/>
          </w:tcPr>
          <w:p w14:paraId="50AF3321" w14:textId="77777777" w:rsidR="00875D9A" w:rsidRPr="00C80753" w:rsidRDefault="00875D9A" w:rsidP="007034AA">
            <w:pPr>
              <w:pStyle w:val="AmColumnHeading"/>
            </w:pPr>
            <w:r w:rsidRPr="00C80753">
              <w:t>Texto da Comissão</w:t>
            </w:r>
          </w:p>
        </w:tc>
        <w:tc>
          <w:tcPr>
            <w:tcW w:w="4876" w:type="dxa"/>
          </w:tcPr>
          <w:p w14:paraId="6C496209" w14:textId="77777777" w:rsidR="00875D9A" w:rsidRPr="00C80753" w:rsidRDefault="00875D9A" w:rsidP="007034AA">
            <w:pPr>
              <w:pStyle w:val="AmColumnHeading"/>
            </w:pPr>
            <w:r w:rsidRPr="00C80753">
              <w:t>Alteração</w:t>
            </w:r>
          </w:p>
        </w:tc>
      </w:tr>
      <w:tr w:rsidR="00875D9A" w:rsidRPr="00C80753" w14:paraId="5CD56B92" w14:textId="77777777" w:rsidTr="007034AA">
        <w:trPr>
          <w:jc w:val="center"/>
        </w:trPr>
        <w:tc>
          <w:tcPr>
            <w:tcW w:w="4876" w:type="dxa"/>
          </w:tcPr>
          <w:p w14:paraId="5F8F1134" w14:textId="77777777" w:rsidR="00875D9A" w:rsidRPr="00C80753" w:rsidRDefault="00875D9A" w:rsidP="007034AA">
            <w:pPr>
              <w:pStyle w:val="Normal6a"/>
            </w:pPr>
          </w:p>
        </w:tc>
        <w:tc>
          <w:tcPr>
            <w:tcW w:w="4876" w:type="dxa"/>
          </w:tcPr>
          <w:p w14:paraId="0E93F2C7" w14:textId="77777777" w:rsidR="00875D9A" w:rsidRPr="00C80753" w:rsidRDefault="00875D9A" w:rsidP="007034AA">
            <w:pPr>
              <w:pStyle w:val="Normal6a"/>
            </w:pPr>
            <w:r w:rsidRPr="00C80753">
              <w:rPr>
                <w:b/>
                <w:i/>
              </w:rPr>
              <w:t>(5-B)</w:t>
            </w:r>
            <w:r w:rsidRPr="00C80753">
              <w:tab/>
            </w:r>
            <w:r w:rsidRPr="00C80753">
              <w:rPr>
                <w:b/>
                <w:i/>
              </w:rPr>
              <w:t xml:space="preserve">Tendo em conta a falta de sistemas de recolha adequados para produtos com mercúrio adicionado em resíduos </w:t>
            </w:r>
            <w:r w:rsidRPr="00C80753">
              <w:rPr>
                <w:b/>
                <w:i/>
              </w:rPr>
              <w:lastRenderedPageBreak/>
              <w:t>eletrónicos e não eletrónicos, as emissões secundárias de mercúrio continuam a ter lugar a partir de aterros e incineradoras de resíduos, pondo em destaque a necessidade da recolha separada desses resíduos e de um modo que seja seguro para o ambiente.</w:t>
            </w:r>
          </w:p>
        </w:tc>
      </w:tr>
    </w:tbl>
    <w:p w14:paraId="028CB17C" w14:textId="77777777" w:rsidR="00875D9A" w:rsidRPr="00C80753" w:rsidRDefault="00875D9A" w:rsidP="00875D9A"/>
    <w:p w14:paraId="6A8195AC" w14:textId="77777777" w:rsidR="00875D9A" w:rsidRPr="00C80753" w:rsidRDefault="00875D9A" w:rsidP="00875D9A">
      <w:pPr>
        <w:pStyle w:val="AmNumberTabs"/>
      </w:pPr>
      <w:r w:rsidRPr="00C80753">
        <w:t>Alteração</w:t>
      </w:r>
      <w:r w:rsidRPr="00C80753">
        <w:tab/>
      </w:r>
      <w:r w:rsidRPr="00C80753">
        <w:tab/>
        <w:t>7</w:t>
      </w:r>
    </w:p>
    <w:p w14:paraId="0857C719" w14:textId="77777777" w:rsidR="00875D9A" w:rsidRPr="00C80753" w:rsidRDefault="00875D9A" w:rsidP="00875D9A"/>
    <w:p w14:paraId="2A7DCBDF" w14:textId="77777777" w:rsidR="00875D9A" w:rsidRPr="00C80753" w:rsidRDefault="00875D9A" w:rsidP="00875D9A">
      <w:pPr>
        <w:pStyle w:val="NormalBold"/>
        <w:keepNext/>
      </w:pPr>
      <w:r w:rsidRPr="00C80753">
        <w:t>Proposta de regulamento</w:t>
      </w:r>
    </w:p>
    <w:p w14:paraId="3702EFEC" w14:textId="77777777" w:rsidR="00875D9A" w:rsidRPr="00C80753" w:rsidRDefault="00875D9A" w:rsidP="00875D9A">
      <w:pPr>
        <w:pStyle w:val="NormalBold"/>
      </w:pPr>
      <w:r w:rsidRPr="00C80753">
        <w:t>Artigo 1 – parágrafo 1 – ponto 1 – alínea a)</w:t>
      </w:r>
    </w:p>
    <w:p w14:paraId="06BAF646" w14:textId="77777777" w:rsidR="00875D9A" w:rsidRPr="00C80753" w:rsidRDefault="00875D9A" w:rsidP="00875D9A">
      <w:pPr>
        <w:keepNext/>
      </w:pPr>
      <w:r w:rsidRPr="00C80753">
        <w:t>Regulamento (UE) 2017/852</w:t>
      </w:r>
    </w:p>
    <w:p w14:paraId="4D867E1F" w14:textId="77777777" w:rsidR="00875D9A" w:rsidRPr="00C80753" w:rsidRDefault="00875D9A" w:rsidP="00875D9A">
      <w:r w:rsidRPr="00C80753">
        <w:t>Artigo 10 – n.º 2-A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875D9A" w:rsidRPr="00C80753" w14:paraId="35776186" w14:textId="77777777" w:rsidTr="007034AA">
        <w:trPr>
          <w:jc w:val="center"/>
        </w:trPr>
        <w:tc>
          <w:tcPr>
            <w:tcW w:w="9752" w:type="dxa"/>
            <w:gridSpan w:val="2"/>
          </w:tcPr>
          <w:p w14:paraId="3BA148EC" w14:textId="77777777" w:rsidR="00875D9A" w:rsidRPr="00C80753" w:rsidRDefault="00875D9A" w:rsidP="007034AA">
            <w:pPr>
              <w:keepNext/>
            </w:pPr>
          </w:p>
        </w:tc>
      </w:tr>
      <w:tr w:rsidR="00875D9A" w:rsidRPr="00C80753" w14:paraId="241616BF" w14:textId="77777777" w:rsidTr="007034AA">
        <w:trPr>
          <w:jc w:val="center"/>
        </w:trPr>
        <w:tc>
          <w:tcPr>
            <w:tcW w:w="4876" w:type="dxa"/>
          </w:tcPr>
          <w:p w14:paraId="3FE518B6" w14:textId="77777777" w:rsidR="00875D9A" w:rsidRPr="00C80753" w:rsidRDefault="00875D9A" w:rsidP="007034AA">
            <w:pPr>
              <w:pStyle w:val="ColumnHeading"/>
              <w:keepNext/>
            </w:pPr>
            <w:r w:rsidRPr="00C80753">
              <w:t>Texto da Comissão</w:t>
            </w:r>
          </w:p>
        </w:tc>
        <w:tc>
          <w:tcPr>
            <w:tcW w:w="4876" w:type="dxa"/>
          </w:tcPr>
          <w:p w14:paraId="52F1DF73" w14:textId="77777777" w:rsidR="00875D9A" w:rsidRPr="00C80753" w:rsidRDefault="00875D9A" w:rsidP="007034AA">
            <w:pPr>
              <w:pStyle w:val="ColumnHeading"/>
              <w:keepNext/>
            </w:pPr>
            <w:r w:rsidRPr="00C80753">
              <w:t>Alteração</w:t>
            </w:r>
          </w:p>
        </w:tc>
      </w:tr>
      <w:tr w:rsidR="00875D9A" w:rsidRPr="00C80753" w14:paraId="2D9D519E" w14:textId="77777777" w:rsidTr="007034AA">
        <w:trPr>
          <w:jc w:val="center"/>
        </w:trPr>
        <w:tc>
          <w:tcPr>
            <w:tcW w:w="4876" w:type="dxa"/>
          </w:tcPr>
          <w:p w14:paraId="7E735A4D" w14:textId="0FDD0935" w:rsidR="00875D9A" w:rsidRPr="00C80753" w:rsidRDefault="00875D9A" w:rsidP="007034AA">
            <w:pPr>
              <w:pStyle w:val="Normal6"/>
            </w:pPr>
            <w:r w:rsidRPr="00C80753">
              <w:t>2-A.</w:t>
            </w:r>
            <w:r w:rsidRPr="00C80753">
              <w:tab/>
              <w:t>A partir de 1 de janeiro de 2025, a amálgama dentária não pode ser utilizada para tratamentos dentários de nenhuma pessoa, exceto quando for considerado estritamente necessário por um médico dentista com base nas necessidades médicas específicas do doente.;</w:t>
            </w:r>
          </w:p>
        </w:tc>
        <w:tc>
          <w:tcPr>
            <w:tcW w:w="4876" w:type="dxa"/>
          </w:tcPr>
          <w:p w14:paraId="2A5C2FAA" w14:textId="527304EF" w:rsidR="00875D9A" w:rsidRPr="00C80753" w:rsidRDefault="00875D9A" w:rsidP="004A6777">
            <w:pPr>
              <w:pStyle w:val="Normal6"/>
              <w:rPr>
                <w:szCs w:val="24"/>
              </w:rPr>
            </w:pPr>
            <w:r w:rsidRPr="00C80753">
              <w:t>2-A.</w:t>
            </w:r>
            <w:r w:rsidRPr="00C80753">
              <w:tab/>
              <w:t xml:space="preserve">A partir de 1 de janeiro de 2025, a amálgama dentária não pode ser utilizada para tratamentos dentários de nenhuma pessoa, exceto quando for considerado estritamente necessário por um médico dentista com base nas necessidades médicas específicas </w:t>
            </w:r>
            <w:r w:rsidRPr="00C80753">
              <w:rPr>
                <w:b/>
                <w:i/>
              </w:rPr>
              <w:t xml:space="preserve">devidamente justificadas </w:t>
            </w:r>
            <w:r w:rsidRPr="00C80753">
              <w:t>do doente.</w:t>
            </w:r>
          </w:p>
        </w:tc>
      </w:tr>
    </w:tbl>
    <w:p w14:paraId="0750F178" w14:textId="77777777" w:rsidR="00875D9A" w:rsidRPr="00C80753" w:rsidRDefault="00875D9A" w:rsidP="00875D9A"/>
    <w:p w14:paraId="474C3E9E" w14:textId="77777777" w:rsidR="00875D9A" w:rsidRPr="00C80753" w:rsidRDefault="00875D9A" w:rsidP="00875D9A">
      <w:pPr>
        <w:pStyle w:val="AmNumberTabs"/>
      </w:pPr>
      <w:r w:rsidRPr="00C80753">
        <w:t>Alteração</w:t>
      </w:r>
      <w:r w:rsidRPr="00C80753">
        <w:tab/>
      </w:r>
      <w:r w:rsidRPr="00C80753">
        <w:tab/>
        <w:t>8</w:t>
      </w:r>
    </w:p>
    <w:p w14:paraId="530B0BD0" w14:textId="77777777" w:rsidR="00875D9A" w:rsidRPr="00C80753" w:rsidRDefault="00875D9A" w:rsidP="00875D9A">
      <w:pPr>
        <w:pStyle w:val="NormalBold12b"/>
      </w:pPr>
      <w:r w:rsidRPr="00C80753">
        <w:t>Proposta de regulamento</w:t>
      </w:r>
    </w:p>
    <w:p w14:paraId="69D11149" w14:textId="77777777" w:rsidR="00875D9A" w:rsidRPr="00C80753" w:rsidRDefault="00875D9A" w:rsidP="00875D9A">
      <w:pPr>
        <w:pStyle w:val="NormalBold"/>
      </w:pPr>
      <w:r w:rsidRPr="00C80753">
        <w:t>Artigo 1 –  parágrafo 1 – ponto 1-A (novo)</w:t>
      </w:r>
    </w:p>
    <w:p w14:paraId="14911ED9" w14:textId="77777777" w:rsidR="00875D9A" w:rsidRPr="00C80753" w:rsidRDefault="00875D9A" w:rsidP="00875D9A">
      <w:r w:rsidRPr="00C80753">
        <w:t>Regulamento (UE) 2017/852</w:t>
      </w:r>
    </w:p>
    <w:p w14:paraId="1E5931F1" w14:textId="77777777" w:rsidR="00875D9A" w:rsidRPr="00C80753" w:rsidRDefault="00875D9A" w:rsidP="00875D9A">
      <w:r w:rsidRPr="00C80753">
        <w:t>Artigo 11 – n.º 1-A (novo)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75D9A" w:rsidRPr="00C80753" w14:paraId="792F0B40" w14:textId="77777777" w:rsidTr="007034AA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5EDDAC7C" w14:textId="77777777" w:rsidR="00875D9A" w:rsidRPr="00C80753" w:rsidRDefault="00875D9A" w:rsidP="007034AA"/>
        </w:tc>
      </w:tr>
      <w:tr w:rsidR="00875D9A" w:rsidRPr="00C80753" w14:paraId="297F415F" w14:textId="77777777" w:rsidTr="007034AA">
        <w:trPr>
          <w:trHeight w:val="240"/>
          <w:jc w:val="center"/>
        </w:trPr>
        <w:tc>
          <w:tcPr>
            <w:tcW w:w="4876" w:type="dxa"/>
          </w:tcPr>
          <w:p w14:paraId="1CCFA045" w14:textId="77777777" w:rsidR="00875D9A" w:rsidRPr="00C80753" w:rsidRDefault="00875D9A" w:rsidP="007034AA">
            <w:pPr>
              <w:pStyle w:val="AmColumnHeading"/>
            </w:pPr>
            <w:r w:rsidRPr="00C80753">
              <w:t>Texto da Comissão</w:t>
            </w:r>
          </w:p>
        </w:tc>
        <w:tc>
          <w:tcPr>
            <w:tcW w:w="4876" w:type="dxa"/>
          </w:tcPr>
          <w:p w14:paraId="64444105" w14:textId="77777777" w:rsidR="00875D9A" w:rsidRPr="00C80753" w:rsidRDefault="00875D9A" w:rsidP="007034AA">
            <w:pPr>
              <w:pStyle w:val="AmColumnHeading"/>
            </w:pPr>
            <w:r w:rsidRPr="00C80753">
              <w:t>Alteração</w:t>
            </w:r>
          </w:p>
        </w:tc>
      </w:tr>
      <w:tr w:rsidR="00875D9A" w:rsidRPr="00C80753" w14:paraId="4C7559E0" w14:textId="77777777" w:rsidTr="007034AA">
        <w:trPr>
          <w:jc w:val="center"/>
        </w:trPr>
        <w:tc>
          <w:tcPr>
            <w:tcW w:w="4876" w:type="dxa"/>
          </w:tcPr>
          <w:p w14:paraId="11FBAA36" w14:textId="77777777" w:rsidR="00875D9A" w:rsidRPr="00C80753" w:rsidRDefault="00875D9A" w:rsidP="007034AA">
            <w:pPr>
              <w:pStyle w:val="Normal6a"/>
            </w:pPr>
          </w:p>
        </w:tc>
        <w:tc>
          <w:tcPr>
            <w:tcW w:w="4876" w:type="dxa"/>
          </w:tcPr>
          <w:p w14:paraId="7EBDA524" w14:textId="219115AD" w:rsidR="00875D9A" w:rsidRPr="00C80753" w:rsidRDefault="00875D9A" w:rsidP="001277F1">
            <w:pPr>
              <w:pStyle w:val="Normal6a"/>
            </w:pPr>
            <w:r w:rsidRPr="00C80753">
              <w:rPr>
                <w:b/>
                <w:i/>
              </w:rPr>
              <w:t>1-A.</w:t>
            </w:r>
            <w:r w:rsidRPr="00C80753">
              <w:tab/>
            </w:r>
            <w:r w:rsidR="001277F1">
              <w:rPr>
                <w:b/>
                <w:i/>
              </w:rPr>
              <w:t>A</w:t>
            </w:r>
            <w:r w:rsidRPr="00C80753">
              <w:rPr>
                <w:b/>
                <w:i/>
              </w:rPr>
              <w:t>o artigo 11.º</w:t>
            </w:r>
            <w:r w:rsidR="001277F1">
              <w:rPr>
                <w:b/>
                <w:i/>
              </w:rPr>
              <w:t>,</w:t>
            </w:r>
            <w:r w:rsidRPr="00C80753">
              <w:rPr>
                <w:b/>
                <w:i/>
              </w:rPr>
              <w:t xml:space="preserve"> é aditado o seguinte parágrafo:</w:t>
            </w:r>
          </w:p>
        </w:tc>
      </w:tr>
      <w:tr w:rsidR="00875D9A" w:rsidRPr="00C80753" w14:paraId="09CD9EA2" w14:textId="77777777" w:rsidTr="007034AA">
        <w:trPr>
          <w:jc w:val="center"/>
        </w:trPr>
        <w:tc>
          <w:tcPr>
            <w:tcW w:w="4876" w:type="dxa"/>
          </w:tcPr>
          <w:p w14:paraId="4D05D3B2" w14:textId="77777777" w:rsidR="00875D9A" w:rsidRPr="00C80753" w:rsidRDefault="00875D9A" w:rsidP="007034AA">
            <w:pPr>
              <w:pStyle w:val="Normal6a"/>
            </w:pPr>
          </w:p>
        </w:tc>
        <w:tc>
          <w:tcPr>
            <w:tcW w:w="4876" w:type="dxa"/>
          </w:tcPr>
          <w:p w14:paraId="73972E06" w14:textId="77777777" w:rsidR="00875D9A" w:rsidRPr="00C80753" w:rsidRDefault="00875D9A" w:rsidP="007034AA">
            <w:pPr>
              <w:pStyle w:val="Normal6a"/>
            </w:pPr>
            <w:r w:rsidRPr="00C80753">
              <w:rPr>
                <w:b/>
                <w:i/>
              </w:rPr>
              <w:t>«Os produtos com mercúrio adicionado ainda em circulação na sociedade e que já não possam ser utilizados devem ser considerados como resíduos e recolhidos de forma separada e ambientalmente segura.»</w:t>
            </w:r>
          </w:p>
        </w:tc>
      </w:tr>
    </w:tbl>
    <w:p w14:paraId="304B6978" w14:textId="77777777" w:rsidR="00875D9A" w:rsidRPr="00C80753" w:rsidRDefault="00875D9A" w:rsidP="00875D9A"/>
    <w:p w14:paraId="5819F869" w14:textId="77777777" w:rsidR="00875D9A" w:rsidRPr="00C80753" w:rsidRDefault="00875D9A" w:rsidP="00875D9A">
      <w:pPr>
        <w:pStyle w:val="AmNumberTabs"/>
      </w:pPr>
      <w:r w:rsidRPr="00C80753">
        <w:t>Alteração</w:t>
      </w:r>
      <w:r w:rsidRPr="00C80753">
        <w:tab/>
      </w:r>
      <w:r w:rsidRPr="00C80753">
        <w:tab/>
        <w:t>9</w:t>
      </w:r>
    </w:p>
    <w:p w14:paraId="775BA97C" w14:textId="77777777" w:rsidR="00875D9A" w:rsidRPr="00C80753" w:rsidRDefault="00875D9A" w:rsidP="00875D9A"/>
    <w:p w14:paraId="1281F5FB" w14:textId="77777777" w:rsidR="00875D9A" w:rsidRPr="00C80753" w:rsidRDefault="00875D9A" w:rsidP="00875D9A">
      <w:pPr>
        <w:pStyle w:val="NormalBold"/>
        <w:keepNext/>
      </w:pPr>
      <w:r w:rsidRPr="00C80753">
        <w:lastRenderedPageBreak/>
        <w:t>Proposta de regulamento</w:t>
      </w:r>
    </w:p>
    <w:p w14:paraId="1EC66272" w14:textId="77777777" w:rsidR="00875D9A" w:rsidRPr="00C80753" w:rsidRDefault="00875D9A" w:rsidP="00875D9A">
      <w:pPr>
        <w:pStyle w:val="NormalBold"/>
      </w:pPr>
      <w:r w:rsidRPr="00C80753">
        <w:t>Artigo 1 – parágrafo 1 – ponto 1-B (novo)</w:t>
      </w:r>
    </w:p>
    <w:p w14:paraId="3BBB7519" w14:textId="77777777" w:rsidR="00875D9A" w:rsidRPr="00C80753" w:rsidRDefault="00875D9A" w:rsidP="00875D9A">
      <w:pPr>
        <w:keepNext/>
      </w:pPr>
      <w:r w:rsidRPr="00C80753">
        <w:t>Regulamento (UE) 2017/852</w:t>
      </w:r>
    </w:p>
    <w:p w14:paraId="21881713" w14:textId="77777777" w:rsidR="00875D9A" w:rsidRPr="00C80753" w:rsidRDefault="00875D9A" w:rsidP="00875D9A">
      <w:r w:rsidRPr="00C80753">
        <w:t>Artigo 18 – n.º 3-A (novo)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875D9A" w:rsidRPr="00C80753" w14:paraId="39746B54" w14:textId="77777777" w:rsidTr="007034AA">
        <w:trPr>
          <w:jc w:val="center"/>
        </w:trPr>
        <w:tc>
          <w:tcPr>
            <w:tcW w:w="9752" w:type="dxa"/>
            <w:gridSpan w:val="2"/>
          </w:tcPr>
          <w:p w14:paraId="7CEA0951" w14:textId="77777777" w:rsidR="00875D9A" w:rsidRPr="00C80753" w:rsidRDefault="00875D9A" w:rsidP="007034AA">
            <w:pPr>
              <w:keepNext/>
            </w:pPr>
          </w:p>
        </w:tc>
      </w:tr>
      <w:tr w:rsidR="00875D9A" w:rsidRPr="00C80753" w14:paraId="14E5BFF0" w14:textId="77777777" w:rsidTr="007034AA">
        <w:trPr>
          <w:jc w:val="center"/>
        </w:trPr>
        <w:tc>
          <w:tcPr>
            <w:tcW w:w="4876" w:type="dxa"/>
          </w:tcPr>
          <w:p w14:paraId="42463594" w14:textId="77777777" w:rsidR="00875D9A" w:rsidRPr="00C80753" w:rsidRDefault="00875D9A" w:rsidP="007034AA">
            <w:pPr>
              <w:pStyle w:val="ColumnHeading"/>
              <w:keepNext/>
            </w:pPr>
            <w:r w:rsidRPr="00C80753">
              <w:t>Texto da Comissão</w:t>
            </w:r>
          </w:p>
        </w:tc>
        <w:tc>
          <w:tcPr>
            <w:tcW w:w="4876" w:type="dxa"/>
          </w:tcPr>
          <w:p w14:paraId="1A825439" w14:textId="77777777" w:rsidR="00875D9A" w:rsidRPr="00C80753" w:rsidRDefault="00875D9A" w:rsidP="007034AA">
            <w:pPr>
              <w:pStyle w:val="ColumnHeading"/>
              <w:keepNext/>
            </w:pPr>
            <w:r w:rsidRPr="00C80753">
              <w:t>Alteração</w:t>
            </w:r>
          </w:p>
        </w:tc>
      </w:tr>
      <w:tr w:rsidR="00875D9A" w:rsidRPr="00C80753" w14:paraId="1C2A5870" w14:textId="77777777" w:rsidTr="007034AA">
        <w:trPr>
          <w:jc w:val="center"/>
        </w:trPr>
        <w:tc>
          <w:tcPr>
            <w:tcW w:w="4876" w:type="dxa"/>
          </w:tcPr>
          <w:p w14:paraId="4D011AA0" w14:textId="77777777" w:rsidR="00875D9A" w:rsidRPr="00C80753" w:rsidRDefault="00875D9A" w:rsidP="007034AA">
            <w:pPr>
              <w:pStyle w:val="Normal6"/>
            </w:pPr>
          </w:p>
        </w:tc>
        <w:tc>
          <w:tcPr>
            <w:tcW w:w="4876" w:type="dxa"/>
          </w:tcPr>
          <w:p w14:paraId="3E674E0F" w14:textId="55F940F3" w:rsidR="00875D9A" w:rsidRPr="00C80753" w:rsidRDefault="00875D9A" w:rsidP="001277F1">
            <w:pPr>
              <w:pStyle w:val="Normal6"/>
              <w:rPr>
                <w:szCs w:val="24"/>
              </w:rPr>
            </w:pPr>
            <w:r w:rsidRPr="00C80753">
              <w:rPr>
                <w:b/>
                <w:i/>
              </w:rPr>
              <w:t>(1-B)</w:t>
            </w:r>
            <w:r w:rsidRPr="00C80753">
              <w:rPr>
                <w:b/>
                <w:i/>
              </w:rPr>
              <w:tab/>
            </w:r>
            <w:r w:rsidR="001277F1">
              <w:rPr>
                <w:b/>
                <w:i/>
              </w:rPr>
              <w:t>A</w:t>
            </w:r>
            <w:r w:rsidRPr="00C80753">
              <w:rPr>
                <w:b/>
                <w:i/>
              </w:rPr>
              <w:t>o artigo 18.º</w:t>
            </w:r>
            <w:r w:rsidR="001277F1">
              <w:rPr>
                <w:b/>
                <w:i/>
              </w:rPr>
              <w:t>,</w:t>
            </w:r>
            <w:r w:rsidRPr="00C80753">
              <w:rPr>
                <w:b/>
                <w:i/>
              </w:rPr>
              <w:t xml:space="preserve"> é aditado o seguinte número:</w:t>
            </w:r>
          </w:p>
        </w:tc>
      </w:tr>
      <w:tr w:rsidR="00875D9A" w:rsidRPr="00C80753" w14:paraId="4E05AA33" w14:textId="77777777" w:rsidTr="007034AA">
        <w:trPr>
          <w:jc w:val="center"/>
        </w:trPr>
        <w:tc>
          <w:tcPr>
            <w:tcW w:w="4876" w:type="dxa"/>
          </w:tcPr>
          <w:p w14:paraId="1F8F8300" w14:textId="77777777" w:rsidR="00875D9A" w:rsidRPr="00C80753" w:rsidRDefault="00875D9A" w:rsidP="007034AA">
            <w:pPr>
              <w:pStyle w:val="Normal6a"/>
            </w:pPr>
          </w:p>
        </w:tc>
        <w:tc>
          <w:tcPr>
            <w:tcW w:w="4876" w:type="dxa"/>
          </w:tcPr>
          <w:p w14:paraId="5FA16752" w14:textId="6BE23A49" w:rsidR="00875D9A" w:rsidRPr="00C80753" w:rsidRDefault="00875D9A" w:rsidP="0026777E">
            <w:pPr>
              <w:pStyle w:val="Normal6a"/>
              <w:rPr>
                <w:szCs w:val="24"/>
              </w:rPr>
            </w:pPr>
            <w:r w:rsidRPr="00C80753">
              <w:rPr>
                <w:b/>
                <w:i/>
              </w:rPr>
              <w:t>«3-A.</w:t>
            </w:r>
            <w:r w:rsidRPr="00C80753">
              <w:rPr>
                <w:b/>
                <w:i/>
              </w:rPr>
              <w:tab/>
              <w:t>Até 3</w:t>
            </w:r>
            <w:r w:rsidR="0026777E">
              <w:rPr>
                <w:b/>
                <w:i/>
              </w:rPr>
              <w:t>0</w:t>
            </w:r>
            <w:r w:rsidRPr="00C80753">
              <w:rPr>
                <w:b/>
                <w:i/>
              </w:rPr>
              <w:t xml:space="preserve"> de junho de 2024, e posteriormente de dois em dois anos, os Estados-Membros apresentam à Comissão um relatório sobre as medidas previstas e aplicadas para reduzir as emissões e libertações de mercúrio provenientes dos crematórios.</w:t>
            </w:r>
          </w:p>
        </w:tc>
      </w:tr>
      <w:tr w:rsidR="00875D9A" w:rsidRPr="00C80753" w14:paraId="0C1D175E" w14:textId="77777777" w:rsidTr="007034AA">
        <w:trPr>
          <w:jc w:val="center"/>
        </w:trPr>
        <w:tc>
          <w:tcPr>
            <w:tcW w:w="4876" w:type="dxa"/>
          </w:tcPr>
          <w:p w14:paraId="4A5F5891" w14:textId="77777777" w:rsidR="00875D9A" w:rsidRPr="00C80753" w:rsidRDefault="00875D9A" w:rsidP="007034AA">
            <w:pPr>
              <w:pStyle w:val="Normal6"/>
            </w:pPr>
          </w:p>
        </w:tc>
        <w:tc>
          <w:tcPr>
            <w:tcW w:w="4876" w:type="dxa"/>
          </w:tcPr>
          <w:p w14:paraId="46D59E0C" w14:textId="77777777" w:rsidR="00875D9A" w:rsidRPr="00C80753" w:rsidRDefault="00875D9A" w:rsidP="007034AA">
            <w:pPr>
              <w:pStyle w:val="Normal6"/>
              <w:rPr>
                <w:szCs w:val="24"/>
              </w:rPr>
            </w:pPr>
            <w:r w:rsidRPr="00C80753">
              <w:rPr>
                <w:b/>
                <w:i/>
              </w:rPr>
              <w:t>A Comissão disponibiliza ao público os dados sobre as medidas comunicadas pelos Estados-Membros em conformidade com o primeiro parágrafo.»</w:t>
            </w:r>
          </w:p>
        </w:tc>
      </w:tr>
    </w:tbl>
    <w:p w14:paraId="53161EEE" w14:textId="77777777" w:rsidR="00875D9A" w:rsidRPr="00C80753" w:rsidRDefault="00875D9A" w:rsidP="00875D9A"/>
    <w:p w14:paraId="12AD69A1" w14:textId="77777777" w:rsidR="00875D9A" w:rsidRPr="00C80753" w:rsidRDefault="00875D9A" w:rsidP="00875D9A">
      <w:pPr>
        <w:pStyle w:val="AmNumberTabs"/>
      </w:pPr>
      <w:r w:rsidRPr="00C80753">
        <w:t>Alteração</w:t>
      </w:r>
      <w:r w:rsidRPr="00C80753">
        <w:tab/>
      </w:r>
      <w:r w:rsidRPr="00C80753">
        <w:tab/>
        <w:t>10</w:t>
      </w:r>
    </w:p>
    <w:p w14:paraId="21B9FED0" w14:textId="77777777" w:rsidR="00875D9A" w:rsidRPr="00C80753" w:rsidRDefault="00875D9A" w:rsidP="00875D9A"/>
    <w:p w14:paraId="77712350" w14:textId="77777777" w:rsidR="00875D9A" w:rsidRPr="00C80753" w:rsidRDefault="00875D9A" w:rsidP="00875D9A">
      <w:pPr>
        <w:pStyle w:val="NormalBold"/>
        <w:keepNext/>
      </w:pPr>
      <w:r w:rsidRPr="00C80753">
        <w:t>Proposta de regulamento</w:t>
      </w:r>
    </w:p>
    <w:p w14:paraId="4A64A547" w14:textId="77777777" w:rsidR="00875D9A" w:rsidRPr="00C80753" w:rsidRDefault="00875D9A" w:rsidP="00875D9A">
      <w:pPr>
        <w:pStyle w:val="NormalBold"/>
      </w:pPr>
      <w:r w:rsidRPr="00C80753">
        <w:t>Artigo 1 –  parágrafo 1 – ponto 1-C (novo)</w:t>
      </w:r>
    </w:p>
    <w:p w14:paraId="12258051" w14:textId="77777777" w:rsidR="00875D9A" w:rsidRPr="00C80753" w:rsidRDefault="00875D9A" w:rsidP="00875D9A">
      <w:pPr>
        <w:keepNext/>
      </w:pPr>
      <w:r w:rsidRPr="00C80753">
        <w:t>Regulamento (UE) 2017/852</w:t>
      </w:r>
    </w:p>
    <w:p w14:paraId="43B87001" w14:textId="77777777" w:rsidR="00875D9A" w:rsidRPr="00C80753" w:rsidRDefault="00875D9A" w:rsidP="00875D9A">
      <w:r w:rsidRPr="00C80753">
        <w:t>Artigo 19 – n.º 1-A (novo)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875D9A" w:rsidRPr="00C80753" w14:paraId="4136E49E" w14:textId="77777777" w:rsidTr="007034AA">
        <w:trPr>
          <w:jc w:val="center"/>
        </w:trPr>
        <w:tc>
          <w:tcPr>
            <w:tcW w:w="9752" w:type="dxa"/>
            <w:gridSpan w:val="2"/>
          </w:tcPr>
          <w:p w14:paraId="15ADA245" w14:textId="77777777" w:rsidR="00875D9A" w:rsidRPr="00C80753" w:rsidRDefault="00875D9A" w:rsidP="007034AA">
            <w:pPr>
              <w:keepNext/>
            </w:pPr>
          </w:p>
        </w:tc>
      </w:tr>
      <w:tr w:rsidR="00875D9A" w:rsidRPr="00C80753" w14:paraId="64A99AAA" w14:textId="77777777" w:rsidTr="007034AA">
        <w:trPr>
          <w:jc w:val="center"/>
        </w:trPr>
        <w:tc>
          <w:tcPr>
            <w:tcW w:w="4876" w:type="dxa"/>
          </w:tcPr>
          <w:p w14:paraId="71ED5A09" w14:textId="77777777" w:rsidR="00875D9A" w:rsidRPr="00C80753" w:rsidRDefault="00875D9A" w:rsidP="007034AA">
            <w:pPr>
              <w:pStyle w:val="ColumnHeading"/>
              <w:keepNext/>
            </w:pPr>
            <w:r w:rsidRPr="00C80753">
              <w:t>Texto da Comissão</w:t>
            </w:r>
          </w:p>
        </w:tc>
        <w:tc>
          <w:tcPr>
            <w:tcW w:w="4876" w:type="dxa"/>
          </w:tcPr>
          <w:p w14:paraId="39A406E7" w14:textId="77777777" w:rsidR="00875D9A" w:rsidRPr="00C80753" w:rsidRDefault="00875D9A" w:rsidP="007034AA">
            <w:pPr>
              <w:pStyle w:val="ColumnHeading"/>
              <w:keepNext/>
            </w:pPr>
            <w:r w:rsidRPr="00C80753">
              <w:t>Alteração</w:t>
            </w:r>
          </w:p>
        </w:tc>
      </w:tr>
      <w:tr w:rsidR="00875D9A" w:rsidRPr="00C80753" w14:paraId="25C4AA62" w14:textId="77777777" w:rsidTr="007034AA">
        <w:trPr>
          <w:jc w:val="center"/>
        </w:trPr>
        <w:tc>
          <w:tcPr>
            <w:tcW w:w="4876" w:type="dxa"/>
          </w:tcPr>
          <w:p w14:paraId="599F684A" w14:textId="77777777" w:rsidR="00875D9A" w:rsidRPr="00C80753" w:rsidRDefault="00875D9A" w:rsidP="007034AA">
            <w:pPr>
              <w:pStyle w:val="Normal6"/>
            </w:pPr>
          </w:p>
        </w:tc>
        <w:tc>
          <w:tcPr>
            <w:tcW w:w="4876" w:type="dxa"/>
          </w:tcPr>
          <w:p w14:paraId="5370B460" w14:textId="298C4284" w:rsidR="00875D9A" w:rsidRPr="00C80753" w:rsidRDefault="00875D9A" w:rsidP="007034AA">
            <w:pPr>
              <w:pStyle w:val="Normal6"/>
              <w:rPr>
                <w:szCs w:val="24"/>
              </w:rPr>
            </w:pPr>
            <w:r w:rsidRPr="00C80753">
              <w:rPr>
                <w:b/>
                <w:i/>
              </w:rPr>
              <w:t>(1-C)</w:t>
            </w:r>
            <w:r w:rsidRPr="00C80753">
              <w:rPr>
                <w:b/>
                <w:i/>
              </w:rPr>
              <w:tab/>
              <w:t>No artigo 19.º</w:t>
            </w:r>
            <w:r w:rsidR="001277F1">
              <w:rPr>
                <w:b/>
                <w:i/>
              </w:rPr>
              <w:t>,</w:t>
            </w:r>
            <w:r w:rsidRPr="00C80753">
              <w:rPr>
                <w:b/>
                <w:i/>
              </w:rPr>
              <w:t xml:space="preserve"> é inserido o seguinte número:</w:t>
            </w:r>
          </w:p>
        </w:tc>
      </w:tr>
      <w:tr w:rsidR="00875D9A" w:rsidRPr="00C80753" w14:paraId="64DCC154" w14:textId="77777777" w:rsidTr="007034AA">
        <w:trPr>
          <w:jc w:val="center"/>
        </w:trPr>
        <w:tc>
          <w:tcPr>
            <w:tcW w:w="4876" w:type="dxa"/>
          </w:tcPr>
          <w:p w14:paraId="04C92D79" w14:textId="77777777" w:rsidR="00875D9A" w:rsidRPr="00C80753" w:rsidRDefault="00875D9A" w:rsidP="007034AA">
            <w:pPr>
              <w:pStyle w:val="Normal6"/>
            </w:pPr>
          </w:p>
        </w:tc>
        <w:tc>
          <w:tcPr>
            <w:tcW w:w="4876" w:type="dxa"/>
          </w:tcPr>
          <w:p w14:paraId="34E23374" w14:textId="77777777" w:rsidR="00875D9A" w:rsidRPr="00C80753" w:rsidRDefault="00875D9A" w:rsidP="007034AA">
            <w:pPr>
              <w:pStyle w:val="Normal6"/>
              <w:rPr>
                <w:szCs w:val="24"/>
              </w:rPr>
            </w:pPr>
            <w:r w:rsidRPr="00C80753">
              <w:rPr>
                <w:b/>
                <w:i/>
              </w:rPr>
              <w:t xml:space="preserve">«1-A. </w:t>
            </w:r>
            <w:r w:rsidRPr="00C80753">
              <w:rPr>
                <w:b/>
                <w:i/>
              </w:rPr>
              <w:tab/>
              <w:t>Até 31 de dezembro de 2025, a Comissão apresenta ao Parlamento Europeu e ao Conselho um relatório sobre a redução das emissões e libertações de mercúrio provenientes dos crematórios, com base nos relatórios a que se refere o artigo 18.º, n.º 3-A, e, se for caso disso, elabora orientações sobre as tecnologias de redução para controlar e reduzir as emissões e libertações de mercúrio provenientes dos crematórios, tendo em conta as orientações existentes.»</w:t>
            </w:r>
          </w:p>
        </w:tc>
      </w:tr>
    </w:tbl>
    <w:p w14:paraId="03F1ABB4" w14:textId="77777777" w:rsidR="00875D9A" w:rsidRPr="00C80753" w:rsidRDefault="00875D9A" w:rsidP="00875D9A"/>
    <w:p w14:paraId="6954D95A" w14:textId="77777777" w:rsidR="00875D9A" w:rsidRPr="00C80753" w:rsidRDefault="00875D9A" w:rsidP="00875D9A">
      <w:pPr>
        <w:pStyle w:val="AmNumberTabs"/>
      </w:pPr>
      <w:r w:rsidRPr="00C80753">
        <w:t>Alteração</w:t>
      </w:r>
      <w:r w:rsidRPr="00C80753">
        <w:tab/>
      </w:r>
      <w:r w:rsidRPr="00C80753">
        <w:tab/>
        <w:t>11</w:t>
      </w:r>
    </w:p>
    <w:p w14:paraId="77233E0A" w14:textId="77777777" w:rsidR="00875D9A" w:rsidRPr="00C80753" w:rsidRDefault="00875D9A" w:rsidP="00875D9A"/>
    <w:p w14:paraId="1E0FF880" w14:textId="77777777" w:rsidR="00875D9A" w:rsidRPr="00C80753" w:rsidRDefault="00875D9A" w:rsidP="00875D9A">
      <w:pPr>
        <w:pStyle w:val="NormalBold"/>
        <w:keepNext/>
      </w:pPr>
      <w:r w:rsidRPr="00C80753">
        <w:lastRenderedPageBreak/>
        <w:t>Proposta de regulamento</w:t>
      </w:r>
    </w:p>
    <w:p w14:paraId="65BD0B82" w14:textId="77777777" w:rsidR="00875D9A" w:rsidRPr="00C80753" w:rsidRDefault="00875D9A" w:rsidP="00875D9A">
      <w:pPr>
        <w:pStyle w:val="NormalBold"/>
      </w:pPr>
      <w:r w:rsidRPr="00C80753">
        <w:t>Artigo 1 – parágrafo 1 – ponto 1-D (novo)</w:t>
      </w:r>
    </w:p>
    <w:p w14:paraId="206F5F3B" w14:textId="77777777" w:rsidR="00875D9A" w:rsidRPr="00C80753" w:rsidRDefault="00875D9A" w:rsidP="00875D9A">
      <w:pPr>
        <w:keepNext/>
      </w:pPr>
      <w:r w:rsidRPr="00C80753">
        <w:t>Regulamento (UE) 2017/852</w:t>
      </w:r>
    </w:p>
    <w:p w14:paraId="6BA52E93" w14:textId="77777777" w:rsidR="00875D9A" w:rsidRPr="00C80753" w:rsidRDefault="00875D9A" w:rsidP="00875D9A">
      <w:r w:rsidRPr="00C80753">
        <w:t>Artigo 19 – n.º 2-A (novo)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875D9A" w:rsidRPr="00C80753" w14:paraId="7374D64B" w14:textId="77777777" w:rsidTr="007034AA">
        <w:trPr>
          <w:jc w:val="center"/>
        </w:trPr>
        <w:tc>
          <w:tcPr>
            <w:tcW w:w="9752" w:type="dxa"/>
            <w:gridSpan w:val="2"/>
          </w:tcPr>
          <w:p w14:paraId="3AF8BCEE" w14:textId="77777777" w:rsidR="00875D9A" w:rsidRPr="00C80753" w:rsidRDefault="00875D9A" w:rsidP="007034AA">
            <w:pPr>
              <w:keepNext/>
            </w:pPr>
          </w:p>
        </w:tc>
      </w:tr>
      <w:tr w:rsidR="00875D9A" w:rsidRPr="00C80753" w14:paraId="2D874511" w14:textId="77777777" w:rsidTr="007034AA">
        <w:trPr>
          <w:jc w:val="center"/>
        </w:trPr>
        <w:tc>
          <w:tcPr>
            <w:tcW w:w="4876" w:type="dxa"/>
          </w:tcPr>
          <w:p w14:paraId="644DE14C" w14:textId="77777777" w:rsidR="00875D9A" w:rsidRPr="00C80753" w:rsidRDefault="00875D9A" w:rsidP="007034AA">
            <w:pPr>
              <w:pStyle w:val="ColumnHeading"/>
              <w:keepNext/>
            </w:pPr>
            <w:r w:rsidRPr="00C80753">
              <w:t>Texto da Comissão</w:t>
            </w:r>
          </w:p>
        </w:tc>
        <w:tc>
          <w:tcPr>
            <w:tcW w:w="4876" w:type="dxa"/>
          </w:tcPr>
          <w:p w14:paraId="1AC909BD" w14:textId="77777777" w:rsidR="00875D9A" w:rsidRPr="00C80753" w:rsidRDefault="00875D9A" w:rsidP="007034AA">
            <w:pPr>
              <w:pStyle w:val="ColumnHeading"/>
              <w:keepNext/>
            </w:pPr>
            <w:r w:rsidRPr="00C80753">
              <w:t>Alteração</w:t>
            </w:r>
          </w:p>
        </w:tc>
      </w:tr>
      <w:tr w:rsidR="00875D9A" w:rsidRPr="00C80753" w14:paraId="7338AADB" w14:textId="77777777" w:rsidTr="007034AA">
        <w:trPr>
          <w:jc w:val="center"/>
        </w:trPr>
        <w:tc>
          <w:tcPr>
            <w:tcW w:w="4876" w:type="dxa"/>
          </w:tcPr>
          <w:p w14:paraId="397179DD" w14:textId="77777777" w:rsidR="00875D9A" w:rsidRPr="00C80753" w:rsidRDefault="00875D9A" w:rsidP="007034AA">
            <w:pPr>
              <w:pStyle w:val="Normal6"/>
            </w:pPr>
          </w:p>
        </w:tc>
        <w:tc>
          <w:tcPr>
            <w:tcW w:w="4876" w:type="dxa"/>
          </w:tcPr>
          <w:p w14:paraId="515CE136" w14:textId="13335792" w:rsidR="00875D9A" w:rsidRPr="00C80753" w:rsidRDefault="00875D9A" w:rsidP="007034AA">
            <w:pPr>
              <w:pStyle w:val="Normal6"/>
              <w:rPr>
                <w:szCs w:val="24"/>
              </w:rPr>
            </w:pPr>
            <w:r w:rsidRPr="00C80753">
              <w:rPr>
                <w:b/>
                <w:i/>
              </w:rPr>
              <w:t>(1-D)</w:t>
            </w:r>
            <w:r w:rsidRPr="00C80753">
              <w:rPr>
                <w:b/>
                <w:i/>
              </w:rPr>
              <w:tab/>
              <w:t>No artigo 19.º</w:t>
            </w:r>
            <w:r w:rsidR="002F33F2">
              <w:rPr>
                <w:b/>
                <w:i/>
              </w:rPr>
              <w:t>,</w:t>
            </w:r>
            <w:r w:rsidRPr="00C80753">
              <w:rPr>
                <w:b/>
                <w:i/>
              </w:rPr>
              <w:t xml:space="preserve"> é inserido o seguinte número:</w:t>
            </w:r>
          </w:p>
        </w:tc>
      </w:tr>
      <w:tr w:rsidR="00875D9A" w:rsidRPr="00C80753" w14:paraId="06B9C1E6" w14:textId="77777777" w:rsidTr="007034AA">
        <w:trPr>
          <w:jc w:val="center"/>
        </w:trPr>
        <w:tc>
          <w:tcPr>
            <w:tcW w:w="4876" w:type="dxa"/>
          </w:tcPr>
          <w:p w14:paraId="5FFF9662" w14:textId="77777777" w:rsidR="00875D9A" w:rsidRPr="00C80753" w:rsidRDefault="00875D9A" w:rsidP="007034AA">
            <w:pPr>
              <w:pStyle w:val="Normal6"/>
            </w:pPr>
          </w:p>
        </w:tc>
        <w:tc>
          <w:tcPr>
            <w:tcW w:w="4876" w:type="dxa"/>
          </w:tcPr>
          <w:p w14:paraId="6B390D22" w14:textId="77777777" w:rsidR="00875D9A" w:rsidRPr="00C80753" w:rsidRDefault="00875D9A" w:rsidP="007034AA">
            <w:pPr>
              <w:pStyle w:val="Normal6"/>
              <w:rPr>
                <w:szCs w:val="24"/>
              </w:rPr>
            </w:pPr>
            <w:r w:rsidRPr="00C80753">
              <w:rPr>
                <w:b/>
                <w:i/>
              </w:rPr>
              <w:t>«2-A.</w:t>
            </w:r>
            <w:r w:rsidRPr="00C80753">
              <w:rPr>
                <w:b/>
                <w:i/>
              </w:rPr>
              <w:tab/>
              <w:t>Até 30 de junho de 2026, a Comissão apresenta ao Parlamento Europeu e ao Conselho um relatório em que avalia a viabilidade de revogar, até 2030, as isenções relativas à utilização de amálgamas dentárias a que se refere o artigo 10.º. Esse relatório também descreve o impacto na saúde dos doentes em geral e dos doentes dependentes de obturações com amálgamas.</w:t>
            </w:r>
          </w:p>
        </w:tc>
      </w:tr>
      <w:tr w:rsidR="00875D9A" w:rsidRPr="00C80753" w14:paraId="2ECE9CC7" w14:textId="77777777" w:rsidTr="007034AA">
        <w:trPr>
          <w:jc w:val="center"/>
        </w:trPr>
        <w:tc>
          <w:tcPr>
            <w:tcW w:w="4876" w:type="dxa"/>
          </w:tcPr>
          <w:p w14:paraId="1F504170" w14:textId="77777777" w:rsidR="00875D9A" w:rsidRPr="00C80753" w:rsidRDefault="00875D9A" w:rsidP="007034AA">
            <w:pPr>
              <w:pStyle w:val="Normal6"/>
            </w:pPr>
          </w:p>
        </w:tc>
        <w:tc>
          <w:tcPr>
            <w:tcW w:w="4876" w:type="dxa"/>
          </w:tcPr>
          <w:p w14:paraId="64EB37F5" w14:textId="77777777" w:rsidR="00875D9A" w:rsidRPr="00C80753" w:rsidRDefault="00875D9A" w:rsidP="007034AA">
            <w:pPr>
              <w:pStyle w:val="Normal6"/>
              <w:rPr>
                <w:szCs w:val="24"/>
              </w:rPr>
            </w:pPr>
            <w:r w:rsidRPr="00C80753">
              <w:rPr>
                <w:b/>
                <w:i/>
              </w:rPr>
              <w:t>A Comissão propõe medidas, se necessário, juntamente com o seu relatório referido no primeiro parágrafo.</w:t>
            </w:r>
          </w:p>
        </w:tc>
      </w:tr>
      <w:tr w:rsidR="00875D9A" w:rsidRPr="00C80753" w14:paraId="69DD84A4" w14:textId="77777777" w:rsidTr="007034AA">
        <w:trPr>
          <w:jc w:val="center"/>
        </w:trPr>
        <w:tc>
          <w:tcPr>
            <w:tcW w:w="4876" w:type="dxa"/>
          </w:tcPr>
          <w:p w14:paraId="476151EA" w14:textId="77777777" w:rsidR="00875D9A" w:rsidRPr="00C80753" w:rsidRDefault="00875D9A" w:rsidP="007034AA">
            <w:pPr>
              <w:pStyle w:val="Normal6"/>
            </w:pPr>
          </w:p>
        </w:tc>
        <w:tc>
          <w:tcPr>
            <w:tcW w:w="4876" w:type="dxa"/>
          </w:tcPr>
          <w:p w14:paraId="7B904CC1" w14:textId="77777777" w:rsidR="00875D9A" w:rsidRPr="00C80753" w:rsidRDefault="00875D9A" w:rsidP="007034AA">
            <w:pPr>
              <w:pStyle w:val="Normal6"/>
              <w:rPr>
                <w:szCs w:val="24"/>
              </w:rPr>
            </w:pPr>
            <w:r w:rsidRPr="00C80753">
              <w:rPr>
                <w:b/>
                <w:i/>
              </w:rPr>
              <w:t>O mais tardar até 31 de dezembro de 2026, a Comissão apresenta ao Parlamento Europeu e ao Conselho um relatório sobre:</w:t>
            </w:r>
          </w:p>
        </w:tc>
      </w:tr>
      <w:tr w:rsidR="00875D9A" w:rsidRPr="00C80753" w14:paraId="5BB4A72D" w14:textId="77777777" w:rsidTr="007034AA">
        <w:trPr>
          <w:jc w:val="center"/>
        </w:trPr>
        <w:tc>
          <w:tcPr>
            <w:tcW w:w="4876" w:type="dxa"/>
          </w:tcPr>
          <w:p w14:paraId="72368395" w14:textId="77777777" w:rsidR="00875D9A" w:rsidRPr="00C80753" w:rsidRDefault="00875D9A" w:rsidP="007034AA">
            <w:pPr>
              <w:pStyle w:val="Normal6"/>
            </w:pPr>
          </w:p>
        </w:tc>
        <w:tc>
          <w:tcPr>
            <w:tcW w:w="4876" w:type="dxa"/>
          </w:tcPr>
          <w:p w14:paraId="3062DC92" w14:textId="77777777" w:rsidR="00875D9A" w:rsidRPr="00C80753" w:rsidRDefault="00875D9A" w:rsidP="007034AA">
            <w:pPr>
              <w:pStyle w:val="Normal6"/>
              <w:rPr>
                <w:szCs w:val="24"/>
              </w:rPr>
            </w:pPr>
            <w:r w:rsidRPr="00C80753">
              <w:rPr>
                <w:b/>
                <w:i/>
              </w:rPr>
              <w:t xml:space="preserve">(a) </w:t>
            </w:r>
            <w:r w:rsidRPr="00C80753">
              <w:rPr>
                <w:b/>
                <w:i/>
              </w:rPr>
              <w:tab/>
              <w:t>A aplicação e execução da Convenção, nomeadamente no que diz respeito à eliminação progressiva, até 2025, do mercúrio nos cosméticos pelas Partes na Convenção e ao controlo e à descontinuação do fabrico, da importação e da exportação de compostos de mercúrio para práticas ilegais na União e a nível mundial;</w:t>
            </w:r>
          </w:p>
        </w:tc>
      </w:tr>
      <w:tr w:rsidR="00875D9A" w:rsidRPr="00C80753" w14:paraId="67B886CE" w14:textId="77777777" w:rsidTr="007034AA">
        <w:trPr>
          <w:jc w:val="center"/>
        </w:trPr>
        <w:tc>
          <w:tcPr>
            <w:tcW w:w="4876" w:type="dxa"/>
          </w:tcPr>
          <w:p w14:paraId="3C7E56E5" w14:textId="77777777" w:rsidR="00875D9A" w:rsidRPr="00C80753" w:rsidRDefault="00875D9A" w:rsidP="007034AA">
            <w:pPr>
              <w:pStyle w:val="Normal6"/>
            </w:pPr>
          </w:p>
        </w:tc>
        <w:tc>
          <w:tcPr>
            <w:tcW w:w="4876" w:type="dxa"/>
          </w:tcPr>
          <w:p w14:paraId="55D85818" w14:textId="77777777" w:rsidR="00875D9A" w:rsidRPr="00C80753" w:rsidRDefault="00875D9A" w:rsidP="007034AA">
            <w:pPr>
              <w:pStyle w:val="Normal6"/>
              <w:rPr>
                <w:szCs w:val="24"/>
              </w:rPr>
            </w:pPr>
            <w:r w:rsidRPr="00C80753">
              <w:rPr>
                <w:b/>
                <w:i/>
              </w:rPr>
              <w:t>(b)</w:t>
            </w:r>
            <w:r w:rsidRPr="00C80753">
              <w:rPr>
                <w:b/>
                <w:i/>
              </w:rPr>
              <w:tab/>
              <w:t xml:space="preserve"> A necessidade de eliminar progressivamente as restantes utilizações de mercúrio, tais como em faróis marítimos e na </w:t>
            </w:r>
            <w:proofErr w:type="spellStart"/>
            <w:r w:rsidRPr="00C80753">
              <w:rPr>
                <w:b/>
                <w:i/>
              </w:rPr>
              <w:t>porosimetria</w:t>
            </w:r>
            <w:proofErr w:type="spellEnd"/>
            <w:r w:rsidRPr="00C80753">
              <w:rPr>
                <w:b/>
                <w:i/>
              </w:rPr>
              <w:t>;</w:t>
            </w:r>
          </w:p>
        </w:tc>
      </w:tr>
      <w:tr w:rsidR="00875D9A" w:rsidRPr="00C80753" w14:paraId="534624D6" w14:textId="77777777" w:rsidTr="007034AA">
        <w:trPr>
          <w:jc w:val="center"/>
        </w:trPr>
        <w:tc>
          <w:tcPr>
            <w:tcW w:w="4876" w:type="dxa"/>
          </w:tcPr>
          <w:p w14:paraId="2D1870DE" w14:textId="77777777" w:rsidR="00875D9A" w:rsidRPr="00C80753" w:rsidRDefault="00875D9A" w:rsidP="007034AA">
            <w:pPr>
              <w:pStyle w:val="Normal6"/>
            </w:pPr>
          </w:p>
        </w:tc>
        <w:tc>
          <w:tcPr>
            <w:tcW w:w="4876" w:type="dxa"/>
          </w:tcPr>
          <w:p w14:paraId="1DAEBAEF" w14:textId="77777777" w:rsidR="00875D9A" w:rsidRPr="00C80753" w:rsidRDefault="00875D9A" w:rsidP="007034AA">
            <w:pPr>
              <w:pStyle w:val="Normal6"/>
              <w:rPr>
                <w:szCs w:val="24"/>
              </w:rPr>
            </w:pPr>
            <w:r w:rsidRPr="00C80753">
              <w:rPr>
                <w:b/>
                <w:i/>
              </w:rPr>
              <w:t xml:space="preserve">(c) </w:t>
            </w:r>
            <w:r w:rsidRPr="00C80753">
              <w:rPr>
                <w:b/>
                <w:i/>
              </w:rPr>
              <w:tab/>
              <w:t>A necessidade de alargar a lista de fontes de resíduos de mercúrio a que se refere o artigo 11.º.</w:t>
            </w:r>
          </w:p>
        </w:tc>
      </w:tr>
      <w:tr w:rsidR="00875D9A" w:rsidRPr="00C80753" w14:paraId="35439A71" w14:textId="77777777" w:rsidTr="007034AA">
        <w:trPr>
          <w:jc w:val="center"/>
        </w:trPr>
        <w:tc>
          <w:tcPr>
            <w:tcW w:w="4876" w:type="dxa"/>
          </w:tcPr>
          <w:p w14:paraId="4500008E" w14:textId="77777777" w:rsidR="00875D9A" w:rsidRPr="00C80753" w:rsidRDefault="00875D9A" w:rsidP="007034AA">
            <w:pPr>
              <w:pStyle w:val="Normal6"/>
            </w:pPr>
          </w:p>
        </w:tc>
        <w:tc>
          <w:tcPr>
            <w:tcW w:w="4876" w:type="dxa"/>
          </w:tcPr>
          <w:p w14:paraId="2C22271F" w14:textId="77777777" w:rsidR="00875D9A" w:rsidRPr="00C80753" w:rsidRDefault="00875D9A" w:rsidP="007034AA">
            <w:pPr>
              <w:pStyle w:val="Normal6"/>
              <w:rPr>
                <w:szCs w:val="24"/>
              </w:rPr>
            </w:pPr>
            <w:r w:rsidRPr="00C80753">
              <w:rPr>
                <w:b/>
                <w:i/>
                <w:iCs/>
              </w:rPr>
              <w:t xml:space="preserve">Juntamente com o seu relatório referido no terceiro parágrafo do presente número, a Comissão deve, se for caso disso, propor medidas, tais como uma revisão do Regulamento (UE) </w:t>
            </w:r>
            <w:r w:rsidRPr="00C80753">
              <w:rPr>
                <w:b/>
                <w:i/>
                <w:iCs/>
              </w:rPr>
              <w:lastRenderedPageBreak/>
              <w:t>n.º 649/2012 do Parlamento Europeu e do Conselho</w:t>
            </w:r>
            <w:r w:rsidRPr="00C80753">
              <w:rPr>
                <w:b/>
                <w:i/>
                <w:iCs/>
                <w:vertAlign w:val="superscript"/>
              </w:rPr>
              <w:t>1-A</w:t>
            </w:r>
            <w:r w:rsidRPr="00C80753">
              <w:rPr>
                <w:b/>
                <w:i/>
                <w:iCs/>
              </w:rPr>
              <w:t xml:space="preserve"> e restrições às exportações de </w:t>
            </w:r>
            <w:proofErr w:type="spellStart"/>
            <w:r w:rsidRPr="00C80753">
              <w:rPr>
                <w:b/>
                <w:i/>
                <w:iCs/>
              </w:rPr>
              <w:t>amidocloreto</w:t>
            </w:r>
            <w:proofErr w:type="spellEnd"/>
            <w:r w:rsidRPr="00C80753">
              <w:rPr>
                <w:b/>
                <w:i/>
                <w:iCs/>
              </w:rPr>
              <w:t xml:space="preserve"> de mercúrio (</w:t>
            </w:r>
            <w:r w:rsidRPr="00C80753">
              <w:rPr>
                <w:b/>
                <w:i/>
                <w:iCs/>
                <w:sz w:val="21"/>
                <w:shd w:val="clear" w:color="auto" w:fill="FFFFFF"/>
              </w:rPr>
              <w:t>HgNH2</w:t>
            </w:r>
            <w:r w:rsidRPr="00C80753">
              <w:rPr>
                <w:rStyle w:val="Emphasis"/>
                <w:b/>
                <w:sz w:val="21"/>
                <w:shd w:val="clear" w:color="auto" w:fill="FFFFFF"/>
              </w:rPr>
              <w:t>Cl</w:t>
            </w:r>
            <w:r w:rsidRPr="00C80753">
              <w:rPr>
                <w:rStyle w:val="Emphasis"/>
                <w:rFonts w:ascii="Arial" w:hAnsi="Arial"/>
                <w:b/>
                <w:sz w:val="21"/>
                <w:shd w:val="clear" w:color="auto" w:fill="FFFFFF"/>
              </w:rPr>
              <w:t>)</w:t>
            </w:r>
            <w:r w:rsidRPr="00C80753">
              <w:rPr>
                <w:b/>
                <w:i/>
                <w:iCs/>
              </w:rPr>
              <w:t>.</w:t>
            </w:r>
          </w:p>
        </w:tc>
      </w:tr>
      <w:tr w:rsidR="00875D9A" w:rsidRPr="00C80753" w14:paraId="778463BA" w14:textId="77777777" w:rsidTr="007034AA">
        <w:trPr>
          <w:jc w:val="center"/>
        </w:trPr>
        <w:tc>
          <w:tcPr>
            <w:tcW w:w="4876" w:type="dxa"/>
          </w:tcPr>
          <w:p w14:paraId="7D88B425" w14:textId="77777777" w:rsidR="00875D9A" w:rsidRPr="00C80753" w:rsidRDefault="00875D9A" w:rsidP="007034AA">
            <w:pPr>
              <w:pStyle w:val="Normal6"/>
            </w:pPr>
          </w:p>
        </w:tc>
        <w:tc>
          <w:tcPr>
            <w:tcW w:w="4876" w:type="dxa"/>
          </w:tcPr>
          <w:p w14:paraId="0073DA25" w14:textId="77777777" w:rsidR="00875D9A" w:rsidRPr="00C80753" w:rsidRDefault="00875D9A" w:rsidP="007034AA">
            <w:pPr>
              <w:pStyle w:val="Normal6"/>
              <w:rPr>
                <w:b/>
                <w:i/>
              </w:rPr>
            </w:pPr>
            <w:r w:rsidRPr="00C80753">
              <w:rPr>
                <w:b/>
                <w:i/>
              </w:rPr>
              <w:t>__________________________________</w:t>
            </w:r>
          </w:p>
        </w:tc>
      </w:tr>
      <w:tr w:rsidR="00875D9A" w:rsidRPr="00C80753" w14:paraId="76EF9095" w14:textId="77777777" w:rsidTr="007034AA">
        <w:trPr>
          <w:jc w:val="center"/>
        </w:trPr>
        <w:tc>
          <w:tcPr>
            <w:tcW w:w="4876" w:type="dxa"/>
          </w:tcPr>
          <w:p w14:paraId="2CF2CFCF" w14:textId="77777777" w:rsidR="00875D9A" w:rsidRPr="00C80753" w:rsidRDefault="00875D9A" w:rsidP="007034AA">
            <w:pPr>
              <w:pStyle w:val="Normal6"/>
            </w:pPr>
          </w:p>
        </w:tc>
        <w:tc>
          <w:tcPr>
            <w:tcW w:w="4876" w:type="dxa"/>
          </w:tcPr>
          <w:p w14:paraId="7A1AF32A" w14:textId="77777777" w:rsidR="00875D9A" w:rsidRPr="00C80753" w:rsidRDefault="00875D9A" w:rsidP="007034AA">
            <w:pPr>
              <w:pStyle w:val="Normal6"/>
              <w:rPr>
                <w:b/>
                <w:i/>
              </w:rPr>
            </w:pPr>
            <w:r w:rsidRPr="00C80753">
              <w:rPr>
                <w:b/>
                <w:i/>
                <w:vertAlign w:val="superscript"/>
              </w:rPr>
              <w:t>1-A</w:t>
            </w:r>
            <w:r w:rsidRPr="00C80753">
              <w:rPr>
                <w:b/>
                <w:i/>
              </w:rPr>
              <w:t xml:space="preserve"> Regulamento (UE) n.º 649/2012 do Parlamento Europeu e do Conselho, de 4 de julho de 2012, relativo à exportação e importação de produtos químicos perigosos (JO L 201 de 27.7.2012, p. 60).»</w:t>
            </w:r>
          </w:p>
        </w:tc>
      </w:tr>
    </w:tbl>
    <w:p w14:paraId="5F8AADEC" w14:textId="77777777" w:rsidR="00875D9A" w:rsidRPr="00C80753" w:rsidRDefault="00875D9A" w:rsidP="00875D9A"/>
    <w:p w14:paraId="663F1212" w14:textId="77777777" w:rsidR="00875D9A" w:rsidRPr="00C80753" w:rsidRDefault="00875D9A" w:rsidP="00875D9A">
      <w:pPr>
        <w:pStyle w:val="AmNumberTabs"/>
      </w:pPr>
      <w:r w:rsidRPr="00C80753">
        <w:t>Alteração</w:t>
      </w:r>
      <w:r w:rsidRPr="00C80753">
        <w:tab/>
      </w:r>
      <w:r w:rsidRPr="00C80753">
        <w:tab/>
        <w:t>12</w:t>
      </w:r>
    </w:p>
    <w:p w14:paraId="1CA5267D" w14:textId="77777777" w:rsidR="00875D9A" w:rsidRPr="00C80753" w:rsidRDefault="00875D9A" w:rsidP="00875D9A"/>
    <w:p w14:paraId="06C25D1C" w14:textId="77777777" w:rsidR="00875D9A" w:rsidRPr="00C80753" w:rsidRDefault="00875D9A" w:rsidP="00875D9A">
      <w:pPr>
        <w:pStyle w:val="NormalBold"/>
        <w:keepNext/>
      </w:pPr>
      <w:r w:rsidRPr="00C80753">
        <w:t>Proposta de regulamento</w:t>
      </w:r>
    </w:p>
    <w:p w14:paraId="697AAA86" w14:textId="563D7F78" w:rsidR="00875D9A" w:rsidRPr="00C80753" w:rsidRDefault="00875D9A" w:rsidP="00875D9A">
      <w:pPr>
        <w:pStyle w:val="NormalBold"/>
      </w:pPr>
      <w:r w:rsidRPr="00C80753">
        <w:t>Artigo 1 – parágrafo 1 – ponto 1-E (novo)</w:t>
      </w:r>
    </w:p>
    <w:p w14:paraId="21ECCF17" w14:textId="77777777" w:rsidR="00875D9A" w:rsidRPr="00C80753" w:rsidRDefault="00875D9A" w:rsidP="00875D9A">
      <w:pPr>
        <w:keepNext/>
      </w:pPr>
      <w:r w:rsidRPr="00C80753">
        <w:t>Regulamento (UE) 2017/852</w:t>
      </w:r>
    </w:p>
    <w:p w14:paraId="14D17B3A" w14:textId="77777777" w:rsidR="00875D9A" w:rsidRPr="00C80753" w:rsidRDefault="00875D9A" w:rsidP="00875D9A">
      <w:r w:rsidRPr="00C80753">
        <w:t>Artigo 19 – n.º 3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875D9A" w:rsidRPr="00C80753" w14:paraId="64F368ED" w14:textId="77777777" w:rsidTr="007034AA">
        <w:trPr>
          <w:jc w:val="center"/>
        </w:trPr>
        <w:tc>
          <w:tcPr>
            <w:tcW w:w="9752" w:type="dxa"/>
            <w:gridSpan w:val="2"/>
          </w:tcPr>
          <w:p w14:paraId="437119B1" w14:textId="77777777" w:rsidR="00875D9A" w:rsidRPr="00C80753" w:rsidRDefault="00875D9A" w:rsidP="007034AA">
            <w:pPr>
              <w:keepNext/>
            </w:pPr>
          </w:p>
        </w:tc>
      </w:tr>
      <w:tr w:rsidR="00875D9A" w:rsidRPr="00C80753" w14:paraId="25879441" w14:textId="77777777" w:rsidTr="007034AA">
        <w:trPr>
          <w:jc w:val="center"/>
        </w:trPr>
        <w:tc>
          <w:tcPr>
            <w:tcW w:w="4876" w:type="dxa"/>
          </w:tcPr>
          <w:p w14:paraId="690D2CD4" w14:textId="77777777" w:rsidR="00875D9A" w:rsidRPr="00C80753" w:rsidRDefault="00875D9A" w:rsidP="007034AA">
            <w:pPr>
              <w:pStyle w:val="ColumnHeading"/>
              <w:keepNext/>
            </w:pPr>
            <w:r w:rsidRPr="00C80753">
              <w:t>Texto em vigor</w:t>
            </w:r>
          </w:p>
        </w:tc>
        <w:tc>
          <w:tcPr>
            <w:tcW w:w="4876" w:type="dxa"/>
          </w:tcPr>
          <w:p w14:paraId="397DADF6" w14:textId="77777777" w:rsidR="00875D9A" w:rsidRPr="00C80753" w:rsidRDefault="00875D9A" w:rsidP="007034AA">
            <w:pPr>
              <w:pStyle w:val="ColumnHeading"/>
              <w:keepNext/>
            </w:pPr>
            <w:r w:rsidRPr="00C80753">
              <w:t>Alteração</w:t>
            </w:r>
          </w:p>
        </w:tc>
      </w:tr>
      <w:tr w:rsidR="00875D9A" w:rsidRPr="00C80753" w14:paraId="04445F97" w14:textId="77777777" w:rsidTr="007034AA">
        <w:trPr>
          <w:jc w:val="center"/>
        </w:trPr>
        <w:tc>
          <w:tcPr>
            <w:tcW w:w="4876" w:type="dxa"/>
          </w:tcPr>
          <w:p w14:paraId="5D4F4BF1" w14:textId="77777777" w:rsidR="00875D9A" w:rsidRPr="00C80753" w:rsidRDefault="00875D9A" w:rsidP="007034AA">
            <w:pPr>
              <w:pStyle w:val="Normal6"/>
            </w:pPr>
          </w:p>
        </w:tc>
        <w:tc>
          <w:tcPr>
            <w:tcW w:w="4876" w:type="dxa"/>
          </w:tcPr>
          <w:p w14:paraId="46213D95" w14:textId="10500C97" w:rsidR="00875D9A" w:rsidRPr="00C80753" w:rsidRDefault="00875D9A" w:rsidP="007034AA">
            <w:pPr>
              <w:pStyle w:val="Normal6"/>
              <w:rPr>
                <w:szCs w:val="24"/>
              </w:rPr>
            </w:pPr>
            <w:r w:rsidRPr="00C80753">
              <w:rPr>
                <w:b/>
                <w:i/>
              </w:rPr>
              <w:t>(1-</w:t>
            </w:r>
            <w:r w:rsidR="002F33F2">
              <w:rPr>
                <w:b/>
                <w:i/>
              </w:rPr>
              <w:t>E</w:t>
            </w:r>
            <w:r w:rsidRPr="00C80753">
              <w:rPr>
                <w:b/>
                <w:i/>
              </w:rPr>
              <w:t>)</w:t>
            </w:r>
            <w:r w:rsidRPr="00C80753">
              <w:rPr>
                <w:b/>
                <w:i/>
              </w:rPr>
              <w:tab/>
              <w:t>No artigo 19.º, o n.º 3 passa a ter a seguinte redação:</w:t>
            </w:r>
          </w:p>
        </w:tc>
      </w:tr>
      <w:tr w:rsidR="00875D9A" w:rsidRPr="00C80753" w14:paraId="1924B5C4" w14:textId="77777777" w:rsidTr="007034AA">
        <w:trPr>
          <w:jc w:val="center"/>
        </w:trPr>
        <w:tc>
          <w:tcPr>
            <w:tcW w:w="4876" w:type="dxa"/>
          </w:tcPr>
          <w:p w14:paraId="4E13CAE5" w14:textId="77777777" w:rsidR="00875D9A" w:rsidRPr="00C80753" w:rsidRDefault="00875D9A" w:rsidP="007034AA">
            <w:pPr>
              <w:pStyle w:val="Normal6"/>
            </w:pPr>
            <w:r w:rsidRPr="00C80753">
              <w:t xml:space="preserve">3. </w:t>
            </w:r>
            <w:r w:rsidRPr="00C80753">
              <w:rPr>
                <w:b/>
                <w:i/>
              </w:rPr>
              <w:tab/>
            </w:r>
            <w:r w:rsidRPr="00C80753">
              <w:t xml:space="preserve">A Comissão apresenta, se necessário, uma proposta legislativa juntamente com os seus relatórios referidos </w:t>
            </w:r>
            <w:r w:rsidRPr="00C80753">
              <w:rPr>
                <w:b/>
                <w:i/>
              </w:rPr>
              <w:t xml:space="preserve">nos </w:t>
            </w:r>
            <w:proofErr w:type="spellStart"/>
            <w:r w:rsidRPr="00C80753">
              <w:rPr>
                <w:b/>
                <w:i/>
              </w:rPr>
              <w:t>n.</w:t>
            </w:r>
            <w:r w:rsidRPr="00C80753">
              <w:rPr>
                <w:b/>
                <w:i/>
                <w:vertAlign w:val="superscript"/>
              </w:rPr>
              <w:t>os</w:t>
            </w:r>
            <w:proofErr w:type="spellEnd"/>
            <w:r w:rsidRPr="00C80753">
              <w:rPr>
                <w:b/>
                <w:i/>
              </w:rPr>
              <w:t xml:space="preserve"> 1 e 2</w:t>
            </w:r>
            <w:r w:rsidRPr="00C80753">
              <w:t>.</w:t>
            </w:r>
          </w:p>
        </w:tc>
        <w:tc>
          <w:tcPr>
            <w:tcW w:w="4876" w:type="dxa"/>
          </w:tcPr>
          <w:p w14:paraId="685B7F04" w14:textId="77777777" w:rsidR="00875D9A" w:rsidRPr="00C80753" w:rsidRDefault="00875D9A" w:rsidP="007034AA">
            <w:pPr>
              <w:pStyle w:val="Normal6"/>
              <w:rPr>
                <w:szCs w:val="24"/>
              </w:rPr>
            </w:pPr>
            <w:r w:rsidRPr="00C80753">
              <w:t xml:space="preserve">«3. </w:t>
            </w:r>
            <w:r w:rsidRPr="00C80753">
              <w:rPr>
                <w:b/>
                <w:i/>
              </w:rPr>
              <w:tab/>
            </w:r>
            <w:r w:rsidRPr="00C80753">
              <w:t xml:space="preserve">A Comissão apresenta, se necessário, uma proposta legislativa juntamente com os seus relatórios referidos </w:t>
            </w:r>
            <w:r w:rsidRPr="00C80753">
              <w:rPr>
                <w:b/>
                <w:i/>
              </w:rPr>
              <w:t>no presente artigo</w:t>
            </w:r>
            <w:r w:rsidRPr="00C80753">
              <w:t>.</w:t>
            </w:r>
            <w:r w:rsidRPr="00C80753">
              <w:rPr>
                <w:b/>
                <w:i/>
              </w:rPr>
              <w:t>»</w:t>
            </w:r>
          </w:p>
        </w:tc>
      </w:tr>
    </w:tbl>
    <w:p w14:paraId="305DD69A" w14:textId="7D6E21A9" w:rsidR="00875D9A" w:rsidRPr="00C80753" w:rsidRDefault="00875D9A" w:rsidP="00875D9A">
      <w:pPr>
        <w:pStyle w:val="CrossRef"/>
      </w:pPr>
    </w:p>
    <w:p w14:paraId="1AFEA6D7" w14:textId="77777777" w:rsidR="00875D9A" w:rsidRPr="00C80753" w:rsidRDefault="00875D9A" w:rsidP="00875D9A"/>
    <w:p w14:paraId="3653583A" w14:textId="77777777" w:rsidR="00875D9A" w:rsidRPr="00C80753" w:rsidRDefault="00875D9A" w:rsidP="00875D9A">
      <w:pPr>
        <w:pStyle w:val="AmNumberTabs"/>
      </w:pPr>
      <w:r w:rsidRPr="00C80753">
        <w:t>Alteração</w:t>
      </w:r>
      <w:r w:rsidRPr="00C80753">
        <w:tab/>
      </w:r>
      <w:r w:rsidRPr="00C80753">
        <w:tab/>
        <w:t>13</w:t>
      </w:r>
    </w:p>
    <w:p w14:paraId="366C85E8" w14:textId="77777777" w:rsidR="00875D9A" w:rsidRPr="00C80753" w:rsidRDefault="00875D9A" w:rsidP="00875D9A"/>
    <w:p w14:paraId="7C59F124" w14:textId="77777777" w:rsidR="00875D9A" w:rsidRPr="00C80753" w:rsidRDefault="00875D9A" w:rsidP="00875D9A">
      <w:pPr>
        <w:pStyle w:val="NormalBold"/>
        <w:keepNext/>
      </w:pPr>
      <w:r w:rsidRPr="00C80753">
        <w:t>Proposta de regulamento</w:t>
      </w:r>
    </w:p>
    <w:p w14:paraId="2184E672" w14:textId="77777777" w:rsidR="00875D9A" w:rsidRPr="00C80753" w:rsidRDefault="00875D9A" w:rsidP="00875D9A">
      <w:pPr>
        <w:pStyle w:val="NormalBold"/>
      </w:pPr>
      <w:r w:rsidRPr="00C80753">
        <w:t>Anexo – parágrafo 1 – ponto 2</w:t>
      </w:r>
    </w:p>
    <w:p w14:paraId="02895A57" w14:textId="77777777" w:rsidR="00875D9A" w:rsidRPr="00C80753" w:rsidRDefault="00875D9A" w:rsidP="00875D9A">
      <w:pPr>
        <w:keepNext/>
      </w:pPr>
      <w:r w:rsidRPr="00C80753">
        <w:t>Regulamento (UE) 2017/852</w:t>
      </w:r>
    </w:p>
    <w:p w14:paraId="6A5B748C" w14:textId="77777777" w:rsidR="00875D9A" w:rsidRPr="00C80753" w:rsidRDefault="00875D9A" w:rsidP="00875D9A">
      <w:r w:rsidRPr="00C80753">
        <w:t>Anexo II – Parte A – entrada 4-A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875D9A" w:rsidRPr="00C80753" w14:paraId="14608E63" w14:textId="77777777" w:rsidTr="007034AA">
        <w:trPr>
          <w:jc w:val="center"/>
        </w:trPr>
        <w:tc>
          <w:tcPr>
            <w:tcW w:w="9752" w:type="dxa"/>
            <w:gridSpan w:val="2"/>
          </w:tcPr>
          <w:p w14:paraId="519320DD" w14:textId="77777777" w:rsidR="00875D9A" w:rsidRPr="00C80753" w:rsidRDefault="00875D9A" w:rsidP="007034AA">
            <w:pPr>
              <w:pStyle w:val="ColumnHeading"/>
              <w:keepNext/>
            </w:pPr>
            <w:r w:rsidRPr="00C80753">
              <w:t>Texto da Comissão</w:t>
            </w:r>
          </w:p>
        </w:tc>
      </w:tr>
      <w:tr w:rsidR="00875D9A" w:rsidRPr="00C80753" w14:paraId="688879DD" w14:textId="77777777" w:rsidTr="007034AA">
        <w:trPr>
          <w:jc w:val="center"/>
        </w:trPr>
        <w:tc>
          <w:tcPr>
            <w:tcW w:w="4876" w:type="dxa"/>
          </w:tcPr>
          <w:p w14:paraId="5743261C" w14:textId="77777777" w:rsidR="00875D9A" w:rsidRPr="00C80753" w:rsidRDefault="00875D9A" w:rsidP="007034AA">
            <w:pPr>
              <w:pStyle w:val="Normal6a"/>
              <w:rPr>
                <w:noProof/>
              </w:rPr>
            </w:pPr>
            <w:r w:rsidRPr="00C80753">
              <w:t xml:space="preserve">«Entrada 4-A. Lâmpadas de fósforo </w:t>
            </w:r>
            <w:proofErr w:type="spellStart"/>
            <w:r w:rsidRPr="00C80753">
              <w:t>tribanda</w:t>
            </w:r>
            <w:proofErr w:type="spellEnd"/>
            <w:r w:rsidRPr="00C80753">
              <w:t xml:space="preserve"> para iluminação geral não incluídas na entrada 4, alínea a).</w:t>
            </w:r>
          </w:p>
        </w:tc>
        <w:tc>
          <w:tcPr>
            <w:tcW w:w="4876" w:type="dxa"/>
          </w:tcPr>
          <w:p w14:paraId="4619D836" w14:textId="77777777" w:rsidR="00875D9A" w:rsidRPr="00C80753" w:rsidRDefault="00875D9A" w:rsidP="007034AA">
            <w:pPr>
              <w:pStyle w:val="Normal6a"/>
              <w:jc w:val="center"/>
              <w:rPr>
                <w:noProof/>
                <w:szCs w:val="24"/>
              </w:rPr>
            </w:pPr>
            <w:r w:rsidRPr="00C80753">
              <w:rPr>
                <w:b/>
                <w:i/>
                <w:sz w:val="20"/>
              </w:rPr>
              <w:t>31.12.2027</w:t>
            </w:r>
          </w:p>
        </w:tc>
      </w:tr>
      <w:tr w:rsidR="00875D9A" w:rsidRPr="00C80753" w14:paraId="6C5250CA" w14:textId="77777777" w:rsidTr="007034AA">
        <w:trPr>
          <w:jc w:val="center"/>
        </w:trPr>
        <w:tc>
          <w:tcPr>
            <w:tcW w:w="9752" w:type="dxa"/>
            <w:gridSpan w:val="2"/>
          </w:tcPr>
          <w:p w14:paraId="56B802DA" w14:textId="77777777" w:rsidR="00875D9A" w:rsidRPr="00C80753" w:rsidRDefault="00875D9A" w:rsidP="007034AA">
            <w:pPr>
              <w:pStyle w:val="ColumnHeading"/>
              <w:keepNext/>
              <w:rPr>
                <w:szCs w:val="24"/>
              </w:rPr>
            </w:pPr>
            <w:r w:rsidRPr="00C80753">
              <w:t>Alteração</w:t>
            </w:r>
          </w:p>
        </w:tc>
      </w:tr>
      <w:tr w:rsidR="00875D9A" w:rsidRPr="00C80753" w14:paraId="231B9EB4" w14:textId="77777777" w:rsidTr="007034AA">
        <w:trPr>
          <w:jc w:val="center"/>
        </w:trPr>
        <w:tc>
          <w:tcPr>
            <w:tcW w:w="4876" w:type="dxa"/>
          </w:tcPr>
          <w:p w14:paraId="2CF24F4B" w14:textId="77777777" w:rsidR="00875D9A" w:rsidRPr="00C80753" w:rsidRDefault="00875D9A" w:rsidP="007034AA">
            <w:pPr>
              <w:pStyle w:val="Normal6a"/>
              <w:rPr>
                <w:noProof/>
              </w:rPr>
            </w:pPr>
            <w:r w:rsidRPr="00C80753">
              <w:t xml:space="preserve">«4-A. Lâmpadas de fósforo </w:t>
            </w:r>
            <w:proofErr w:type="spellStart"/>
            <w:r w:rsidRPr="00C80753">
              <w:t>tribanda</w:t>
            </w:r>
            <w:proofErr w:type="spellEnd"/>
            <w:r w:rsidRPr="00C80753">
              <w:t xml:space="preserve"> para iluminação geral não incluídas na entrada 4, alínea a).</w:t>
            </w:r>
          </w:p>
        </w:tc>
        <w:tc>
          <w:tcPr>
            <w:tcW w:w="4876" w:type="dxa"/>
          </w:tcPr>
          <w:p w14:paraId="66D8B81A" w14:textId="77777777" w:rsidR="00875D9A" w:rsidRPr="00C80753" w:rsidRDefault="00875D9A" w:rsidP="007034AA">
            <w:pPr>
              <w:pStyle w:val="Normal6a"/>
              <w:jc w:val="center"/>
              <w:rPr>
                <w:noProof/>
                <w:szCs w:val="24"/>
              </w:rPr>
            </w:pPr>
            <w:r w:rsidRPr="00C80753">
              <w:rPr>
                <w:b/>
                <w:i/>
                <w:sz w:val="20"/>
              </w:rPr>
              <w:t>31.12.2025</w:t>
            </w:r>
          </w:p>
        </w:tc>
      </w:tr>
    </w:tbl>
    <w:p w14:paraId="75A43063" w14:textId="77777777" w:rsidR="00875D9A" w:rsidRPr="00C80753" w:rsidRDefault="00875D9A" w:rsidP="00875D9A"/>
    <w:p w14:paraId="36E12D5E" w14:textId="77777777" w:rsidR="00875D9A" w:rsidRPr="00C80753" w:rsidRDefault="00875D9A" w:rsidP="00875D9A">
      <w:pPr>
        <w:pStyle w:val="AmNumberTabs"/>
      </w:pPr>
      <w:r w:rsidRPr="00C80753">
        <w:lastRenderedPageBreak/>
        <w:t>Alteração</w:t>
      </w:r>
      <w:r w:rsidRPr="00C80753">
        <w:tab/>
      </w:r>
      <w:r w:rsidRPr="00C80753">
        <w:tab/>
        <w:t>14</w:t>
      </w:r>
    </w:p>
    <w:p w14:paraId="77963C19" w14:textId="77777777" w:rsidR="00875D9A" w:rsidRPr="00C80753" w:rsidRDefault="00875D9A" w:rsidP="00875D9A"/>
    <w:p w14:paraId="598C79D3" w14:textId="77777777" w:rsidR="00875D9A" w:rsidRPr="00C80753" w:rsidRDefault="00875D9A" w:rsidP="00875D9A">
      <w:pPr>
        <w:pStyle w:val="NormalBold"/>
        <w:keepNext/>
      </w:pPr>
      <w:r w:rsidRPr="00C80753">
        <w:t>Proposta de regulamento</w:t>
      </w:r>
    </w:p>
    <w:p w14:paraId="7D2A7F79" w14:textId="77777777" w:rsidR="00875D9A" w:rsidRPr="00C80753" w:rsidRDefault="00875D9A" w:rsidP="00875D9A">
      <w:pPr>
        <w:pStyle w:val="NormalBold"/>
      </w:pPr>
      <w:r w:rsidRPr="00C80753">
        <w:t>Anexo – parágrafo 1 – ponto 2</w:t>
      </w:r>
    </w:p>
    <w:p w14:paraId="62692D68" w14:textId="77777777" w:rsidR="00875D9A" w:rsidRPr="00C80753" w:rsidRDefault="00875D9A" w:rsidP="00875D9A">
      <w:pPr>
        <w:keepNext/>
      </w:pPr>
      <w:r w:rsidRPr="00C80753">
        <w:t>Regulamento (UE) 2017/852</w:t>
      </w:r>
    </w:p>
    <w:p w14:paraId="77FFD0B6" w14:textId="77777777" w:rsidR="00875D9A" w:rsidRPr="00C80753" w:rsidRDefault="00875D9A" w:rsidP="00875D9A">
      <w:r w:rsidRPr="00C80753">
        <w:t>Anexo II – Parte A – entrada 4-C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875D9A" w:rsidRPr="00C80753" w14:paraId="341C210E" w14:textId="77777777" w:rsidTr="007034AA">
        <w:trPr>
          <w:jc w:val="center"/>
        </w:trPr>
        <w:tc>
          <w:tcPr>
            <w:tcW w:w="9752" w:type="dxa"/>
            <w:gridSpan w:val="2"/>
          </w:tcPr>
          <w:p w14:paraId="2BF6BF78" w14:textId="77777777" w:rsidR="00875D9A" w:rsidRPr="00C80753" w:rsidRDefault="00875D9A" w:rsidP="007034AA">
            <w:pPr>
              <w:pStyle w:val="ColumnHeading"/>
              <w:keepNext/>
            </w:pPr>
            <w:r w:rsidRPr="00C80753">
              <w:t>Texto da Comissão</w:t>
            </w:r>
          </w:p>
        </w:tc>
      </w:tr>
      <w:tr w:rsidR="00875D9A" w:rsidRPr="00C80753" w14:paraId="194C4E82" w14:textId="77777777" w:rsidTr="007034AA">
        <w:trPr>
          <w:jc w:val="center"/>
        </w:trPr>
        <w:tc>
          <w:tcPr>
            <w:tcW w:w="4876" w:type="dxa"/>
          </w:tcPr>
          <w:p w14:paraId="362CF459" w14:textId="77777777" w:rsidR="00875D9A" w:rsidRPr="00C80753" w:rsidRDefault="00875D9A" w:rsidP="007034AA">
            <w:pPr>
              <w:pStyle w:val="Normal6a"/>
              <w:rPr>
                <w:noProof/>
              </w:rPr>
            </w:pPr>
            <w:r w:rsidRPr="00C80753">
              <w:t xml:space="preserve">4-C. Lâmpadas não lineares de fósforo </w:t>
            </w:r>
            <w:proofErr w:type="spellStart"/>
            <w:r w:rsidRPr="00C80753">
              <w:t>tribanda</w:t>
            </w:r>
            <w:proofErr w:type="spellEnd"/>
            <w:r w:rsidRPr="00C80753">
              <w:t>.</w:t>
            </w:r>
          </w:p>
        </w:tc>
        <w:tc>
          <w:tcPr>
            <w:tcW w:w="4876" w:type="dxa"/>
          </w:tcPr>
          <w:p w14:paraId="75A6C123" w14:textId="77777777" w:rsidR="00875D9A" w:rsidRPr="00C80753" w:rsidRDefault="00875D9A" w:rsidP="007034AA">
            <w:pPr>
              <w:pStyle w:val="Normal6a"/>
              <w:jc w:val="center"/>
              <w:rPr>
                <w:noProof/>
                <w:szCs w:val="24"/>
              </w:rPr>
            </w:pPr>
            <w:r w:rsidRPr="00C80753">
              <w:rPr>
                <w:b/>
                <w:i/>
                <w:sz w:val="20"/>
              </w:rPr>
              <w:t>31.12.2027</w:t>
            </w:r>
          </w:p>
        </w:tc>
      </w:tr>
      <w:tr w:rsidR="00875D9A" w:rsidRPr="00C80753" w14:paraId="22BE2CF5" w14:textId="77777777" w:rsidTr="007034AA">
        <w:trPr>
          <w:jc w:val="center"/>
        </w:trPr>
        <w:tc>
          <w:tcPr>
            <w:tcW w:w="9752" w:type="dxa"/>
            <w:gridSpan w:val="2"/>
          </w:tcPr>
          <w:p w14:paraId="1F6C8F32" w14:textId="77777777" w:rsidR="00875D9A" w:rsidRPr="00C80753" w:rsidRDefault="00875D9A" w:rsidP="007034AA">
            <w:pPr>
              <w:pStyle w:val="ColumnHeading"/>
              <w:keepNext/>
              <w:rPr>
                <w:szCs w:val="24"/>
              </w:rPr>
            </w:pPr>
            <w:r w:rsidRPr="00C80753">
              <w:t>Alteração</w:t>
            </w:r>
          </w:p>
        </w:tc>
      </w:tr>
      <w:tr w:rsidR="00875D9A" w:rsidRPr="00C80753" w14:paraId="61C6D94F" w14:textId="77777777" w:rsidTr="007034AA">
        <w:trPr>
          <w:jc w:val="center"/>
        </w:trPr>
        <w:tc>
          <w:tcPr>
            <w:tcW w:w="4876" w:type="dxa"/>
          </w:tcPr>
          <w:p w14:paraId="74CF8AE4" w14:textId="77777777" w:rsidR="00875D9A" w:rsidRPr="00C80753" w:rsidRDefault="00875D9A" w:rsidP="007034AA">
            <w:pPr>
              <w:pStyle w:val="Normal6a"/>
            </w:pPr>
            <w:r w:rsidRPr="00C80753">
              <w:t xml:space="preserve">4-C. Lâmpadas não lineares de fósforo </w:t>
            </w:r>
            <w:proofErr w:type="spellStart"/>
            <w:r w:rsidRPr="00C80753">
              <w:t>tribanda</w:t>
            </w:r>
            <w:proofErr w:type="spellEnd"/>
            <w:r w:rsidRPr="00C80753">
              <w:t>.</w:t>
            </w:r>
          </w:p>
        </w:tc>
        <w:tc>
          <w:tcPr>
            <w:tcW w:w="4876" w:type="dxa"/>
          </w:tcPr>
          <w:p w14:paraId="59104F80" w14:textId="77777777" w:rsidR="00875D9A" w:rsidRPr="00C80753" w:rsidRDefault="00875D9A" w:rsidP="007034AA">
            <w:pPr>
              <w:pStyle w:val="Normal6a"/>
              <w:jc w:val="center"/>
            </w:pPr>
            <w:r w:rsidRPr="00C80753">
              <w:rPr>
                <w:b/>
                <w:i/>
                <w:sz w:val="20"/>
              </w:rPr>
              <w:t>31.12.2025</w:t>
            </w:r>
          </w:p>
        </w:tc>
      </w:tr>
    </w:tbl>
    <w:p w14:paraId="248B968D" w14:textId="77777777" w:rsidR="00875D9A" w:rsidRPr="00C80753" w:rsidRDefault="00875D9A" w:rsidP="00875D9A"/>
    <w:p w14:paraId="1A1B5373" w14:textId="77777777" w:rsidR="00875D9A" w:rsidRPr="00C80753" w:rsidRDefault="00875D9A" w:rsidP="00875D9A">
      <w:pPr>
        <w:pStyle w:val="AmNumberTabs"/>
      </w:pPr>
      <w:r w:rsidRPr="00C80753">
        <w:t>Alteração</w:t>
      </w:r>
      <w:r w:rsidRPr="00C80753">
        <w:tab/>
      </w:r>
      <w:r w:rsidRPr="00C80753">
        <w:tab/>
        <w:t>15</w:t>
      </w:r>
    </w:p>
    <w:p w14:paraId="255D2D68" w14:textId="77777777" w:rsidR="00875D9A" w:rsidRPr="00C80753" w:rsidRDefault="00875D9A" w:rsidP="00875D9A"/>
    <w:p w14:paraId="02A3C554" w14:textId="77777777" w:rsidR="00875D9A" w:rsidRPr="00C80753" w:rsidRDefault="00875D9A" w:rsidP="00875D9A">
      <w:pPr>
        <w:pStyle w:val="NormalBold"/>
        <w:keepNext/>
      </w:pPr>
      <w:r w:rsidRPr="00C80753">
        <w:t>Proposta de regulamento</w:t>
      </w:r>
    </w:p>
    <w:p w14:paraId="5FD5D31F" w14:textId="77777777" w:rsidR="00875D9A" w:rsidRPr="00C80753" w:rsidRDefault="00875D9A" w:rsidP="00875D9A">
      <w:pPr>
        <w:pStyle w:val="NormalBold"/>
      </w:pPr>
      <w:r w:rsidRPr="00C80753">
        <w:t>Anexo – parágrafo 1 – ponto 3</w:t>
      </w:r>
    </w:p>
    <w:p w14:paraId="29114187" w14:textId="77777777" w:rsidR="00875D9A" w:rsidRPr="00C80753" w:rsidRDefault="00875D9A" w:rsidP="00875D9A">
      <w:pPr>
        <w:keepNext/>
      </w:pPr>
      <w:r w:rsidRPr="00C80753">
        <w:t>Regulamento (UE) 2017/852</w:t>
      </w:r>
    </w:p>
    <w:p w14:paraId="160BACCA" w14:textId="77777777" w:rsidR="00875D9A" w:rsidRPr="00C80753" w:rsidRDefault="00875D9A" w:rsidP="00875D9A">
      <w:r w:rsidRPr="00C80753">
        <w:t>Anexo II – Parte A – entrada 5-A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875D9A" w:rsidRPr="00C80753" w14:paraId="1E40F0C2" w14:textId="77777777" w:rsidTr="007034AA">
        <w:trPr>
          <w:jc w:val="center"/>
        </w:trPr>
        <w:tc>
          <w:tcPr>
            <w:tcW w:w="9752" w:type="dxa"/>
            <w:gridSpan w:val="2"/>
          </w:tcPr>
          <w:p w14:paraId="58F08591" w14:textId="77777777" w:rsidR="00875D9A" w:rsidRPr="00C80753" w:rsidRDefault="00875D9A" w:rsidP="007034AA">
            <w:pPr>
              <w:pStyle w:val="ColumnHeading"/>
              <w:keepNext/>
            </w:pPr>
            <w:r w:rsidRPr="00C80753">
              <w:t>Texto da Comissão</w:t>
            </w:r>
          </w:p>
        </w:tc>
      </w:tr>
      <w:tr w:rsidR="00875D9A" w:rsidRPr="00C80753" w14:paraId="6B43D597" w14:textId="77777777" w:rsidTr="007034AA">
        <w:trPr>
          <w:jc w:val="center"/>
        </w:trPr>
        <w:tc>
          <w:tcPr>
            <w:tcW w:w="4876" w:type="dxa"/>
          </w:tcPr>
          <w:p w14:paraId="3C60F73A" w14:textId="77777777" w:rsidR="00875D9A" w:rsidRPr="00C80753" w:rsidRDefault="00875D9A" w:rsidP="007034AA">
            <w:pPr>
              <w:pStyle w:val="Normal6a"/>
              <w:jc w:val="center"/>
              <w:rPr>
                <w:noProof/>
              </w:rPr>
            </w:pPr>
            <w:r w:rsidRPr="00C80753">
              <w:t>5-A. Lâmpadas de vapor de sódio de alta pressão (HPS) com mercúrio para iluminação geral.</w:t>
            </w:r>
          </w:p>
        </w:tc>
        <w:tc>
          <w:tcPr>
            <w:tcW w:w="4876" w:type="dxa"/>
          </w:tcPr>
          <w:p w14:paraId="6EF9411D" w14:textId="77777777" w:rsidR="00875D9A" w:rsidRPr="00C80753" w:rsidRDefault="00875D9A" w:rsidP="007034AA">
            <w:pPr>
              <w:pStyle w:val="Normal6a"/>
              <w:jc w:val="center"/>
              <w:rPr>
                <w:noProof/>
              </w:rPr>
            </w:pPr>
            <w:r w:rsidRPr="00C80753">
              <w:t>31.12.2025</w:t>
            </w:r>
          </w:p>
        </w:tc>
      </w:tr>
      <w:tr w:rsidR="00875D9A" w:rsidRPr="00C80753" w14:paraId="77A653FD" w14:textId="77777777" w:rsidTr="007034AA">
        <w:trPr>
          <w:jc w:val="center"/>
        </w:trPr>
        <w:tc>
          <w:tcPr>
            <w:tcW w:w="9752" w:type="dxa"/>
            <w:gridSpan w:val="2"/>
          </w:tcPr>
          <w:p w14:paraId="2465FCF7" w14:textId="77777777" w:rsidR="00875D9A" w:rsidRPr="00C80753" w:rsidRDefault="00875D9A" w:rsidP="007034AA">
            <w:pPr>
              <w:pStyle w:val="ColumnHeading"/>
              <w:keepNext/>
              <w:rPr>
                <w:szCs w:val="24"/>
              </w:rPr>
            </w:pPr>
            <w:r w:rsidRPr="00C80753">
              <w:t>Alteração</w:t>
            </w:r>
          </w:p>
        </w:tc>
      </w:tr>
      <w:tr w:rsidR="00875D9A" w:rsidRPr="00C80753" w14:paraId="4F54E057" w14:textId="77777777" w:rsidTr="007034AA">
        <w:trPr>
          <w:jc w:val="center"/>
        </w:trPr>
        <w:tc>
          <w:tcPr>
            <w:tcW w:w="4876" w:type="dxa"/>
          </w:tcPr>
          <w:p w14:paraId="42F0FCF5" w14:textId="77777777" w:rsidR="00875D9A" w:rsidRPr="00C80753" w:rsidRDefault="00875D9A" w:rsidP="007034AA">
            <w:pPr>
              <w:jc w:val="center"/>
              <w:rPr>
                <w:rFonts w:eastAsia="Arial"/>
                <w:b/>
                <w:i/>
              </w:rPr>
            </w:pPr>
            <w:r w:rsidRPr="00C80753">
              <w:t xml:space="preserve">5-A. Lâmpadas de vapor de sódio de alta pressão (HPS) com mercúrio para iluminação geral </w:t>
            </w:r>
            <w:r w:rsidRPr="00C80753">
              <w:rPr>
                <w:b/>
                <w:bCs/>
                <w:i/>
                <w:iCs/>
              </w:rPr>
              <w:t>com:</w:t>
            </w:r>
          </w:p>
          <w:p w14:paraId="32251A26" w14:textId="77777777" w:rsidR="00875D9A" w:rsidRPr="00C80753" w:rsidRDefault="00875D9A" w:rsidP="007034AA">
            <w:pPr>
              <w:jc w:val="center"/>
              <w:rPr>
                <w:rFonts w:eastAsia="Arial"/>
                <w:b/>
                <w:i/>
              </w:rPr>
            </w:pPr>
          </w:p>
          <w:p w14:paraId="5468E0CC" w14:textId="77777777" w:rsidR="00875D9A" w:rsidRPr="00C80753" w:rsidRDefault="00875D9A" w:rsidP="007034AA">
            <w:pPr>
              <w:widowControl/>
              <w:spacing w:after="120"/>
              <w:ind w:left="714" w:hanging="357"/>
              <w:jc w:val="center"/>
              <w:rPr>
                <w:rFonts w:eastAsia="Arial"/>
                <w:b/>
                <w:i/>
                <w:color w:val="000000"/>
              </w:rPr>
            </w:pPr>
            <w:r w:rsidRPr="00C80753">
              <w:rPr>
                <w:b/>
                <w:i/>
                <w:color w:val="000000"/>
              </w:rPr>
              <w:t>a)</w:t>
            </w:r>
            <w:r w:rsidRPr="00C80753">
              <w:rPr>
                <w:b/>
                <w:i/>
                <w:color w:val="000000"/>
              </w:rPr>
              <w:tab/>
              <w:t>P ≤ 105 W superior a 16 mg Hg;</w:t>
            </w:r>
          </w:p>
          <w:p w14:paraId="5684C667" w14:textId="77777777" w:rsidR="00875D9A" w:rsidRPr="00C80753" w:rsidRDefault="00875D9A" w:rsidP="007034AA">
            <w:pPr>
              <w:widowControl/>
              <w:spacing w:after="120"/>
              <w:ind w:left="714" w:hanging="357"/>
              <w:jc w:val="center"/>
              <w:rPr>
                <w:rFonts w:eastAsia="Arial"/>
                <w:b/>
                <w:i/>
                <w:color w:val="000000"/>
                <w:lang w:val="pl-PL"/>
              </w:rPr>
            </w:pPr>
            <w:r w:rsidRPr="00C80753">
              <w:rPr>
                <w:b/>
                <w:i/>
                <w:color w:val="000000"/>
                <w:lang w:val="pl-PL"/>
              </w:rPr>
              <w:t>b</w:t>
            </w:r>
            <w:proofErr w:type="gramStart"/>
            <w:r w:rsidRPr="00C80753">
              <w:rPr>
                <w:b/>
                <w:i/>
                <w:color w:val="000000"/>
                <w:lang w:val="pl-PL"/>
              </w:rPr>
              <w:t>)</w:t>
            </w:r>
            <w:r w:rsidRPr="00C80753">
              <w:rPr>
                <w:b/>
                <w:i/>
                <w:color w:val="000000"/>
                <w:lang w:val="pl-PL"/>
              </w:rPr>
              <w:tab/>
              <w:t>105 W</w:t>
            </w:r>
            <w:proofErr w:type="gramEnd"/>
            <w:r w:rsidRPr="00C80753">
              <w:rPr>
                <w:b/>
                <w:i/>
                <w:color w:val="000000"/>
                <w:lang w:val="pl-PL"/>
              </w:rPr>
              <w:t xml:space="preserve"> &lt; P ≤ 155 W superior a 20 mg Hg;</w:t>
            </w:r>
          </w:p>
          <w:p w14:paraId="3EBC4485" w14:textId="77777777" w:rsidR="00875D9A" w:rsidRPr="00C80753" w:rsidRDefault="00875D9A" w:rsidP="007034AA">
            <w:pPr>
              <w:widowControl/>
              <w:spacing w:after="120"/>
              <w:ind w:left="714" w:hanging="357"/>
              <w:jc w:val="center"/>
              <w:rPr>
                <w:rFonts w:eastAsia="Arial"/>
                <w:b/>
                <w:i/>
                <w:color w:val="000000"/>
              </w:rPr>
            </w:pPr>
            <w:r w:rsidRPr="00C80753">
              <w:rPr>
                <w:b/>
                <w:i/>
                <w:color w:val="000000"/>
              </w:rPr>
              <w:t>c)</w:t>
            </w:r>
            <w:r w:rsidRPr="00C80753">
              <w:rPr>
                <w:b/>
                <w:i/>
                <w:color w:val="000000"/>
              </w:rPr>
              <w:tab/>
              <w:t>P &gt; 155 W superior a 25 mg Hg.</w:t>
            </w:r>
          </w:p>
        </w:tc>
        <w:tc>
          <w:tcPr>
            <w:tcW w:w="4876" w:type="dxa"/>
          </w:tcPr>
          <w:p w14:paraId="579D79C2" w14:textId="77777777" w:rsidR="00875D9A" w:rsidRPr="00C80753" w:rsidRDefault="00875D9A" w:rsidP="007034AA">
            <w:pPr>
              <w:pStyle w:val="Normal6a"/>
              <w:jc w:val="center"/>
              <w:rPr>
                <w:noProof/>
              </w:rPr>
            </w:pPr>
            <w:r w:rsidRPr="00C80753">
              <w:t>31.12.2025</w:t>
            </w:r>
          </w:p>
        </w:tc>
      </w:tr>
    </w:tbl>
    <w:p w14:paraId="062F53C8" w14:textId="77777777" w:rsidR="00875D9A" w:rsidRPr="00C80753" w:rsidRDefault="00875D9A" w:rsidP="00875D9A"/>
    <w:p w14:paraId="1FBCE908" w14:textId="77777777" w:rsidR="00E365E1" w:rsidRPr="00C80753" w:rsidRDefault="00E365E1" w:rsidP="000848F0">
      <w:bookmarkStart w:id="9" w:name="TextBodyEnd"/>
      <w:bookmarkEnd w:id="9"/>
    </w:p>
    <w:sectPr w:rsidR="00E365E1" w:rsidRPr="00C80753" w:rsidSect="0087408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82AB79" w14:textId="77777777" w:rsidR="004D05A0" w:rsidRPr="00874082" w:rsidRDefault="004D05A0">
      <w:r w:rsidRPr="00874082">
        <w:separator/>
      </w:r>
    </w:p>
  </w:endnote>
  <w:endnote w:type="continuationSeparator" w:id="0">
    <w:p w14:paraId="2CD6D4B1" w14:textId="77777777" w:rsidR="004D05A0" w:rsidRPr="00874082" w:rsidRDefault="004D05A0">
      <w:r w:rsidRPr="0087408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01E386" w14:textId="77777777" w:rsidR="00064002" w:rsidRPr="0087408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3C8489" w14:textId="77777777" w:rsidR="00064002" w:rsidRPr="0087408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B403BA" w14:textId="77777777" w:rsidR="00064002" w:rsidRPr="0087408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710E56" w14:textId="77777777" w:rsidR="004D05A0" w:rsidRPr="00874082" w:rsidRDefault="004D05A0">
      <w:r w:rsidRPr="00874082">
        <w:separator/>
      </w:r>
    </w:p>
  </w:footnote>
  <w:footnote w:type="continuationSeparator" w:id="0">
    <w:p w14:paraId="57611785" w14:textId="77777777" w:rsidR="004D05A0" w:rsidRPr="00874082" w:rsidRDefault="004D05A0">
      <w:r w:rsidRPr="00874082">
        <w:continuationSeparator/>
      </w:r>
    </w:p>
  </w:footnote>
  <w:footnote w:id="1">
    <w:p w14:paraId="136DE4F2" w14:textId="458B9172" w:rsidR="00F744C3" w:rsidRPr="00DF35A3" w:rsidRDefault="00F744C3" w:rsidP="00DF35A3">
      <w:pPr>
        <w:pStyle w:val="FootnoteText"/>
        <w:ind w:left="567" w:hanging="567"/>
        <w:rPr>
          <w:lang w:val="pt-PT"/>
        </w:rPr>
      </w:pPr>
      <w:r w:rsidRPr="00DF35A3">
        <w:rPr>
          <w:sz w:val="24"/>
          <w:vertAlign w:val="superscript"/>
          <w:lang w:val="pt-PT"/>
        </w:rPr>
        <w:footnoteRef/>
      </w:r>
      <w:r w:rsidRPr="00DF35A3">
        <w:rPr>
          <w:sz w:val="24"/>
          <w:vertAlign w:val="superscript"/>
          <w:lang w:val="pt-PT"/>
        </w:rPr>
        <w:t xml:space="preserve"> </w:t>
      </w:r>
      <w:r w:rsidRPr="00DF35A3">
        <w:rPr>
          <w:sz w:val="24"/>
          <w:lang w:val="pt-PT"/>
        </w:rPr>
        <w:tab/>
        <w:t>O assunto foi devolvido às comissões competentes, para negociações interinstitucionais, nos termos do artigo 59.º, n.º 4, quarto parágrafo, do Regimento (A9-0002/2024).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DF4120" w14:textId="77777777" w:rsidR="00064002" w:rsidRPr="0087408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D71D39" w14:textId="77777777" w:rsidR="00064002" w:rsidRPr="0087408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15BC37" w14:textId="77777777" w:rsidR="00064002" w:rsidRPr="0087408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4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2/2024"/>
    <w:docVar w:name="dvlangue" w:val="PT"/>
    <w:docVar w:name="dvnumam" w:val="15"/>
    <w:docVar w:name="dvpe" w:val="753.554"/>
    <w:docVar w:name="dvrapporteur" w:val="Relatora: "/>
    <w:docVar w:name="dvstar" w:val="***I"/>
    <w:docVar w:name="dvtitre" w:val="Resolução legislativa do Parlamento Europeu, de ... de ... de 2024,_x000d__x000a_ sobre a proposta de regulamento do Parlamento Europeu e do Conselho que altera o Regulamento (UE) 2017/852 do Parlamento Europeu e do Conselho, de 17 de maio de 2017, relativo ao mercúrio no que respeita às amálgamas dentárias e a outros produtos com mercúrio adicionado sujeitos a restrições de fabrico, importação e exportação(COM(2023)0395 – C9-0309/2023 – 2023/0272(COD))"/>
  </w:docVars>
  <w:rsids>
    <w:rsidRoot w:val="004D05A0"/>
    <w:rsid w:val="00002272"/>
    <w:rsid w:val="00064002"/>
    <w:rsid w:val="000677B9"/>
    <w:rsid w:val="000831BA"/>
    <w:rsid w:val="000848F0"/>
    <w:rsid w:val="000A42CC"/>
    <w:rsid w:val="000E209F"/>
    <w:rsid w:val="000E7DD9"/>
    <w:rsid w:val="0010095E"/>
    <w:rsid w:val="00125B37"/>
    <w:rsid w:val="001277F1"/>
    <w:rsid w:val="00187494"/>
    <w:rsid w:val="001F32AE"/>
    <w:rsid w:val="0026777E"/>
    <w:rsid w:val="002767FF"/>
    <w:rsid w:val="002B18FE"/>
    <w:rsid w:val="002B5493"/>
    <w:rsid w:val="002F33F2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6777"/>
    <w:rsid w:val="004C0004"/>
    <w:rsid w:val="004C5D52"/>
    <w:rsid w:val="004D05A0"/>
    <w:rsid w:val="0050519A"/>
    <w:rsid w:val="005072A1"/>
    <w:rsid w:val="00514517"/>
    <w:rsid w:val="00517C28"/>
    <w:rsid w:val="00545827"/>
    <w:rsid w:val="00560270"/>
    <w:rsid w:val="005C2568"/>
    <w:rsid w:val="005D28EF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4082"/>
    <w:rsid w:val="00875D9A"/>
    <w:rsid w:val="00881A7B"/>
    <w:rsid w:val="008840E5"/>
    <w:rsid w:val="00887B3E"/>
    <w:rsid w:val="008C2AC6"/>
    <w:rsid w:val="008C408C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149F1"/>
    <w:rsid w:val="00B22876"/>
    <w:rsid w:val="00B558F0"/>
    <w:rsid w:val="00BD48FE"/>
    <w:rsid w:val="00BD7BD8"/>
    <w:rsid w:val="00BE6ADC"/>
    <w:rsid w:val="00C043DA"/>
    <w:rsid w:val="00C05BFE"/>
    <w:rsid w:val="00C23CD4"/>
    <w:rsid w:val="00C61C0C"/>
    <w:rsid w:val="00C67D82"/>
    <w:rsid w:val="00C80753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F35A3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744C3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332467"/>
  <w15:chartTrackingRefBased/>
  <w15:docId w15:val="{FE705963-E14E-44ED-A0D8-05DA3534F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875D9A"/>
    <w:pPr>
      <w:spacing w:after="120"/>
    </w:pPr>
  </w:style>
  <w:style w:type="paragraph" w:customStyle="1" w:styleId="NormalBold">
    <w:name w:val="NormalBold"/>
    <w:basedOn w:val="Normal"/>
    <w:link w:val="NormalBoldChar"/>
    <w:rsid w:val="00875D9A"/>
    <w:rPr>
      <w:b/>
    </w:rPr>
  </w:style>
  <w:style w:type="paragraph" w:customStyle="1" w:styleId="NormalHanging12a">
    <w:name w:val="NormalHanging12a"/>
    <w:basedOn w:val="Normal"/>
    <w:rsid w:val="00875D9A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875D9A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875D9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875D9A"/>
    <w:pPr>
      <w:spacing w:before="240"/>
    </w:pPr>
    <w:rPr>
      <w:b/>
    </w:rPr>
  </w:style>
  <w:style w:type="paragraph" w:customStyle="1" w:styleId="EPComma">
    <w:name w:val="EPComma"/>
    <w:basedOn w:val="Normal"/>
    <w:rsid w:val="00875D9A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875D9A"/>
    <w:rPr>
      <w:sz w:val="24"/>
      <w:lang w:val="pt-PT"/>
    </w:rPr>
  </w:style>
  <w:style w:type="paragraph" w:customStyle="1" w:styleId="Normal6">
    <w:name w:val="Normal6"/>
    <w:basedOn w:val="Normal"/>
    <w:link w:val="Normal6Char"/>
    <w:rsid w:val="00875D9A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875D9A"/>
    <w:rPr>
      <w:b/>
      <w:sz w:val="24"/>
      <w:lang w:val="pt-PT"/>
    </w:rPr>
  </w:style>
  <w:style w:type="paragraph" w:customStyle="1" w:styleId="ColumnHeading">
    <w:name w:val="ColumnHeading"/>
    <w:basedOn w:val="Normal"/>
    <w:rsid w:val="00875D9A"/>
    <w:pPr>
      <w:spacing w:after="240"/>
      <w:jc w:val="center"/>
    </w:pPr>
    <w:rPr>
      <w:i/>
    </w:rPr>
  </w:style>
  <w:style w:type="character" w:customStyle="1" w:styleId="AmNumberTabsChar">
    <w:name w:val="AmNumberTabs Char"/>
    <w:basedOn w:val="DefaultParagraphFont"/>
    <w:link w:val="AmNumberTabs"/>
    <w:rsid w:val="00875D9A"/>
    <w:rPr>
      <w:b/>
      <w:sz w:val="24"/>
      <w:lang w:val="pt-PT"/>
    </w:rPr>
  </w:style>
  <w:style w:type="character" w:customStyle="1" w:styleId="NormalBold12bChar">
    <w:name w:val="NormalBold12b Char"/>
    <w:basedOn w:val="AmNumberTabsChar"/>
    <w:link w:val="NormalBold12b"/>
    <w:rsid w:val="00875D9A"/>
    <w:rPr>
      <w:b/>
      <w:sz w:val="24"/>
      <w:lang w:val="pt-PT"/>
    </w:rPr>
  </w:style>
  <w:style w:type="character" w:styleId="Emphasis">
    <w:name w:val="Emphasis"/>
    <w:basedOn w:val="DefaultParagraphFont"/>
    <w:uiPriority w:val="20"/>
    <w:qFormat/>
    <w:rsid w:val="00875D9A"/>
    <w:rPr>
      <w:i/>
      <w:iCs/>
    </w:rPr>
  </w:style>
  <w:style w:type="paragraph" w:customStyle="1" w:styleId="CrossRef">
    <w:name w:val="CrossRef"/>
    <w:basedOn w:val="Normal"/>
    <w:rsid w:val="00875D9A"/>
    <w:pPr>
      <w:spacing w:before="240"/>
      <w:jc w:val="center"/>
    </w:pPr>
    <w:rPr>
      <w:i/>
    </w:rPr>
  </w:style>
  <w:style w:type="character" w:styleId="CommentReference">
    <w:name w:val="annotation reference"/>
    <w:basedOn w:val="DefaultParagraphFont"/>
    <w:rsid w:val="00B149F1"/>
    <w:rPr>
      <w:sz w:val="16"/>
      <w:szCs w:val="16"/>
    </w:rPr>
  </w:style>
  <w:style w:type="paragraph" w:styleId="CommentText">
    <w:name w:val="annotation text"/>
    <w:basedOn w:val="Normal"/>
    <w:link w:val="CommentTextChar"/>
    <w:rsid w:val="00B149F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149F1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B149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149F1"/>
    <w:rPr>
      <w:b/>
      <w:bCs/>
      <w:lang w:val="pt-PT"/>
    </w:rPr>
  </w:style>
  <w:style w:type="paragraph" w:styleId="BalloonText">
    <w:name w:val="Balloon Text"/>
    <w:basedOn w:val="Normal"/>
    <w:link w:val="BalloonTextChar"/>
    <w:rsid w:val="00B149F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149F1"/>
    <w:rPr>
      <w:rFonts w:ascii="Segoe UI" w:hAnsi="Segoe UI" w:cs="Segoe UI"/>
      <w:sz w:val="18"/>
      <w:szCs w:val="18"/>
      <w:lang w:val="pt-PT"/>
    </w:rPr>
  </w:style>
  <w:style w:type="character" w:styleId="Hyperlink">
    <w:name w:val="Hyperlink"/>
    <w:basedOn w:val="DefaultParagraphFont"/>
    <w:rsid w:val="00B149F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BDCD0F-C3FC-4B37-8F6B-6D4BF741DD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2721</Words>
  <Characters>14915</Characters>
  <Application>Microsoft Office Word</Application>
  <DocSecurity>0</DocSecurity>
  <Lines>124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</cp:lastModifiedBy>
  <cp:revision>2</cp:revision>
  <cp:lastPrinted>2004-11-19T15:42:00Z</cp:lastPrinted>
  <dcterms:created xsi:type="dcterms:W3CDTF">2024-05-28T07:57:00Z</dcterms:created>
  <dcterms:modified xsi:type="dcterms:W3CDTF">2024-05-28T07:57:00Z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P9_TA(2024)0019_</vt:lpwstr>
  </property>
  <property fmtid="{D5CDD505-2E9C-101B-9397-08002B2CF9AE}" pid="4" name="&lt;Type&gt;">
    <vt:lpwstr>RR</vt:lpwstr>
  </property>
  <property fmtid="{D5CDD505-2E9C-101B-9397-08002B2CF9AE}" pid="5" name="&lt;Model&gt;">
    <vt:lpwstr/>
  </property>
</Properties>
</file>