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FE0A9E" w:rsidRPr="003D20E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FE0A9E" w:rsidRPr="003D20E7" w:rsidRDefault="00CA188B">
            <w:pPr>
              <w:pStyle w:val="EPName"/>
            </w:pPr>
            <w:r w:rsidRPr="003D20E7">
              <w:t>Európsky parlament</w:t>
            </w:r>
          </w:p>
          <w:p w:rsidR="00FE0A9E" w:rsidRPr="003D20E7" w:rsidRDefault="00CA188B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20E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FE0A9E" w:rsidRPr="003D20E7" w:rsidRDefault="00CA188B">
            <w:pPr>
              <w:pStyle w:val="EPLogo"/>
            </w:pPr>
            <w:r w:rsidRPr="003D20E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0A9E" w:rsidRPr="003D20E7" w:rsidRDefault="00FE0A9E">
      <w:pPr>
        <w:pStyle w:val="LineTop"/>
      </w:pPr>
    </w:p>
    <w:p w:rsidR="00FE0A9E" w:rsidRPr="003D20E7" w:rsidRDefault="00CA188B">
      <w:pPr>
        <w:pStyle w:val="EPBodyTA1"/>
      </w:pPr>
      <w:r w:rsidRPr="003D20E7">
        <w:t>PRIJATÉ TEXTY</w:t>
      </w:r>
    </w:p>
    <w:p w:rsidR="00FE0A9E" w:rsidRPr="003D20E7" w:rsidRDefault="00FE0A9E">
      <w:pPr>
        <w:pStyle w:val="LineBottom"/>
      </w:pPr>
    </w:p>
    <w:p w:rsidR="00FE0A9E" w:rsidRPr="003D20E7" w:rsidRDefault="00CA188B">
      <w:pPr>
        <w:pStyle w:val="ATHeading1"/>
      </w:pPr>
      <w:bookmarkStart w:id="0" w:name="TANumber"/>
      <w:r w:rsidRPr="003D20E7">
        <w:t>P9_TA(2024)0019</w:t>
      </w:r>
      <w:bookmarkEnd w:id="0"/>
    </w:p>
    <w:p w:rsidR="00FE0A9E" w:rsidRPr="003D20E7" w:rsidRDefault="00CA188B">
      <w:pPr>
        <w:pStyle w:val="ATHeading2"/>
      </w:pPr>
      <w:bookmarkStart w:id="1" w:name="title"/>
      <w:r w:rsidRPr="003D20E7">
        <w:t xml:space="preserve">Ortuť: zubný amalgám a iné výrobky s prídavkom ortuti, na ktoré sa vzťahujú obmedzenia výroby, dovozu a vývozu </w:t>
      </w:r>
      <w:bookmarkEnd w:id="1"/>
    </w:p>
    <w:p w:rsidR="00FE0A9E" w:rsidRPr="003D20E7" w:rsidRDefault="00CA188B">
      <w:pPr>
        <w:rPr>
          <w:i/>
          <w:vanish/>
        </w:rPr>
      </w:pPr>
      <w:r w:rsidRPr="003D20E7">
        <w:rPr>
          <w:i/>
        </w:rPr>
        <w:fldChar w:fldCharType="begin"/>
      </w:r>
      <w:r w:rsidRPr="003D20E7">
        <w:rPr>
          <w:i/>
        </w:rPr>
        <w:instrText xml:space="preserve"> TC"(</w:instrText>
      </w:r>
      <w:bookmarkStart w:id="2" w:name="DocNumber"/>
      <w:r w:rsidRPr="003D20E7">
        <w:rPr>
          <w:i/>
        </w:rPr>
        <w:instrText>A9-0002/2024</w:instrText>
      </w:r>
      <w:bookmarkEnd w:id="2"/>
      <w:r w:rsidRPr="003D20E7">
        <w:rPr>
          <w:i/>
        </w:rPr>
        <w:instrText xml:space="preserve"> - Spravodajkyňa: Marlene Mortler)"\l3 \n&gt; \* MERGEFORMAT </w:instrText>
      </w:r>
      <w:r w:rsidRPr="003D20E7">
        <w:rPr>
          <w:i/>
        </w:rPr>
        <w:fldChar w:fldCharType="end"/>
      </w:r>
    </w:p>
    <w:p w:rsidR="00FE0A9E" w:rsidRPr="003D20E7" w:rsidRDefault="00CA188B">
      <w:pPr>
        <w:rPr>
          <w:vanish/>
        </w:rPr>
      </w:pPr>
      <w:bookmarkStart w:id="3" w:name="Commission"/>
      <w:r w:rsidRPr="003D20E7">
        <w:rPr>
          <w:vanish/>
        </w:rPr>
        <w:t>Výbor pre životné prostredie, verejné zdravie a bezpečnosť potravín</w:t>
      </w:r>
      <w:bookmarkEnd w:id="3"/>
    </w:p>
    <w:p w:rsidR="00FE0A9E" w:rsidRPr="003D20E7" w:rsidRDefault="00CA188B">
      <w:pPr>
        <w:rPr>
          <w:vanish/>
        </w:rPr>
      </w:pPr>
      <w:bookmarkStart w:id="4" w:name="PE"/>
      <w:r w:rsidRPr="003D20E7">
        <w:rPr>
          <w:vanish/>
        </w:rPr>
        <w:t>PE753.554</w:t>
      </w:r>
      <w:bookmarkEnd w:id="4"/>
    </w:p>
    <w:p w:rsidR="00FE0A9E" w:rsidRPr="003D20E7" w:rsidRDefault="00CA188B">
      <w:pPr>
        <w:pStyle w:val="ATHeading3"/>
      </w:pPr>
      <w:bookmarkStart w:id="5" w:name="Sujet"/>
      <w:r w:rsidRPr="003D20E7">
        <w:t>Pozmeňujúce návrhy prijaté Európskym parlamentom 17. januára 2024 k návrhu nariadenia Európskeho parlamentu a Rady, ktorým sa mení nariadenie Európskeho parlamentu a Rady (EÚ) 2017/852 zo 17. mája 2017 o ortuti, pokiaľ ide o zubný amalgám a iné výrobky s prídavkom ortuti, na ktoré sa vzťahujú obmedzenia výroby, dovozu a vývozu</w:t>
      </w:r>
      <w:bookmarkEnd w:id="5"/>
      <w:r w:rsidRPr="003D20E7">
        <w:t xml:space="preserve"> </w:t>
      </w:r>
      <w:bookmarkStart w:id="6" w:name="References"/>
      <w:r w:rsidRPr="003D20E7">
        <w:t>(COM(2023)0395 – C9-0309/2023 – 2023/0272(COD))</w:t>
      </w:r>
      <w:bookmarkEnd w:id="6"/>
      <w:r w:rsidRPr="003D20E7">
        <w:rPr>
          <w:rStyle w:val="FootnoteReference"/>
        </w:rPr>
        <w:footnoteReference w:id="1"/>
      </w:r>
    </w:p>
    <w:p w:rsidR="00FE0A9E" w:rsidRPr="003D20E7" w:rsidRDefault="00FE0A9E"/>
    <w:p w:rsidR="00FE0A9E" w:rsidRPr="003D20E7" w:rsidRDefault="00CA188B">
      <w:pPr>
        <w:pStyle w:val="NormalBold"/>
      </w:pPr>
      <w:bookmarkStart w:id="7" w:name="TextBodyBegin"/>
      <w:bookmarkEnd w:id="7"/>
      <w:r w:rsidRPr="003D20E7">
        <w:t>(Riadny legislatívny postup: prvé čítanie)</w:t>
      </w:r>
    </w:p>
    <w:p w:rsidR="00FE0A9E" w:rsidRPr="003D20E7" w:rsidRDefault="00FE0A9E">
      <w:pPr>
        <w:pStyle w:val="NormalHanging12a"/>
      </w:pPr>
    </w:p>
    <w:p w:rsidR="001D7666" w:rsidRPr="003D20E7" w:rsidRDefault="001D7666">
      <w:pPr>
        <w:widowControl/>
        <w:rPr>
          <w:b/>
        </w:rPr>
      </w:pPr>
      <w:r w:rsidRPr="003D20E7">
        <w:rPr>
          <w:b/>
        </w:rPr>
        <w:br w:type="page"/>
      </w:r>
    </w:p>
    <w:p w:rsidR="00FE0A9E" w:rsidRPr="003D20E7" w:rsidRDefault="00CA188B">
      <w:pPr>
        <w:pStyle w:val="AmNumberTabs"/>
      </w:pPr>
      <w:r w:rsidRPr="003D20E7">
        <w:lastRenderedPageBreak/>
        <w:t>Pozmeňujúci návrh</w:t>
      </w:r>
      <w:r w:rsidRPr="003D20E7">
        <w:tab/>
      </w:r>
      <w:r w:rsidRPr="003D20E7">
        <w:tab/>
        <w:t>1</w:t>
      </w:r>
    </w:p>
    <w:p w:rsidR="00FE0A9E" w:rsidRPr="003D20E7" w:rsidRDefault="00FE0A9E"/>
    <w:p w:rsidR="00FE0A9E" w:rsidRPr="003D20E7" w:rsidRDefault="00CA188B">
      <w:pPr>
        <w:pStyle w:val="NormalBold"/>
        <w:keepNext/>
      </w:pPr>
      <w:r w:rsidRPr="003D20E7">
        <w:t>Návrh nariadenia</w:t>
      </w:r>
    </w:p>
    <w:p w:rsidR="00FE0A9E" w:rsidRPr="003D20E7" w:rsidRDefault="00CA188B">
      <w:pPr>
        <w:pStyle w:val="NormalBold"/>
      </w:pPr>
      <w:r w:rsidRPr="003D20E7">
        <w:t>Odôvodnenie 1 a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E0A9E" w:rsidRPr="003D20E7">
        <w:trPr>
          <w:jc w:val="center"/>
        </w:trPr>
        <w:tc>
          <w:tcPr>
            <w:tcW w:w="9752" w:type="dxa"/>
            <w:gridSpan w:val="2"/>
          </w:tcPr>
          <w:p w:rsidR="00FE0A9E" w:rsidRPr="003D20E7" w:rsidRDefault="00FE0A9E">
            <w:pPr>
              <w:keepNext/>
            </w:pP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Text predložený Komisiou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Pozmeňujúci návrh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b/>
                <w:i/>
              </w:rPr>
              <w:t>(1a)</w:t>
            </w:r>
            <w:r w:rsidRPr="003D20E7">
              <w:rPr>
                <w:b/>
                <w:i/>
              </w:rPr>
              <w:tab/>
              <w:t xml:space="preserve">Ortuť je chemikália, ktorá na celom svete vzbudzuje obavy o životné prostredie z dôvodu atmosférického prenosu na veľké vzdialenosti, zotrvávanie po </w:t>
            </w:r>
            <w:proofErr w:type="spellStart"/>
            <w:r w:rsidRPr="003D20E7">
              <w:rPr>
                <w:b/>
                <w:i/>
              </w:rPr>
              <w:t>antropogénnom</w:t>
            </w:r>
            <w:proofErr w:type="spellEnd"/>
            <w:r w:rsidRPr="003D20E7">
              <w:rPr>
                <w:b/>
                <w:i/>
              </w:rPr>
              <w:t xml:space="preserve"> zavedení do životného prostredia a schopnosť </w:t>
            </w:r>
            <w:proofErr w:type="spellStart"/>
            <w:r w:rsidRPr="003D20E7">
              <w:rPr>
                <w:b/>
                <w:i/>
              </w:rPr>
              <w:t>bioakumulácie</w:t>
            </w:r>
            <w:proofErr w:type="spellEnd"/>
            <w:r w:rsidRPr="003D20E7">
              <w:rPr>
                <w:b/>
                <w:i/>
              </w:rPr>
              <w:t xml:space="preserve"> v ekosystémoch. Ortuť má tiež výrazné negatívne účinky na ľudské zdravie a prenáša sa z matiek na deti cez placentu alebo dojčením. Znečistenie životného prostredia ortuťou môže byť spôsobené </w:t>
            </w:r>
            <w:proofErr w:type="spellStart"/>
            <w:r w:rsidRPr="003D20E7">
              <w:rPr>
                <w:b/>
                <w:i/>
              </w:rPr>
              <w:t>antropogénnou</w:t>
            </w:r>
            <w:proofErr w:type="spellEnd"/>
            <w:r w:rsidRPr="003D20E7">
              <w:rPr>
                <w:b/>
                <w:i/>
              </w:rPr>
              <w:t xml:space="preserve"> činnosťou, ako aj nevhodným nakladaním s odpadovou ortuťou, kremáciou alebo nesprávnou inštaláciou povinných separátorov v zubných ambulanciách.</w:t>
            </w:r>
          </w:p>
        </w:tc>
      </w:tr>
    </w:tbl>
    <w:p w:rsidR="00FE0A9E" w:rsidRPr="003D20E7" w:rsidRDefault="00FE0A9E"/>
    <w:p w:rsidR="00FE0A9E" w:rsidRPr="003D20E7" w:rsidRDefault="00CA188B">
      <w:pPr>
        <w:pStyle w:val="AmNumberTabs"/>
      </w:pPr>
      <w:r w:rsidRPr="003D20E7">
        <w:t>Pozmeňujúci návrh</w:t>
      </w:r>
      <w:r w:rsidRPr="003D20E7">
        <w:tab/>
      </w:r>
      <w:r w:rsidRPr="003D20E7">
        <w:tab/>
        <w:t>2</w:t>
      </w:r>
    </w:p>
    <w:p w:rsidR="00FE0A9E" w:rsidRPr="003D20E7" w:rsidRDefault="00FE0A9E"/>
    <w:p w:rsidR="00FE0A9E" w:rsidRPr="003D20E7" w:rsidRDefault="00CA188B">
      <w:pPr>
        <w:pStyle w:val="NormalBold"/>
        <w:keepNext/>
      </w:pPr>
      <w:r w:rsidRPr="003D20E7">
        <w:t>Návrh nariadenia</w:t>
      </w:r>
    </w:p>
    <w:p w:rsidR="00FE0A9E" w:rsidRPr="003D20E7" w:rsidRDefault="00CA188B">
      <w:pPr>
        <w:pStyle w:val="NormalBold"/>
      </w:pPr>
      <w:r w:rsidRPr="003D20E7">
        <w:t>Odôvodnenie 4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E0A9E" w:rsidRPr="003D20E7" w:rsidTr="00C95749">
        <w:trPr>
          <w:jc w:val="center"/>
        </w:trPr>
        <w:tc>
          <w:tcPr>
            <w:tcW w:w="9752" w:type="dxa"/>
            <w:gridSpan w:val="2"/>
          </w:tcPr>
          <w:p w:rsidR="00FE0A9E" w:rsidRPr="003D20E7" w:rsidRDefault="00FE0A9E">
            <w:pPr>
              <w:keepNext/>
            </w:pPr>
          </w:p>
        </w:tc>
      </w:tr>
      <w:tr w:rsidR="00FE0A9E" w:rsidRPr="003D20E7" w:rsidTr="00C95749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Text predložený Komisiou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Pozmeňujúci návrh</w:t>
            </w:r>
          </w:p>
        </w:tc>
      </w:tr>
      <w:tr w:rsidR="00FE0A9E" w:rsidRPr="003D20E7" w:rsidTr="00C95749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Normal6"/>
            </w:pPr>
            <w:r w:rsidRPr="003D20E7">
              <w:t>(4)</w:t>
            </w:r>
            <w:r w:rsidRPr="003D20E7">
              <w:tab/>
              <w:t xml:space="preserve">Vzhľadom na dostupnosť </w:t>
            </w:r>
            <w:proofErr w:type="spellStart"/>
            <w:r w:rsidRPr="003D20E7">
              <w:t>bezortuťových</w:t>
            </w:r>
            <w:proofErr w:type="spellEnd"/>
            <w:r w:rsidRPr="003D20E7">
              <w:t xml:space="preserve"> alternatív je vhodné zakázať používanie zubného amalgámu na ošetrenie zubov v prípade všetkých skupín obyvateľstva, pričom sa zachová možnosť používania zubného amalgámu u pacientov s osobitnými liečebnými potrebami. Aby sa predišlo tomu, že zubný amalgám, ktorý je na trhu Únie zakázaný, sa bude vyrábať na účely vývozu, treba zakázať jeho výrobu a vývoz. Článok 10 nariadenia (EÚ) 2017/852 by sa preto mal zodpovedajúcim spôsobom zmeniť.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t>(4)</w:t>
            </w:r>
            <w:r w:rsidRPr="003D20E7">
              <w:tab/>
              <w:t xml:space="preserve">Vzhľadom na dostupnosť </w:t>
            </w:r>
            <w:proofErr w:type="spellStart"/>
            <w:r w:rsidRPr="003D20E7">
              <w:t>bezortuťových</w:t>
            </w:r>
            <w:proofErr w:type="spellEnd"/>
            <w:r w:rsidRPr="003D20E7">
              <w:t xml:space="preserve"> alternatív, </w:t>
            </w:r>
            <w:r w:rsidRPr="003D20E7">
              <w:rPr>
                <w:b/>
                <w:bCs/>
                <w:i/>
                <w:iCs/>
              </w:rPr>
              <w:t xml:space="preserve">dostupnosť alternatívnych materiálov a súčasný prechod na </w:t>
            </w:r>
            <w:proofErr w:type="spellStart"/>
            <w:r w:rsidRPr="003D20E7">
              <w:rPr>
                <w:b/>
                <w:bCs/>
                <w:i/>
                <w:iCs/>
              </w:rPr>
              <w:t>bezortuťové</w:t>
            </w:r>
            <w:proofErr w:type="spellEnd"/>
            <w:r w:rsidRPr="003D20E7">
              <w:rPr>
                <w:b/>
                <w:bCs/>
                <w:i/>
                <w:iCs/>
              </w:rPr>
              <w:t xml:space="preserve"> výplne v mnohých členských štátoch</w:t>
            </w:r>
            <w:r w:rsidRPr="003D20E7">
              <w:t xml:space="preserve"> je vhodné zakázať používanie zubného amalgámu na ošetrenie zubov v prípade všetkých skupín obyvateľstva, pričom sa zachová možnosť používania zubného amalgámu u pacientov s osobitnými liečebnými potrebami.</w:t>
            </w:r>
            <w:r w:rsidRPr="003D20E7">
              <w:rPr>
                <w:b/>
                <w:i/>
              </w:rPr>
              <w:t xml:space="preserve"> </w:t>
            </w:r>
            <w:r w:rsidRPr="003D20E7">
              <w:rPr>
                <w:b/>
                <w:bCs/>
                <w:i/>
                <w:iCs/>
              </w:rPr>
              <w:t xml:space="preserve">Prechod na </w:t>
            </w:r>
            <w:proofErr w:type="spellStart"/>
            <w:r w:rsidRPr="003D20E7">
              <w:rPr>
                <w:b/>
                <w:bCs/>
                <w:i/>
                <w:iCs/>
              </w:rPr>
              <w:t>bezortuťové</w:t>
            </w:r>
            <w:proofErr w:type="spellEnd"/>
            <w:r w:rsidRPr="003D20E7">
              <w:rPr>
                <w:b/>
                <w:bCs/>
                <w:i/>
                <w:iCs/>
              </w:rPr>
              <w:t xml:space="preserve"> alternatívy zubných výplní už pokročil v mnohých členských štátoch, čo poukazuje na uskutočniteľnosť a potrebu tohto zákazu ako nákladovo efektívneho spôsobu predchádzania dodatočného znečistenia ortuťou.</w:t>
            </w:r>
            <w:r w:rsidRPr="003D20E7">
              <w:rPr>
                <w:b/>
                <w:i/>
              </w:rPr>
              <w:t xml:space="preserve"> </w:t>
            </w:r>
            <w:r w:rsidRPr="003D20E7">
              <w:t xml:space="preserve">Aby sa predišlo tomu, že zubný amalgám, ktorý je na trhu Únie zakázaný, </w:t>
            </w:r>
            <w:r w:rsidRPr="003D20E7">
              <w:lastRenderedPageBreak/>
              <w:t>sa bude vyrábať na účely vývozu, treba zakázať jeho výrobu a vývoz. Článok 10 nariadenia (EÚ) 2017/852 by sa preto mal zodpovedajúcim spôsobom zmeniť.</w:t>
            </w:r>
          </w:p>
        </w:tc>
      </w:tr>
    </w:tbl>
    <w:p w:rsidR="00C95749" w:rsidRPr="003D20E7" w:rsidRDefault="00C95749"/>
    <w:p w:rsidR="00FE0A9E" w:rsidRPr="003D20E7" w:rsidRDefault="00CA188B">
      <w:pPr>
        <w:pStyle w:val="AmNumberTabs"/>
      </w:pPr>
      <w:r w:rsidRPr="003D20E7">
        <w:t>Pozmeňujúci návrh</w:t>
      </w:r>
      <w:r w:rsidRPr="003D20E7">
        <w:tab/>
      </w:r>
      <w:r w:rsidRPr="003D20E7">
        <w:tab/>
        <w:t>3</w:t>
      </w:r>
    </w:p>
    <w:p w:rsidR="00FE0A9E" w:rsidRPr="003D20E7" w:rsidRDefault="00FE0A9E"/>
    <w:p w:rsidR="00FE0A9E" w:rsidRPr="003D20E7" w:rsidRDefault="00CA188B">
      <w:pPr>
        <w:pStyle w:val="NormalBold"/>
        <w:keepNext/>
      </w:pPr>
      <w:r w:rsidRPr="003D20E7">
        <w:t>Návrh nariadenia</w:t>
      </w:r>
    </w:p>
    <w:p w:rsidR="00FE0A9E" w:rsidRPr="003D20E7" w:rsidRDefault="00CA188B">
      <w:pPr>
        <w:pStyle w:val="NormalBold"/>
      </w:pPr>
      <w:r w:rsidRPr="003D20E7">
        <w:t>Odôvodnenie 4 a (nové)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E0A9E" w:rsidRPr="003D20E7" w:rsidTr="001D7666">
        <w:trPr>
          <w:jc w:val="center"/>
        </w:trPr>
        <w:tc>
          <w:tcPr>
            <w:tcW w:w="9752" w:type="dxa"/>
            <w:gridSpan w:val="2"/>
          </w:tcPr>
          <w:p w:rsidR="00FE0A9E" w:rsidRPr="003D20E7" w:rsidRDefault="00FE0A9E">
            <w:pPr>
              <w:keepNext/>
            </w:pPr>
          </w:p>
        </w:tc>
      </w:tr>
      <w:tr w:rsidR="00FE0A9E" w:rsidRPr="003D20E7" w:rsidTr="001D7666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Text predložený Komisiou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Pozmeňujúci návrh</w:t>
            </w:r>
          </w:p>
        </w:tc>
      </w:tr>
      <w:tr w:rsidR="00FE0A9E" w:rsidRPr="003D20E7" w:rsidTr="001D7666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b/>
                <w:i/>
              </w:rPr>
              <w:t>(4a)</w:t>
            </w:r>
            <w:r w:rsidRPr="003D20E7">
              <w:rPr>
                <w:b/>
                <w:i/>
              </w:rPr>
              <w:tab/>
              <w:t>Významným zdrojom uvoľňovania ortuti do atmosféry sú krematóriá a dokonca aj pri postupnom ukončovaní používania zubného amalgámu budú krematóriá naďalej prispievať k znečisteniu ovzdušia, vody a pôdy ortuťou. Je potrebné zhromažďovať informácie o opatreniach vykonávaných v členských štátoch a vypracovať usmernenia pre krematóriá s cieľom dosiahnuť primeranú prevenciu znečisťovania a zmierňovanie ich vplyvu na životné prostredie a ľudské zdravie.</w:t>
            </w:r>
          </w:p>
        </w:tc>
      </w:tr>
    </w:tbl>
    <w:p w:rsidR="001D7666" w:rsidRPr="003D20E7" w:rsidRDefault="001D7666" w:rsidP="001D7666">
      <w:pPr>
        <w:pStyle w:val="AmNumberTabs"/>
        <w:rPr>
          <w:rStyle w:val="HideTWBExt"/>
        </w:rPr>
      </w:pPr>
      <w:r w:rsidRPr="003D20E7">
        <w:t>Pozmeňujúci návrh</w:t>
      </w:r>
      <w:r w:rsidRPr="003D20E7">
        <w:tab/>
      </w:r>
      <w:r w:rsidRPr="003D20E7">
        <w:tab/>
      </w:r>
      <w:r w:rsidRPr="003D20E7">
        <w:rPr>
          <w:rStyle w:val="HideTWBExt"/>
        </w:rPr>
        <w:t>&lt;NumAm&gt;</w:t>
      </w:r>
      <w:r w:rsidRPr="003D20E7">
        <w:t>16</w:t>
      </w:r>
      <w:r w:rsidRPr="003D20E7">
        <w:rPr>
          <w:rStyle w:val="HideTWBExt"/>
        </w:rPr>
        <w:t>&lt;/NumAm&gt;</w:t>
      </w:r>
    </w:p>
    <w:p w:rsidR="001D7666" w:rsidRPr="003D20E7" w:rsidRDefault="001D7666" w:rsidP="001D7666"/>
    <w:p w:rsidR="00C322B4" w:rsidRPr="003D20E7" w:rsidRDefault="00C322B4" w:rsidP="001D7666">
      <w:pPr>
        <w:pStyle w:val="NormalBold"/>
        <w:keepNext/>
        <w:rPr>
          <w:rStyle w:val="HideTWBExt"/>
          <w:vanish w:val="0"/>
        </w:rPr>
      </w:pPr>
    </w:p>
    <w:p w:rsidR="001D7666" w:rsidRPr="003D20E7" w:rsidRDefault="001D7666" w:rsidP="001D7666">
      <w:pPr>
        <w:pStyle w:val="NormalBold"/>
        <w:keepNext/>
      </w:pPr>
      <w:r w:rsidRPr="003D20E7">
        <w:rPr>
          <w:rStyle w:val="HideTWBExt"/>
        </w:rPr>
        <w:t>&lt;DocAmend&gt;</w:t>
      </w:r>
      <w:r w:rsidRPr="003D20E7">
        <w:t>Návrh nariadenia</w:t>
      </w:r>
      <w:r w:rsidRPr="003D20E7">
        <w:rPr>
          <w:rStyle w:val="HideTWBExt"/>
        </w:rPr>
        <w:t>&lt;/DocAmend&gt;</w:t>
      </w:r>
    </w:p>
    <w:p w:rsidR="001D7666" w:rsidRPr="003D20E7" w:rsidRDefault="001D7666" w:rsidP="001D7666">
      <w:pPr>
        <w:pStyle w:val="NormalBold"/>
      </w:pPr>
      <w:r w:rsidRPr="003D20E7">
        <w:rPr>
          <w:rStyle w:val="HideTWBExt"/>
        </w:rPr>
        <w:t>&lt;Article&gt;</w:t>
      </w:r>
      <w:r w:rsidRPr="003D20E7">
        <w:t>Odôvodnenie 4 b (nové)</w:t>
      </w:r>
      <w:r w:rsidRPr="003D20E7">
        <w:rPr>
          <w:rStyle w:val="HideTWBExt"/>
        </w:rPr>
        <w:t>&lt;/</w:t>
      </w:r>
      <w:proofErr w:type="spellStart"/>
      <w:r w:rsidRPr="003D20E7">
        <w:rPr>
          <w:rStyle w:val="HideTWBExt"/>
        </w:rPr>
        <w:t>Article</w:t>
      </w:r>
      <w:proofErr w:type="spellEnd"/>
      <w:r w:rsidRPr="003D20E7">
        <w:rPr>
          <w:rStyle w:val="HideTWBExt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1D7666" w:rsidRPr="003D20E7" w:rsidTr="0061503C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1D7666" w:rsidRPr="003D20E7" w:rsidRDefault="001D7666" w:rsidP="0061503C"/>
        </w:tc>
      </w:tr>
      <w:tr w:rsidR="001D7666" w:rsidRPr="003D20E7" w:rsidTr="0061503C">
        <w:trPr>
          <w:trHeight w:val="240"/>
          <w:jc w:val="center"/>
        </w:trPr>
        <w:tc>
          <w:tcPr>
            <w:tcW w:w="4876" w:type="dxa"/>
          </w:tcPr>
          <w:p w:rsidR="001D7666" w:rsidRPr="003D20E7" w:rsidRDefault="001D7666" w:rsidP="0061503C">
            <w:pPr>
              <w:pStyle w:val="AmColumnHeading"/>
            </w:pPr>
            <w:r w:rsidRPr="003D20E7">
              <w:t>Text predložený Komisiou</w:t>
            </w:r>
          </w:p>
        </w:tc>
        <w:tc>
          <w:tcPr>
            <w:tcW w:w="4876" w:type="dxa"/>
          </w:tcPr>
          <w:p w:rsidR="001D7666" w:rsidRPr="003D20E7" w:rsidRDefault="001D7666" w:rsidP="0061503C">
            <w:pPr>
              <w:pStyle w:val="AmColumnHeading"/>
            </w:pPr>
            <w:r w:rsidRPr="003D20E7">
              <w:t>Pozmeňujúci návrh</w:t>
            </w:r>
          </w:p>
        </w:tc>
      </w:tr>
      <w:tr w:rsidR="001D7666" w:rsidRPr="003D20E7" w:rsidTr="0061503C">
        <w:trPr>
          <w:jc w:val="center"/>
        </w:trPr>
        <w:tc>
          <w:tcPr>
            <w:tcW w:w="4876" w:type="dxa"/>
          </w:tcPr>
          <w:p w:rsidR="001D7666" w:rsidRPr="003D20E7" w:rsidRDefault="001D7666" w:rsidP="0061503C">
            <w:pPr>
              <w:pStyle w:val="Normal6a"/>
            </w:pPr>
          </w:p>
        </w:tc>
        <w:tc>
          <w:tcPr>
            <w:tcW w:w="4876" w:type="dxa"/>
          </w:tcPr>
          <w:p w:rsidR="001D7666" w:rsidRPr="003D20E7" w:rsidRDefault="001D7666">
            <w:pPr>
              <w:pStyle w:val="Normal6a"/>
            </w:pPr>
            <w:r w:rsidRPr="003D20E7">
              <w:rPr>
                <w:b/>
                <w:i/>
              </w:rPr>
              <w:t>(4b)</w:t>
            </w:r>
            <w:r w:rsidRPr="003D20E7">
              <w:tab/>
            </w:r>
            <w:r w:rsidRPr="003D20E7">
              <w:rPr>
                <w:b/>
                <w:i/>
              </w:rPr>
              <w:t xml:space="preserve">Aby mal prechod na </w:t>
            </w:r>
            <w:proofErr w:type="spellStart"/>
            <w:r w:rsidRPr="003D20E7">
              <w:rPr>
                <w:b/>
                <w:i/>
              </w:rPr>
              <w:t>bezortuťové</w:t>
            </w:r>
            <w:proofErr w:type="spellEnd"/>
            <w:r w:rsidRPr="003D20E7">
              <w:rPr>
                <w:b/>
                <w:i/>
              </w:rPr>
              <w:t xml:space="preserve"> výplne čo najmenší sociálny a ekonomický vplyv na náklady pacientov a zubných lekárov na zubnú starostlivosť, členské štáty by sa mali snažiť zabezpečiť poskytovanie primeraných úhrad nákladov na </w:t>
            </w:r>
            <w:proofErr w:type="spellStart"/>
            <w:r w:rsidRPr="003D20E7">
              <w:rPr>
                <w:b/>
                <w:i/>
              </w:rPr>
              <w:t>bezortuťové</w:t>
            </w:r>
            <w:proofErr w:type="spellEnd"/>
            <w:r w:rsidRPr="003D20E7">
              <w:rPr>
                <w:b/>
                <w:i/>
              </w:rPr>
              <w:t xml:space="preserve"> alternatívy. Postupné ukončenie používania zubného amalgámu by v prípade potreby mala sprevádzať odborná príprava zubných lekárov, aby sa prispôsobili novým technikám.</w:t>
            </w:r>
          </w:p>
        </w:tc>
      </w:tr>
    </w:tbl>
    <w:p w:rsidR="001D7666" w:rsidRPr="003D20E7" w:rsidRDefault="001D7666"/>
    <w:p w:rsidR="00FE0A9E" w:rsidRPr="003D20E7" w:rsidRDefault="00CA188B">
      <w:pPr>
        <w:pStyle w:val="AmNumberTabs"/>
      </w:pPr>
      <w:r w:rsidRPr="003D20E7">
        <w:t>Pozmeňujúci návrh</w:t>
      </w:r>
      <w:r w:rsidRPr="003D20E7">
        <w:tab/>
      </w:r>
      <w:r w:rsidRPr="003D20E7">
        <w:tab/>
        <w:t>4</w:t>
      </w:r>
    </w:p>
    <w:p w:rsidR="00FE0A9E" w:rsidRPr="003D20E7" w:rsidRDefault="00FE0A9E"/>
    <w:p w:rsidR="00FE0A9E" w:rsidRPr="003D20E7" w:rsidRDefault="00CA188B">
      <w:pPr>
        <w:pStyle w:val="NormalBold"/>
        <w:keepNext/>
      </w:pPr>
      <w:r w:rsidRPr="003D20E7">
        <w:t>Návrh nariadenia</w:t>
      </w:r>
    </w:p>
    <w:p w:rsidR="00FE0A9E" w:rsidRPr="003D20E7" w:rsidRDefault="00CA188B">
      <w:pPr>
        <w:pStyle w:val="NormalBold"/>
      </w:pPr>
      <w:r w:rsidRPr="003D20E7">
        <w:t>Odôvodnenie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E0A9E" w:rsidRPr="003D20E7">
        <w:trPr>
          <w:jc w:val="center"/>
        </w:trPr>
        <w:tc>
          <w:tcPr>
            <w:tcW w:w="9752" w:type="dxa"/>
            <w:gridSpan w:val="2"/>
          </w:tcPr>
          <w:p w:rsidR="00FE0A9E" w:rsidRPr="003D20E7" w:rsidRDefault="00FE0A9E">
            <w:pPr>
              <w:keepNext/>
            </w:pP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Text predložený Komisiou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Pozmeňujúci návrh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Normal6"/>
            </w:pPr>
            <w:r w:rsidRPr="003D20E7">
              <w:t>(5)</w:t>
            </w:r>
            <w:r w:rsidRPr="003D20E7">
              <w:tab/>
              <w:t>V článku 4 ods. 1 smernice Európskeho parlamentu a Rady 2011/65/EÚ</w:t>
            </w:r>
            <w:r w:rsidRPr="003D20E7">
              <w:rPr>
                <w:vertAlign w:val="superscript"/>
              </w:rPr>
              <w:t>44</w:t>
            </w:r>
            <w:r w:rsidRPr="003D20E7">
              <w:t xml:space="preserve"> sa zakazuje uvádzanie na trh Únie a dovoz do Únie určitých elektrických a elektronických zariadení s obsahom ortuti. V prílohe III k uvedenej smernici sa okrem iných položiek uvádzajú určité svetelné zdroje s prídavkom ortuti, ktoré sú vyňaté z uvedeného zákazu do dátumov stanovených v danej prílohe. Platnosť danej výnimky už uplynula 13. apríla 2016 v prípade nelineárnych </w:t>
            </w:r>
            <w:proofErr w:type="spellStart"/>
            <w:r w:rsidRPr="003D20E7">
              <w:t>halofosfátových</w:t>
            </w:r>
            <w:proofErr w:type="spellEnd"/>
            <w:r w:rsidRPr="003D20E7">
              <w:t xml:space="preserve"> žiariviek, </w:t>
            </w:r>
            <w:r w:rsidRPr="003D20E7">
              <w:rPr>
                <w:b/>
                <w:i/>
              </w:rPr>
              <w:t>pričom</w:t>
            </w:r>
            <w:r w:rsidRPr="003D20E7">
              <w:t xml:space="preserve"> v prípade určitých kompaktných žiariviek, lineárnych žiariviek </w:t>
            </w:r>
            <w:r w:rsidRPr="003D20E7">
              <w:rPr>
                <w:b/>
                <w:i/>
              </w:rPr>
              <w:t>a</w:t>
            </w:r>
            <w:r w:rsidRPr="003D20E7">
              <w:t xml:space="preserve"> vysokotlakových sodíkových výbojok na všeobecné osvetľovacie účely, ako aj </w:t>
            </w:r>
            <w:r w:rsidRPr="003D20E7">
              <w:rPr>
                <w:b/>
                <w:bCs/>
                <w:i/>
                <w:iCs/>
              </w:rPr>
              <w:t xml:space="preserve">nelineárnych </w:t>
            </w:r>
            <w:proofErr w:type="spellStart"/>
            <w:r w:rsidRPr="003D20E7">
              <w:rPr>
                <w:b/>
                <w:bCs/>
                <w:i/>
                <w:iCs/>
              </w:rPr>
              <w:t>trifosforových</w:t>
            </w:r>
            <w:proofErr w:type="spellEnd"/>
            <w:r w:rsidRPr="003D20E7">
              <w:rPr>
                <w:b/>
                <w:bCs/>
                <w:i/>
                <w:iCs/>
              </w:rPr>
              <w:t xml:space="preserve"> žiariviek</w:t>
            </w:r>
            <w:r w:rsidRPr="003D20E7">
              <w:t xml:space="preserve"> </w:t>
            </w:r>
            <w:r w:rsidRPr="003D20E7">
              <w:rPr>
                <w:b/>
                <w:i/>
              </w:rPr>
              <w:t>výnimka</w:t>
            </w:r>
            <w:r w:rsidRPr="003D20E7">
              <w:t xml:space="preserve"> </w:t>
            </w:r>
            <w:r w:rsidRPr="003D20E7">
              <w:rPr>
                <w:b/>
                <w:bCs/>
                <w:i/>
                <w:iCs/>
              </w:rPr>
              <w:t>uplynie 24. februára</w:t>
            </w:r>
            <w:r w:rsidRPr="003D20E7">
              <w:t xml:space="preserve"> 2023 </w:t>
            </w:r>
            <w:r w:rsidRPr="003D20E7">
              <w:rPr>
                <w:b/>
                <w:bCs/>
                <w:i/>
                <w:iCs/>
              </w:rPr>
              <w:t>alebo 24. februára 2027</w:t>
            </w:r>
            <w:r w:rsidRPr="003D20E7">
              <w:t xml:space="preserve">. Určité lineárne žiarivky na všeobecné osvetľovacie účely sú okrem toho uvedené v zozname na budúci zákaz v rámci rozhodnutia MC-4/3 prijatého na štvrtom zasadnutí konferencie zmluvných strán </w:t>
            </w:r>
            <w:proofErr w:type="spellStart"/>
            <w:r w:rsidRPr="003D20E7">
              <w:t>Minamatského</w:t>
            </w:r>
            <w:proofErr w:type="spellEnd"/>
            <w:r w:rsidRPr="003D20E7">
              <w:t xml:space="preserve"> dohovoru o ortuti</w:t>
            </w:r>
            <w:r w:rsidRPr="003D20E7">
              <w:rPr>
                <w:vertAlign w:val="superscript"/>
              </w:rPr>
              <w:t>45</w:t>
            </w:r>
            <w:r w:rsidRPr="003D20E7">
              <w:t>, ktoré sa konalo 21. až 25. marca 2022. Komisia uvedené rozhodnutie podporila prostredníctvom rozhodnutia Rady (EÚ) 2022/549</w:t>
            </w:r>
            <w:r w:rsidRPr="003D20E7">
              <w:rPr>
                <w:vertAlign w:val="superscript"/>
              </w:rPr>
              <w:t>46</w:t>
            </w:r>
            <w:r w:rsidRPr="003D20E7">
              <w:t xml:space="preserve">. Keďže </w:t>
            </w:r>
            <w:r w:rsidRPr="003D20E7">
              <w:rPr>
                <w:b/>
                <w:i/>
              </w:rPr>
              <w:t>sa v súčasnosti</w:t>
            </w:r>
            <w:r w:rsidRPr="003D20E7">
              <w:t xml:space="preserve"> na tieto svetelné zdroje nevzťahuje časť A prílohy II k nariadeniu (EÚ) 2017/852, mali by sa do nej v záujme súladu zahrnúť s cieľom zakázať ich výrobu a vývoz od dátumov </w:t>
            </w:r>
            <w:r w:rsidRPr="003D20E7">
              <w:rPr>
                <w:b/>
                <w:i/>
              </w:rPr>
              <w:t>v </w:t>
            </w:r>
            <w:r w:rsidRPr="003D20E7">
              <w:rPr>
                <w:b/>
                <w:bCs/>
                <w:i/>
                <w:iCs/>
              </w:rPr>
              <w:t>súlade s </w:t>
            </w:r>
            <w:r w:rsidRPr="003D20E7">
              <w:rPr>
                <w:b/>
                <w:i/>
              </w:rPr>
              <w:t>prílohou III</w:t>
            </w:r>
            <w:r w:rsidRPr="003D20E7">
              <w:t xml:space="preserve"> k smernici 2011/65/EÚ a najambicióznejšími dátumami uvedenými v rozhodnutí MC-4/3.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t>(5)</w:t>
            </w:r>
            <w:r w:rsidRPr="003D20E7">
              <w:tab/>
              <w:t>V článku 4 ods. 1 smernice Európskeho parlamentu a Rady 2011/65/EÚ</w:t>
            </w:r>
            <w:r w:rsidRPr="003D20E7">
              <w:rPr>
                <w:vertAlign w:val="superscript"/>
              </w:rPr>
              <w:t>44</w:t>
            </w:r>
            <w:r w:rsidRPr="003D20E7">
              <w:t xml:space="preserve"> sa zakazuje uvádzanie na trh Únie a dovoz do Únie určitých elektrických a elektronických zariadení s obsahom ortuti. V prílohe III k uvedenej smernici sa okrem iných položiek uvádzajú určité svetelné zdroje s prídavkom ortuti, ktoré sú vyňaté z uvedeného zákazu do dátumov stanovených v danej prílohe. Platnosť danej výnimky už uplynula 13. apríla 2016 v prípade nelineárnych </w:t>
            </w:r>
            <w:proofErr w:type="spellStart"/>
            <w:r w:rsidRPr="003D20E7">
              <w:t>halofosfátových</w:t>
            </w:r>
            <w:proofErr w:type="spellEnd"/>
            <w:r w:rsidRPr="003D20E7">
              <w:t xml:space="preserve"> žiariviek, v prípade určitých kompaktných žiariviek </w:t>
            </w:r>
            <w:r w:rsidRPr="003D20E7">
              <w:rPr>
                <w:b/>
                <w:i/>
              </w:rPr>
              <w:t>24. februára 2023</w:t>
            </w:r>
            <w:r w:rsidRPr="003D20E7">
              <w:t xml:space="preserve"> </w:t>
            </w:r>
            <w:r w:rsidRPr="003D20E7">
              <w:rPr>
                <w:b/>
                <w:i/>
              </w:rPr>
              <w:t>a v prípade</w:t>
            </w:r>
            <w:r w:rsidRPr="003D20E7">
              <w:t xml:space="preserve"> lineárnych žiariviek </w:t>
            </w:r>
            <w:r w:rsidRPr="003D20E7">
              <w:rPr>
                <w:b/>
                <w:bCs/>
                <w:i/>
                <w:iCs/>
              </w:rPr>
              <w:t>na všeobecné osvetľovacie účely</w:t>
            </w:r>
            <w:r w:rsidRPr="003D20E7">
              <w:t xml:space="preserve"> </w:t>
            </w:r>
            <w:r w:rsidRPr="003D20E7">
              <w:rPr>
                <w:b/>
                <w:bCs/>
                <w:i/>
                <w:iCs/>
              </w:rPr>
              <w:t>24. augusta 2023</w:t>
            </w:r>
            <w:r w:rsidRPr="003D20E7">
              <w:t>.</w:t>
            </w:r>
            <w:r w:rsidRPr="003D20E7">
              <w:rPr>
                <w:b/>
                <w:i/>
              </w:rPr>
              <w:t xml:space="preserve"> V prípade nelineárnych </w:t>
            </w:r>
            <w:proofErr w:type="spellStart"/>
            <w:r w:rsidRPr="003D20E7">
              <w:rPr>
                <w:b/>
                <w:i/>
              </w:rPr>
              <w:t>trifosforových</w:t>
            </w:r>
            <w:proofErr w:type="spellEnd"/>
            <w:r w:rsidRPr="003D20E7">
              <w:rPr>
                <w:b/>
                <w:i/>
              </w:rPr>
              <w:t xml:space="preserve"> žiariviek platnosť výnimky uplynie 24. februára 2025. </w:t>
            </w:r>
            <w:r w:rsidRPr="003D20E7">
              <w:rPr>
                <w:b/>
                <w:bCs/>
                <w:i/>
                <w:iCs/>
              </w:rPr>
              <w:t xml:space="preserve">Platnosť výnimky </w:t>
            </w:r>
            <w:r w:rsidRPr="003D20E7">
              <w:rPr>
                <w:b/>
                <w:i/>
              </w:rPr>
              <w:t>v prípade</w:t>
            </w:r>
            <w:r w:rsidRPr="003D20E7">
              <w:t xml:space="preserve"> </w:t>
            </w:r>
            <w:r w:rsidRPr="003D20E7">
              <w:rPr>
                <w:b/>
                <w:i/>
              </w:rPr>
              <w:t>väčšiny</w:t>
            </w:r>
            <w:r w:rsidRPr="003D20E7">
              <w:t xml:space="preserve"> vysokotlakových sodíkových výbojok na všeobecné osvetľovacie účely</w:t>
            </w:r>
            <w:r w:rsidRPr="003D20E7">
              <w:rPr>
                <w:b/>
                <w:bCs/>
                <w:i/>
                <w:iCs/>
              </w:rPr>
              <w:t xml:space="preserve"> so zlepšenými indexmi sfarbenia uplynula 24. februára 2023, zatiaľ čo v prípade zvyšných vysokotlakových sodíkových výbojok</w:t>
            </w:r>
            <w:r w:rsidRPr="003D20E7">
              <w:t xml:space="preserve">, ako aj </w:t>
            </w:r>
            <w:r w:rsidRPr="003D20E7">
              <w:rPr>
                <w:b/>
                <w:bCs/>
                <w:i/>
                <w:iCs/>
              </w:rPr>
              <w:t>iných vysokotlakových sodíkových výbojok na všeobecné osvetľovacie účely platnosť výnimiek uplynie 24. februára 2025.</w:t>
            </w:r>
            <w:r w:rsidRPr="003D20E7">
              <w:t xml:space="preserve"> Určité lineárne žiarivky na všeobecné osvetľovacie účely sú okrem toho uvedené v zozname na budúci zákaz v rámci rozhodnutia MC-4/3 prijatého na štvrtom zasadnutí konferencie zmluvných strán </w:t>
            </w:r>
            <w:proofErr w:type="spellStart"/>
            <w:r w:rsidRPr="003D20E7">
              <w:t>Minamatského</w:t>
            </w:r>
            <w:proofErr w:type="spellEnd"/>
            <w:r w:rsidRPr="003D20E7">
              <w:t xml:space="preserve"> dohovoru o ortuti</w:t>
            </w:r>
            <w:r w:rsidRPr="003D20E7">
              <w:rPr>
                <w:vertAlign w:val="superscript"/>
              </w:rPr>
              <w:t>45</w:t>
            </w:r>
            <w:r w:rsidRPr="003D20E7">
              <w:t>, ktoré sa konalo 21. až 25. marca 2022. Komisia uvedené rozhodnutie podporila prostredníctvom rozhodnutia Rady (EÚ) 2022/549</w:t>
            </w:r>
            <w:r w:rsidRPr="003D20E7">
              <w:rPr>
                <w:vertAlign w:val="superscript"/>
              </w:rPr>
              <w:t>46</w:t>
            </w:r>
            <w:r w:rsidRPr="003D20E7">
              <w:t xml:space="preserve">. Keďže </w:t>
            </w:r>
            <w:r w:rsidRPr="003D20E7">
              <w:rPr>
                <w:b/>
                <w:bCs/>
                <w:i/>
                <w:iCs/>
              </w:rPr>
              <w:t>je vhodné čo najskôr zakázať vývoz zvyšných svetelných zdrojov s prídavkom ortuti a keďže</w:t>
            </w:r>
            <w:r w:rsidRPr="003D20E7">
              <w:t xml:space="preserve"> na </w:t>
            </w:r>
            <w:r w:rsidRPr="003D20E7">
              <w:rPr>
                <w:b/>
                <w:i/>
              </w:rPr>
              <w:t>niektoré</w:t>
            </w:r>
            <w:r w:rsidRPr="003D20E7">
              <w:t xml:space="preserve"> tieto svetelné zdroje </w:t>
            </w:r>
            <w:r w:rsidRPr="003D20E7">
              <w:rPr>
                <w:b/>
                <w:i/>
              </w:rPr>
              <w:t>sa</w:t>
            </w:r>
            <w:r w:rsidRPr="003D20E7">
              <w:t xml:space="preserve"> nevzťahuje časť A prílohy II k nariadeniu (EÚ) 2017/852, mali by sa do nej v záujme súladu zahrnúť s cieľom zakázať ich výrobu a vývoz od dátumov </w:t>
            </w:r>
            <w:r w:rsidRPr="003D20E7">
              <w:rPr>
                <w:b/>
                <w:bCs/>
                <w:i/>
                <w:iCs/>
              </w:rPr>
              <w:t>uvedených</w:t>
            </w:r>
            <w:r w:rsidRPr="003D20E7">
              <w:t xml:space="preserve"> </w:t>
            </w:r>
            <w:r w:rsidRPr="003D20E7">
              <w:rPr>
                <w:b/>
                <w:i/>
              </w:rPr>
              <w:t>v prílohe III</w:t>
            </w:r>
            <w:r w:rsidRPr="003D20E7">
              <w:t xml:space="preserve"> k smernici 2011/65/EÚ a najambicióznejšími dátumami uvedenými v rozhodnutí MC-4/3. </w:t>
            </w:r>
            <w:r w:rsidRPr="003D20E7">
              <w:rPr>
                <w:b/>
                <w:i/>
              </w:rPr>
              <w:t>Okrem toho je možné dosiahnuť významné súvisiace prínosy postupným ukončením vývozu svetelných zdrojov s prídavkom ortuti čo najskôr, keďže alternatívy bez ortuti sú energeticky účinnejšie, a preto by zabránili uvoľňovaniu ton emisií CO</w:t>
            </w:r>
            <w:r w:rsidRPr="003D20E7">
              <w:rPr>
                <w:b/>
                <w:i/>
                <w:vertAlign w:val="subscript"/>
              </w:rPr>
              <w:t>2</w:t>
            </w:r>
            <w:r w:rsidRPr="003D20E7">
              <w:rPr>
                <w:b/>
                <w:i/>
              </w:rPr>
              <w:t>.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Normal6"/>
            </w:pPr>
            <w:r w:rsidRPr="003D20E7">
              <w:t>__________________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t>__________________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Normal6"/>
            </w:pPr>
            <w:r w:rsidRPr="003D20E7">
              <w:rPr>
                <w:vertAlign w:val="superscript"/>
              </w:rPr>
              <w:t>44</w:t>
            </w:r>
            <w:r w:rsidRPr="003D20E7">
              <w:t xml:space="preserve"> Smernica Európskeho parlamentu a Rady 2011/65/EÚ z 8. júna 2011 o obmedzení používania určitých nebezpečných látok v elektrických a elektronických zariadeniach (Ú. v. EÚ L 174, 1.7.2011).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vertAlign w:val="superscript"/>
              </w:rPr>
              <w:t>44</w:t>
            </w:r>
            <w:r w:rsidRPr="003D20E7">
              <w:t xml:space="preserve"> Smernica Európskeho parlamentu a Rady 2011/65/EÚ z 8. júna 2011 o obmedzení používania určitých nebezpečných látok v elektrických a elektronických zariadeniach (Ú. v. EÚ L 174, 1.7.2011).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Normal6"/>
            </w:pPr>
            <w:r w:rsidRPr="003D20E7">
              <w:rPr>
                <w:vertAlign w:val="superscript"/>
              </w:rPr>
              <w:t>45</w:t>
            </w:r>
            <w:r w:rsidRPr="003D20E7">
              <w:t xml:space="preserve"> Rozhodnutie Rady (EÚ) 2022/549 zo 17. marca 2022 o pozícii, ktorá sa má v mene Európskej únie zaujať v druhom segmente štvrtého zasadnutia konferencie zmluvných strán </w:t>
            </w:r>
            <w:proofErr w:type="spellStart"/>
            <w:r w:rsidRPr="003D20E7">
              <w:t>Minamatského</w:t>
            </w:r>
            <w:proofErr w:type="spellEnd"/>
            <w:r w:rsidRPr="003D20E7">
              <w:t xml:space="preserve"> dohovoru o ortuti, pokiaľ ide o prijatie rozhodnutia, ktorým sa menia prílohy A </w:t>
            </w:r>
            <w:proofErr w:type="spellStart"/>
            <w:r w:rsidRPr="003D20E7">
              <w:t>a</w:t>
            </w:r>
            <w:proofErr w:type="spellEnd"/>
            <w:r w:rsidRPr="003D20E7">
              <w:t> B k uvedenému dohovoru (Ú. v. EÚ L 107, 6.4.2022, s. 78).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vertAlign w:val="superscript"/>
              </w:rPr>
              <w:t>45</w:t>
            </w:r>
            <w:r w:rsidRPr="003D20E7">
              <w:t xml:space="preserve"> Rozhodnutie Rady (EÚ) 2022/549 zo 17. marca 2022 o pozícii, ktorá sa má v mene Európskej únie zaujať v druhom segmente štvrtého zasadnutia konferencie zmluvných strán </w:t>
            </w:r>
            <w:proofErr w:type="spellStart"/>
            <w:r w:rsidRPr="003D20E7">
              <w:t>Minamatského</w:t>
            </w:r>
            <w:proofErr w:type="spellEnd"/>
            <w:r w:rsidRPr="003D20E7">
              <w:t xml:space="preserve"> dohovoru o ortuti, pokiaľ ide o prijatie rozhodnutia, ktorým sa menia prílohy A </w:t>
            </w:r>
            <w:proofErr w:type="spellStart"/>
            <w:r w:rsidRPr="003D20E7">
              <w:t>a</w:t>
            </w:r>
            <w:proofErr w:type="spellEnd"/>
            <w:r w:rsidRPr="003D20E7">
              <w:t> B k uvedenému dohovoru (Ú. v. EÚ L 107, 6.4.2022, s. 78).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Normal6"/>
            </w:pPr>
            <w:r w:rsidRPr="003D20E7">
              <w:rPr>
                <w:vertAlign w:val="superscript"/>
              </w:rPr>
              <w:t>46</w:t>
            </w:r>
            <w:r w:rsidRPr="003D20E7">
              <w:t xml:space="preserve"> Rozhodnutie Rady (EÚ) 2022/549 zo 17. marca 2022 o pozícii, ktorá sa má v mene Európskej únie zaujať v druhom segmente štvrtého zasadnutia konferencie zmluvných strán </w:t>
            </w:r>
            <w:proofErr w:type="spellStart"/>
            <w:r w:rsidRPr="003D20E7">
              <w:t>Minamatského</w:t>
            </w:r>
            <w:proofErr w:type="spellEnd"/>
            <w:r w:rsidRPr="003D20E7">
              <w:t xml:space="preserve"> dohovoru.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vertAlign w:val="superscript"/>
              </w:rPr>
              <w:t>46</w:t>
            </w:r>
            <w:r w:rsidRPr="003D20E7">
              <w:t xml:space="preserve"> Rozhodnutie Rady (EÚ) 2022/549 zo 17. marca 2022 o pozícii, ktorá sa má v mene Európskej únie zaujať v druhom segmente štvrtého zasadnutia konferencie zmluvných strán </w:t>
            </w:r>
            <w:proofErr w:type="spellStart"/>
            <w:r w:rsidRPr="003D20E7">
              <w:t>Minamatského</w:t>
            </w:r>
            <w:proofErr w:type="spellEnd"/>
            <w:r w:rsidRPr="003D20E7">
              <w:t xml:space="preserve"> dohovoru</w:t>
            </w:r>
            <w:r w:rsidR="008A07B8">
              <w:t xml:space="preserve"> </w:t>
            </w:r>
            <w:r w:rsidR="008A07B8" w:rsidRPr="008A07B8">
              <w:rPr>
                <w:b/>
                <w:i/>
              </w:rPr>
              <w:t xml:space="preserve">o ortuti, pokiaľ ide o prijatie rozhodnutia, ktorým sa menia prílohy A </w:t>
            </w:r>
            <w:proofErr w:type="spellStart"/>
            <w:r w:rsidR="008A07B8" w:rsidRPr="008A07B8">
              <w:rPr>
                <w:b/>
                <w:i/>
              </w:rPr>
              <w:t>a</w:t>
            </w:r>
            <w:proofErr w:type="spellEnd"/>
            <w:r w:rsidR="008A07B8" w:rsidRPr="008A07B8">
              <w:rPr>
                <w:b/>
                <w:i/>
              </w:rPr>
              <w:t xml:space="preserve"> B k uvedenému dohovoru</w:t>
            </w:r>
            <w:r w:rsidR="008A07B8">
              <w:rPr>
                <w:b/>
                <w:i/>
              </w:rPr>
              <w:t xml:space="preserve"> (</w:t>
            </w:r>
            <w:r w:rsidR="008A07B8" w:rsidRPr="008A07B8">
              <w:rPr>
                <w:b/>
                <w:i/>
              </w:rPr>
              <w:t>Ú. v. EÚ L 107, 6.4.2022, s. 78</w:t>
            </w:r>
            <w:r w:rsidR="008A07B8">
              <w:rPr>
                <w:b/>
                <w:i/>
              </w:rPr>
              <w:t>)</w:t>
            </w:r>
            <w:bookmarkStart w:id="8" w:name="_GoBack"/>
            <w:bookmarkEnd w:id="8"/>
            <w:r w:rsidRPr="003D20E7">
              <w:t>.</w:t>
            </w:r>
          </w:p>
        </w:tc>
      </w:tr>
    </w:tbl>
    <w:p w:rsidR="00FE0A9E" w:rsidRPr="003D20E7" w:rsidRDefault="00FE0A9E"/>
    <w:p w:rsidR="00FE0A9E" w:rsidRPr="003D20E7" w:rsidRDefault="00CA188B">
      <w:pPr>
        <w:pStyle w:val="AmNumberTabs"/>
      </w:pPr>
      <w:r w:rsidRPr="003D20E7">
        <w:t>Pozmeňujúci návrh</w:t>
      </w:r>
      <w:r w:rsidRPr="003D20E7">
        <w:tab/>
      </w:r>
      <w:r w:rsidRPr="003D20E7">
        <w:tab/>
        <w:t>5</w:t>
      </w:r>
    </w:p>
    <w:p w:rsidR="00FE0A9E" w:rsidRPr="003D20E7" w:rsidRDefault="00FE0A9E"/>
    <w:p w:rsidR="00FE0A9E" w:rsidRPr="003D20E7" w:rsidRDefault="00CA188B">
      <w:pPr>
        <w:pStyle w:val="NormalBold"/>
        <w:keepNext/>
      </w:pPr>
      <w:r w:rsidRPr="003D20E7">
        <w:t>Návrh nariadenia</w:t>
      </w:r>
    </w:p>
    <w:p w:rsidR="00FE0A9E" w:rsidRPr="003D20E7" w:rsidRDefault="00CA188B">
      <w:pPr>
        <w:pStyle w:val="NormalBold"/>
      </w:pPr>
      <w:r w:rsidRPr="003D20E7">
        <w:t>Odôvodnenie 5 a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E0A9E" w:rsidRPr="003D20E7">
        <w:trPr>
          <w:jc w:val="center"/>
        </w:trPr>
        <w:tc>
          <w:tcPr>
            <w:tcW w:w="9752" w:type="dxa"/>
            <w:gridSpan w:val="2"/>
          </w:tcPr>
          <w:p w:rsidR="00FE0A9E" w:rsidRPr="003D20E7" w:rsidRDefault="00FE0A9E">
            <w:pPr>
              <w:keepNext/>
            </w:pP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Text predložený Komisiou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Pozmeňujúci návrh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b/>
                <w:i/>
              </w:rPr>
              <w:t>(5a)</w:t>
            </w:r>
            <w:r w:rsidRPr="003D20E7">
              <w:rPr>
                <w:b/>
                <w:i/>
              </w:rPr>
              <w:tab/>
              <w:t xml:space="preserve">Vzhľadom na škodlivé účinky ortuti a jej zlúčenín na ľudské zdravie a životné prostredie by sa expozícia a emisie mali ďalej čo najviac minimalizovať. Z nedávnych správ vyplýva, že európske podniky vyrábajú a vyvážajú zlúčeniny ortuti, ktoré sa používajú na nepovolené použitie, najmä v kozmetike. Komisia by preto mala informovať o vykonávaní a presadzovaní </w:t>
            </w:r>
            <w:proofErr w:type="spellStart"/>
            <w:r w:rsidRPr="003D20E7">
              <w:rPr>
                <w:b/>
                <w:i/>
              </w:rPr>
              <w:t>Minamatského</w:t>
            </w:r>
            <w:proofErr w:type="spellEnd"/>
            <w:r w:rsidRPr="003D20E7">
              <w:rPr>
                <w:b/>
                <w:i/>
              </w:rPr>
              <w:t xml:space="preserve"> dohovoru, najmä o používaní ortuti a jej zlúčenín v kozmetických výrobkoch a o výrobe, dovoze a vývoze ortuti a jej zlúčenín na nepovolené použitie. Komisia by mala ďalej posúdiť zostávajúce použitia ortuti, napríklad v </w:t>
            </w:r>
            <w:proofErr w:type="spellStart"/>
            <w:r w:rsidRPr="003D20E7">
              <w:rPr>
                <w:b/>
                <w:i/>
              </w:rPr>
              <w:t>porozimetrii</w:t>
            </w:r>
            <w:proofErr w:type="spellEnd"/>
            <w:r w:rsidRPr="003D20E7">
              <w:rPr>
                <w:b/>
                <w:i/>
              </w:rPr>
              <w:t>, majákoch a vakcínach, ako aj potrebu zmeniť zoznam veľkých zdrojov odpadu a v prípade potreby navrhnúť opatrenia na postupné ukončenie takéhoto používania a reguláciu výroby, dovozu a vývozu na takéto účely.</w:t>
            </w:r>
          </w:p>
        </w:tc>
      </w:tr>
    </w:tbl>
    <w:p w:rsidR="00FE0A9E" w:rsidRPr="003D20E7" w:rsidRDefault="00FE0A9E"/>
    <w:p w:rsidR="00FE0A9E" w:rsidRPr="003D20E7" w:rsidRDefault="00CA188B">
      <w:pPr>
        <w:pStyle w:val="AmNumberTabs"/>
      </w:pPr>
      <w:r w:rsidRPr="003D20E7">
        <w:t>Pozmeňujúci návrh</w:t>
      </w:r>
      <w:r w:rsidRPr="003D20E7">
        <w:tab/>
      </w:r>
      <w:r w:rsidRPr="003D20E7">
        <w:tab/>
        <w:t>6</w:t>
      </w:r>
    </w:p>
    <w:p w:rsidR="00FE0A9E" w:rsidRPr="003D20E7" w:rsidRDefault="00CA188B">
      <w:pPr>
        <w:pStyle w:val="NormalBold12b"/>
      </w:pPr>
      <w:r w:rsidRPr="003D20E7">
        <w:t>Návrh nariadenia</w:t>
      </w:r>
    </w:p>
    <w:p w:rsidR="00FE0A9E" w:rsidRPr="003D20E7" w:rsidRDefault="00CA188B">
      <w:pPr>
        <w:pStyle w:val="NormalBold"/>
      </w:pPr>
      <w:r w:rsidRPr="003D20E7">
        <w:t>Odôvodnenie 5 b (nové)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E0A9E" w:rsidRPr="003D20E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FE0A9E" w:rsidRPr="003D20E7" w:rsidRDefault="00FE0A9E"/>
        </w:tc>
      </w:tr>
      <w:tr w:rsidR="00FE0A9E" w:rsidRPr="003D20E7">
        <w:trPr>
          <w:trHeight w:val="240"/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AmColumnHeading"/>
            </w:pPr>
            <w:r w:rsidRPr="003D20E7">
              <w:t>Text predložený Komisiou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AmColumnHeading"/>
            </w:pPr>
            <w:r w:rsidRPr="003D20E7">
              <w:t>Pozmeňujúci návrh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a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a"/>
            </w:pPr>
            <w:r w:rsidRPr="003D20E7">
              <w:rPr>
                <w:b/>
                <w:i/>
              </w:rPr>
              <w:t>(5b)</w:t>
            </w:r>
            <w:r w:rsidRPr="003D20E7">
              <w:tab/>
            </w:r>
            <w:r w:rsidRPr="003D20E7">
              <w:rPr>
                <w:b/>
                <w:i/>
              </w:rPr>
              <w:t>Vzhľadom na nedostatok vhodných systémov zberu výrobkov s prídavkom ortuti v inom ako elektronickom a v elektronickom odpade sa sekundárne emisie ortuti naďalej vyskytujú na skládkach a v spaľovniach odpadu, čo poukazuje na potrebu separovaného a ekologického zberu takýchto výrobkov.</w:t>
            </w:r>
          </w:p>
        </w:tc>
      </w:tr>
    </w:tbl>
    <w:p w:rsidR="00FE0A9E" w:rsidRPr="003D20E7" w:rsidRDefault="00FE0A9E"/>
    <w:p w:rsidR="00FE0A9E" w:rsidRPr="003D20E7" w:rsidRDefault="00CA188B">
      <w:pPr>
        <w:pStyle w:val="AmNumberTabs"/>
      </w:pPr>
      <w:r w:rsidRPr="003D20E7">
        <w:t>Pozmeňujúci návrh</w:t>
      </w:r>
      <w:r w:rsidRPr="003D20E7">
        <w:tab/>
      </w:r>
      <w:r w:rsidRPr="003D20E7">
        <w:tab/>
        <w:t>7</w:t>
      </w:r>
    </w:p>
    <w:p w:rsidR="00FE0A9E" w:rsidRPr="003D20E7" w:rsidRDefault="00FE0A9E"/>
    <w:p w:rsidR="00FE0A9E" w:rsidRPr="003D20E7" w:rsidRDefault="00CA188B">
      <w:pPr>
        <w:pStyle w:val="NormalBold"/>
        <w:keepNext/>
      </w:pPr>
      <w:r w:rsidRPr="003D20E7">
        <w:t>Návrh nariadenia</w:t>
      </w:r>
    </w:p>
    <w:p w:rsidR="00FE0A9E" w:rsidRPr="003D20E7" w:rsidRDefault="00CA188B">
      <w:pPr>
        <w:pStyle w:val="NormalBold"/>
      </w:pPr>
      <w:r w:rsidRPr="003D20E7">
        <w:t>Článok 1 – odsek 1 – bod 1 – písmeno a</w:t>
      </w:r>
    </w:p>
    <w:p w:rsidR="00FE0A9E" w:rsidRPr="003D20E7" w:rsidRDefault="00CA188B">
      <w:pPr>
        <w:keepNext/>
      </w:pPr>
      <w:r w:rsidRPr="003D20E7">
        <w:t>Nariadenie (EÚ) 2017/852</w:t>
      </w:r>
    </w:p>
    <w:p w:rsidR="00FE0A9E" w:rsidRPr="003D20E7" w:rsidRDefault="00CA188B">
      <w:r w:rsidRPr="003D20E7">
        <w:t>Článok 10 – odsek 2a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E0A9E" w:rsidRPr="003D20E7">
        <w:trPr>
          <w:jc w:val="center"/>
        </w:trPr>
        <w:tc>
          <w:tcPr>
            <w:tcW w:w="9752" w:type="dxa"/>
            <w:gridSpan w:val="2"/>
          </w:tcPr>
          <w:p w:rsidR="00FE0A9E" w:rsidRPr="003D20E7" w:rsidRDefault="00FE0A9E">
            <w:pPr>
              <w:keepNext/>
            </w:pP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Text predložený Komisiou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Pozmeňujúci návrh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Normal6"/>
            </w:pPr>
            <w:r w:rsidRPr="003D20E7">
              <w:t>2a.</w:t>
            </w:r>
            <w:r w:rsidRPr="003D20E7">
              <w:tab/>
              <w:t xml:space="preserve">Od 1. januára 2025 sa zubný amalgám nesmie používať na ošetrenie zubov žiadnej skupiny obyvateľstva, okrem prípadov, ak to zubný lekár považuje za nevyhnutné </w:t>
            </w:r>
            <w:r w:rsidRPr="003D20E7">
              <w:rPr>
                <w:b/>
                <w:i/>
              </w:rPr>
              <w:t>z dôvodu</w:t>
            </w:r>
            <w:r w:rsidRPr="003D20E7">
              <w:t xml:space="preserve"> osobitných liečebných potrieb pacienta.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t>2a.</w:t>
            </w:r>
            <w:r w:rsidRPr="003D20E7">
              <w:tab/>
              <w:t xml:space="preserve">Od 1. januára 2025 sa zubný amalgám nesmie používať na ošetrenie zubov žiadnej skupiny obyvateľstva, okrem prípadov, ak to zubný lekár považuje za nevyhnutné </w:t>
            </w:r>
            <w:r w:rsidRPr="003D20E7">
              <w:rPr>
                <w:b/>
                <w:i/>
              </w:rPr>
              <w:t>na základe</w:t>
            </w:r>
            <w:r w:rsidRPr="003D20E7">
              <w:t xml:space="preserve"> </w:t>
            </w:r>
            <w:r w:rsidRPr="003D20E7">
              <w:rPr>
                <w:b/>
                <w:bCs/>
                <w:i/>
                <w:iCs/>
              </w:rPr>
              <w:t>riadne odôvodnených</w:t>
            </w:r>
            <w:r w:rsidRPr="003D20E7">
              <w:t xml:space="preserve"> osobitných liečebných potrieb pacienta.</w:t>
            </w:r>
          </w:p>
        </w:tc>
      </w:tr>
    </w:tbl>
    <w:p w:rsidR="00FE0A9E" w:rsidRPr="003D20E7" w:rsidRDefault="00FE0A9E"/>
    <w:p w:rsidR="00FE0A9E" w:rsidRPr="003D20E7" w:rsidRDefault="00CA188B">
      <w:pPr>
        <w:pStyle w:val="AmNumberTabs"/>
      </w:pPr>
      <w:r w:rsidRPr="003D20E7">
        <w:t>Pozmeňujúci návrh</w:t>
      </w:r>
      <w:r w:rsidRPr="003D20E7">
        <w:tab/>
      </w:r>
      <w:r w:rsidRPr="003D20E7">
        <w:tab/>
        <w:t>8</w:t>
      </w:r>
    </w:p>
    <w:p w:rsidR="00FE0A9E" w:rsidRPr="003D20E7" w:rsidRDefault="00CA188B">
      <w:pPr>
        <w:pStyle w:val="NormalBold12b"/>
      </w:pPr>
      <w:r w:rsidRPr="003D20E7">
        <w:t>Návrh nariadenia</w:t>
      </w:r>
    </w:p>
    <w:p w:rsidR="00FE0A9E" w:rsidRPr="003D20E7" w:rsidRDefault="00CA188B">
      <w:pPr>
        <w:pStyle w:val="NormalBold"/>
      </w:pPr>
      <w:r w:rsidRPr="003D20E7">
        <w:t>Článok 1 – odsek 1 – bod 1 a (nový)</w:t>
      </w:r>
    </w:p>
    <w:p w:rsidR="00FE0A9E" w:rsidRPr="003D20E7" w:rsidRDefault="00CA188B">
      <w:r w:rsidRPr="003D20E7">
        <w:t>Nariadenie (EÚ) 2017/852</w:t>
      </w:r>
    </w:p>
    <w:p w:rsidR="00FE0A9E" w:rsidRPr="003D20E7" w:rsidRDefault="00CA188B">
      <w:r w:rsidRPr="003D20E7">
        <w:t>Článok 11 – odsek 1 a 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E0A9E" w:rsidRPr="003D20E7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FE0A9E" w:rsidRPr="003D20E7" w:rsidRDefault="00FE0A9E"/>
        </w:tc>
      </w:tr>
      <w:tr w:rsidR="00FE0A9E" w:rsidRPr="003D20E7">
        <w:trPr>
          <w:trHeight w:val="240"/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AmColumnHeading"/>
            </w:pPr>
            <w:r w:rsidRPr="003D20E7">
              <w:t>Text predložený Komisiou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AmColumnHeading"/>
            </w:pPr>
            <w:r w:rsidRPr="003D20E7">
              <w:t>Pozmeňujúci návrh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a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a"/>
            </w:pPr>
            <w:r w:rsidRPr="003D20E7">
              <w:rPr>
                <w:b/>
                <w:i/>
              </w:rPr>
              <w:t>1a.</w:t>
            </w:r>
            <w:r w:rsidRPr="003D20E7">
              <w:tab/>
            </w:r>
            <w:r w:rsidRPr="003D20E7">
              <w:rPr>
                <w:b/>
                <w:i/>
              </w:rPr>
              <w:t>V článku 11 sa dopĺňa tento odsek: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a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a"/>
            </w:pPr>
            <w:r w:rsidRPr="003D20E7">
              <w:rPr>
                <w:b/>
                <w:i/>
              </w:rPr>
              <w:t>„Výrobky s prídavkom ortuti, ktoré sú ešte v obehu a už ich nemožno používať, sa považujú za odpad a ich zber je separovaný a ekologický.“</w:t>
            </w:r>
          </w:p>
        </w:tc>
      </w:tr>
    </w:tbl>
    <w:p w:rsidR="00FE0A9E" w:rsidRPr="003D20E7" w:rsidRDefault="00FE0A9E"/>
    <w:p w:rsidR="00FE0A9E" w:rsidRPr="003D20E7" w:rsidRDefault="00CA188B">
      <w:pPr>
        <w:pStyle w:val="AmNumberTabs"/>
      </w:pPr>
      <w:r w:rsidRPr="003D20E7">
        <w:t>Pozmeňujúci návrh</w:t>
      </w:r>
      <w:r w:rsidRPr="003D20E7">
        <w:tab/>
      </w:r>
      <w:r w:rsidRPr="003D20E7">
        <w:tab/>
        <w:t>9</w:t>
      </w:r>
    </w:p>
    <w:p w:rsidR="00FE0A9E" w:rsidRPr="003D20E7" w:rsidRDefault="00FE0A9E"/>
    <w:p w:rsidR="00FE0A9E" w:rsidRPr="003D20E7" w:rsidRDefault="00CA188B">
      <w:pPr>
        <w:pStyle w:val="NormalBold"/>
        <w:keepNext/>
      </w:pPr>
      <w:r w:rsidRPr="003D20E7">
        <w:t>Návrh nariadenia</w:t>
      </w:r>
    </w:p>
    <w:p w:rsidR="00FE0A9E" w:rsidRPr="003D20E7" w:rsidRDefault="00CA188B">
      <w:pPr>
        <w:pStyle w:val="NormalBold"/>
      </w:pPr>
      <w:r w:rsidRPr="003D20E7">
        <w:t>Článok 1 – odsek 1 – bod 1 b (nový)</w:t>
      </w:r>
    </w:p>
    <w:p w:rsidR="00FE0A9E" w:rsidRPr="003D20E7" w:rsidRDefault="00CA188B">
      <w:pPr>
        <w:keepNext/>
      </w:pPr>
      <w:r w:rsidRPr="003D20E7">
        <w:t>Nariadenie (EÚ) 2017/852</w:t>
      </w:r>
    </w:p>
    <w:p w:rsidR="00FE0A9E" w:rsidRPr="003D20E7" w:rsidRDefault="00CA188B">
      <w:r w:rsidRPr="003D20E7">
        <w:t>Článok 18 – odsek 3 a 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E0A9E" w:rsidRPr="003D20E7">
        <w:trPr>
          <w:jc w:val="center"/>
        </w:trPr>
        <w:tc>
          <w:tcPr>
            <w:tcW w:w="9752" w:type="dxa"/>
            <w:gridSpan w:val="2"/>
          </w:tcPr>
          <w:p w:rsidR="00FE0A9E" w:rsidRPr="003D20E7" w:rsidRDefault="00FE0A9E">
            <w:pPr>
              <w:keepNext/>
            </w:pP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Text predložený Komisiou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Pozmeňujúci návrh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b/>
                <w:i/>
              </w:rPr>
              <w:t>1b.</w:t>
            </w:r>
            <w:r w:rsidRPr="003D20E7">
              <w:rPr>
                <w:b/>
                <w:i/>
              </w:rPr>
              <w:tab/>
              <w:t>V článku 18 sa dopĺňa tento odsek: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a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a"/>
              <w:rPr>
                <w:szCs w:val="24"/>
              </w:rPr>
            </w:pPr>
            <w:r w:rsidRPr="003D20E7">
              <w:rPr>
                <w:b/>
                <w:i/>
              </w:rPr>
              <w:t>„3a.</w:t>
            </w:r>
            <w:r w:rsidRPr="003D20E7">
              <w:rPr>
                <w:b/>
                <w:i/>
              </w:rPr>
              <w:tab/>
              <w:t xml:space="preserve">Členské štáty do </w:t>
            </w:r>
            <w:r w:rsidR="004A6BAB" w:rsidRPr="003D20E7">
              <w:rPr>
                <w:b/>
                <w:i/>
              </w:rPr>
              <w:t>30</w:t>
            </w:r>
            <w:r w:rsidRPr="003D20E7">
              <w:rPr>
                <w:b/>
                <w:i/>
              </w:rPr>
              <w:t>. júna 2024 a potom každé dva roky informujú Komisiu o plánovaných a vykonaných opatreniach na zníženie emisií ortuti a jej uvoľňovania z krematórií.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b/>
                <w:i/>
              </w:rPr>
              <w:t xml:space="preserve">Komisia zverejní údaje o opatreniach nahlásených členskými štátmi v súlade s prvým </w:t>
            </w:r>
            <w:proofErr w:type="spellStart"/>
            <w:r w:rsidRPr="003D20E7">
              <w:rPr>
                <w:b/>
                <w:i/>
              </w:rPr>
              <w:t>pododsekom</w:t>
            </w:r>
            <w:proofErr w:type="spellEnd"/>
            <w:r w:rsidRPr="003D20E7">
              <w:rPr>
                <w:b/>
                <w:i/>
              </w:rPr>
              <w:t>.“</w:t>
            </w:r>
          </w:p>
        </w:tc>
      </w:tr>
    </w:tbl>
    <w:p w:rsidR="00FE0A9E" w:rsidRPr="003D20E7" w:rsidRDefault="00FE0A9E"/>
    <w:p w:rsidR="00FE0A9E" w:rsidRPr="003D20E7" w:rsidRDefault="00CA188B">
      <w:pPr>
        <w:pStyle w:val="AmNumberTabs"/>
      </w:pPr>
      <w:r w:rsidRPr="003D20E7">
        <w:t>Pozmeňujúci návrh</w:t>
      </w:r>
      <w:r w:rsidRPr="003D20E7">
        <w:tab/>
      </w:r>
      <w:r w:rsidRPr="003D20E7">
        <w:tab/>
        <w:t>10</w:t>
      </w:r>
    </w:p>
    <w:p w:rsidR="00FE0A9E" w:rsidRPr="003D20E7" w:rsidRDefault="00FE0A9E"/>
    <w:p w:rsidR="00FE0A9E" w:rsidRPr="003D20E7" w:rsidRDefault="00CA188B">
      <w:pPr>
        <w:pStyle w:val="NormalBold"/>
        <w:keepNext/>
      </w:pPr>
      <w:r w:rsidRPr="003D20E7">
        <w:t>Návrh nariadenia</w:t>
      </w:r>
    </w:p>
    <w:p w:rsidR="00FE0A9E" w:rsidRPr="003D20E7" w:rsidRDefault="00CA188B">
      <w:pPr>
        <w:pStyle w:val="NormalBold"/>
      </w:pPr>
      <w:r w:rsidRPr="003D20E7">
        <w:t>Článok 1 – odsek 1 – bod 1 c (nový)</w:t>
      </w:r>
    </w:p>
    <w:p w:rsidR="00FE0A9E" w:rsidRPr="003D20E7" w:rsidRDefault="00CA188B">
      <w:pPr>
        <w:keepNext/>
      </w:pPr>
      <w:r w:rsidRPr="003D20E7">
        <w:t>Nariadenie (EÚ) 2017/852</w:t>
      </w:r>
    </w:p>
    <w:p w:rsidR="00FE0A9E" w:rsidRPr="003D20E7" w:rsidRDefault="00CA188B">
      <w:r w:rsidRPr="003D20E7">
        <w:t>Článok 19 – odsek 1 a 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E0A9E" w:rsidRPr="003D20E7">
        <w:trPr>
          <w:jc w:val="center"/>
        </w:trPr>
        <w:tc>
          <w:tcPr>
            <w:tcW w:w="9752" w:type="dxa"/>
            <w:gridSpan w:val="2"/>
          </w:tcPr>
          <w:p w:rsidR="00FE0A9E" w:rsidRPr="003D20E7" w:rsidRDefault="00FE0A9E">
            <w:pPr>
              <w:keepNext/>
            </w:pP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Text predložený Komisiou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Pozmeňujúci návrh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b/>
                <w:i/>
              </w:rPr>
              <w:t>1c.</w:t>
            </w:r>
            <w:r w:rsidRPr="003D20E7">
              <w:rPr>
                <w:b/>
                <w:i/>
              </w:rPr>
              <w:tab/>
              <w:t>V článku 19 sa vkladá tento odsek: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b/>
                <w:i/>
              </w:rPr>
              <w:t xml:space="preserve">„1a. </w:t>
            </w:r>
            <w:r w:rsidRPr="003D20E7">
              <w:rPr>
                <w:b/>
                <w:i/>
              </w:rPr>
              <w:tab/>
              <w:t>Komisia do 31. decembra 2025 informuje Európsky parlament a Radu o znížení emisií ortuti a jej uvoľňovaní z krematórií na základe informácií uvedených v článku 18 ods. 3a a v prípade potreby na základe návrhu usmernení o technológiách na znižovanie emisií ortuti na kontrolu a zníženie emisií ortuti a uvoľňovania z krematórií, pričom zohľadní existujúce usmernenia.“</w:t>
            </w:r>
          </w:p>
        </w:tc>
      </w:tr>
    </w:tbl>
    <w:p w:rsidR="00FE0A9E" w:rsidRPr="003D20E7" w:rsidRDefault="00FE0A9E"/>
    <w:p w:rsidR="00FE0A9E" w:rsidRPr="003D20E7" w:rsidRDefault="00CA188B">
      <w:pPr>
        <w:pStyle w:val="AmNumberTabs"/>
      </w:pPr>
      <w:r w:rsidRPr="003D20E7">
        <w:t>Pozmeňujúci návrh</w:t>
      </w:r>
      <w:r w:rsidRPr="003D20E7">
        <w:tab/>
      </w:r>
      <w:r w:rsidRPr="003D20E7">
        <w:tab/>
        <w:t>11</w:t>
      </w:r>
    </w:p>
    <w:p w:rsidR="00FE0A9E" w:rsidRPr="003D20E7" w:rsidRDefault="00FE0A9E"/>
    <w:p w:rsidR="00FE0A9E" w:rsidRPr="003D20E7" w:rsidRDefault="00CA188B">
      <w:pPr>
        <w:pStyle w:val="NormalBold"/>
        <w:keepNext/>
      </w:pPr>
      <w:r w:rsidRPr="003D20E7">
        <w:t>Návrh nariadenia</w:t>
      </w:r>
    </w:p>
    <w:p w:rsidR="00FE0A9E" w:rsidRPr="003D20E7" w:rsidRDefault="00CA188B">
      <w:pPr>
        <w:pStyle w:val="NormalBold"/>
      </w:pPr>
      <w:r w:rsidRPr="003D20E7">
        <w:t>Článok 1 – odsek 1 – bod 1 d (nový)</w:t>
      </w:r>
    </w:p>
    <w:p w:rsidR="00FE0A9E" w:rsidRPr="003D20E7" w:rsidRDefault="00CA188B">
      <w:pPr>
        <w:keepNext/>
      </w:pPr>
      <w:r w:rsidRPr="003D20E7">
        <w:t>Nariadenie (EÚ) 2017/852</w:t>
      </w:r>
    </w:p>
    <w:p w:rsidR="00FE0A9E" w:rsidRPr="003D20E7" w:rsidRDefault="00CA188B">
      <w:r w:rsidRPr="003D20E7">
        <w:t>Článok 19 – odsek 2 a (nový)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E0A9E" w:rsidRPr="003D20E7">
        <w:trPr>
          <w:jc w:val="center"/>
        </w:trPr>
        <w:tc>
          <w:tcPr>
            <w:tcW w:w="9752" w:type="dxa"/>
            <w:gridSpan w:val="2"/>
          </w:tcPr>
          <w:p w:rsidR="00FE0A9E" w:rsidRPr="003D20E7" w:rsidRDefault="00FE0A9E">
            <w:pPr>
              <w:keepNext/>
            </w:pP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Text predložený Komisiou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Pozmeňujúci návrh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b/>
                <w:i/>
              </w:rPr>
              <w:t>1d.</w:t>
            </w:r>
            <w:r w:rsidRPr="003D20E7">
              <w:rPr>
                <w:b/>
                <w:i/>
              </w:rPr>
              <w:tab/>
              <w:t>V článku 19 sa vkladá tento odsek: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b/>
                <w:i/>
              </w:rPr>
              <w:t>„2a.</w:t>
            </w:r>
            <w:r w:rsidRPr="003D20E7">
              <w:rPr>
                <w:b/>
                <w:i/>
              </w:rPr>
              <w:tab/>
              <w:t>Komisia do 30. júna 2026 predloží Európskemu parlamentu a Rade správu, v ktorej posúdi uskutočniteľnosť zrušenia výnimiek na používanie zubného amalgámu uvedených v článku 10 do roku 2030. V tejto správe sa uvedie aj vplyv na zdravie pacientov vo všeobecnosti a pacientov závislých od amalgámových výplní.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b/>
                <w:i/>
              </w:rPr>
              <w:t xml:space="preserve">Spolu so správou uvedenou v prvom </w:t>
            </w:r>
            <w:proofErr w:type="spellStart"/>
            <w:r w:rsidRPr="003D20E7">
              <w:rPr>
                <w:b/>
                <w:i/>
              </w:rPr>
              <w:t>pododseku</w:t>
            </w:r>
            <w:proofErr w:type="spellEnd"/>
            <w:r w:rsidRPr="003D20E7">
              <w:rPr>
                <w:b/>
                <w:i/>
              </w:rPr>
              <w:t xml:space="preserve"> navrhne Komisia v prípade potreby aj opatrenia.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b/>
                <w:i/>
              </w:rPr>
              <w:t>Najneskôr do 31. decembra 2026 predloží Komisia Európskemu parlamentu a Rade správu o: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b/>
                <w:i/>
              </w:rPr>
              <w:t xml:space="preserve">a) </w:t>
            </w:r>
            <w:r w:rsidRPr="003D20E7">
              <w:rPr>
                <w:b/>
                <w:i/>
              </w:rPr>
              <w:tab/>
              <w:t>vykonávaní a presadzovaní dohovoru, a to aj pokiaľ ide o postupné ukončenie používania ortuti v kozmetických výrobkoch do roku 2025 zmluvnými stranami dohovoru a kontrolu a odstránenie výroby, dovozu a vývozu zlúčenín ortuti na nezákonné postupy v Únii a vo svete;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b/>
                <w:i/>
              </w:rPr>
              <w:t>b)</w:t>
            </w:r>
            <w:r w:rsidRPr="003D20E7">
              <w:rPr>
                <w:b/>
                <w:i/>
              </w:rPr>
              <w:tab/>
              <w:t xml:space="preserve"> potrebe postupného ukončenia zostávajúcich použití ortuti, napríklad v majákoch a v </w:t>
            </w:r>
            <w:proofErr w:type="spellStart"/>
            <w:r w:rsidRPr="003D20E7">
              <w:rPr>
                <w:b/>
                <w:i/>
              </w:rPr>
              <w:t>porozimetrii</w:t>
            </w:r>
            <w:proofErr w:type="spellEnd"/>
            <w:r w:rsidRPr="003D20E7">
              <w:rPr>
                <w:b/>
                <w:i/>
              </w:rPr>
              <w:t>;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b/>
                <w:i/>
              </w:rPr>
              <w:t xml:space="preserve">c) </w:t>
            </w:r>
            <w:r w:rsidRPr="003D20E7">
              <w:rPr>
                <w:b/>
                <w:i/>
              </w:rPr>
              <w:tab/>
              <w:t>potrebe rozšíriť zoznam zdrojov odpadovej ortuti uvedený v článku 11.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b/>
                <w:i/>
                <w:iCs/>
              </w:rPr>
              <w:t xml:space="preserve">Spolu so správou uvedenou v treťom </w:t>
            </w:r>
            <w:proofErr w:type="spellStart"/>
            <w:r w:rsidRPr="003D20E7">
              <w:rPr>
                <w:b/>
                <w:i/>
                <w:iCs/>
              </w:rPr>
              <w:t>pododseku</w:t>
            </w:r>
            <w:proofErr w:type="spellEnd"/>
            <w:r w:rsidRPr="003D20E7">
              <w:rPr>
                <w:b/>
                <w:i/>
                <w:iCs/>
              </w:rPr>
              <w:t xml:space="preserve"> tohto odseku Komisia v prípade potreby navrhne opatrenia, ako napríklad preskúmanie nariadenia Európskeho parlamentu a Rady (EÚ) č. 649/2012</w:t>
            </w:r>
            <w:r w:rsidRPr="003D20E7">
              <w:rPr>
                <w:b/>
                <w:i/>
                <w:iCs/>
                <w:vertAlign w:val="superscript"/>
              </w:rPr>
              <w:t>1a</w:t>
            </w:r>
            <w:r w:rsidRPr="003D20E7">
              <w:rPr>
                <w:b/>
                <w:i/>
                <w:iCs/>
              </w:rPr>
              <w:t xml:space="preserve"> a obmedzenia vývozu </w:t>
            </w:r>
            <w:proofErr w:type="spellStart"/>
            <w:r w:rsidRPr="003D20E7">
              <w:rPr>
                <w:b/>
                <w:i/>
                <w:iCs/>
              </w:rPr>
              <w:t>amidochloridu</w:t>
            </w:r>
            <w:proofErr w:type="spellEnd"/>
            <w:r w:rsidRPr="003D20E7">
              <w:rPr>
                <w:b/>
                <w:i/>
                <w:iCs/>
              </w:rPr>
              <w:t xml:space="preserve"> ortutnatého (</w:t>
            </w:r>
            <w:r w:rsidRPr="003D20E7">
              <w:rPr>
                <w:b/>
                <w:i/>
                <w:iCs/>
                <w:sz w:val="21"/>
                <w:shd w:val="clear" w:color="auto" w:fill="FFFFFF"/>
              </w:rPr>
              <w:t>HgNH</w:t>
            </w:r>
            <w:r w:rsidRPr="003D20E7">
              <w:rPr>
                <w:b/>
                <w:i/>
                <w:iCs/>
                <w:sz w:val="21"/>
                <w:shd w:val="clear" w:color="auto" w:fill="FFFFFF"/>
                <w:vertAlign w:val="subscript"/>
              </w:rPr>
              <w:t>2</w:t>
            </w:r>
            <w:r w:rsidRPr="003D20E7">
              <w:rPr>
                <w:rStyle w:val="Emphasis"/>
                <w:b/>
                <w:sz w:val="21"/>
                <w:shd w:val="clear" w:color="auto" w:fill="FFFFFF"/>
              </w:rPr>
              <w:t>Cl)</w:t>
            </w:r>
            <w:r w:rsidRPr="003D20E7">
              <w:rPr>
                <w:b/>
                <w:i/>
                <w:iCs/>
              </w:rPr>
              <w:t>.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b/>
                <w:i/>
              </w:rPr>
            </w:pPr>
            <w:r w:rsidRPr="003D20E7">
              <w:rPr>
                <w:b/>
                <w:i/>
              </w:rPr>
              <w:t>__________________________________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b/>
                <w:i/>
              </w:rPr>
            </w:pPr>
            <w:r w:rsidRPr="003D20E7">
              <w:rPr>
                <w:b/>
                <w:i/>
                <w:vertAlign w:val="superscript"/>
              </w:rPr>
              <w:t>1a</w:t>
            </w:r>
            <w:r w:rsidRPr="003D20E7">
              <w:rPr>
                <w:b/>
                <w:i/>
              </w:rPr>
              <w:t xml:space="preserve"> Nariadenie Európskeho parlamentu a Rady (EÚ) č. 649/2012 zo 4. júla 2012 o vývoze a dovoze nebezpečných chemikálií (Ú. v. EÚ L 201, 27.7.2012, s. 60).“</w:t>
            </w:r>
          </w:p>
        </w:tc>
      </w:tr>
    </w:tbl>
    <w:p w:rsidR="00FE0A9E" w:rsidRPr="003D20E7" w:rsidRDefault="00FE0A9E"/>
    <w:p w:rsidR="00FE0A9E" w:rsidRPr="003D20E7" w:rsidRDefault="00CA188B">
      <w:pPr>
        <w:pStyle w:val="AmNumberTabs"/>
      </w:pPr>
      <w:r w:rsidRPr="003D20E7">
        <w:t>Pozmeňujúci návrh</w:t>
      </w:r>
      <w:r w:rsidRPr="003D20E7">
        <w:tab/>
      </w:r>
      <w:r w:rsidRPr="003D20E7">
        <w:tab/>
        <w:t>12</w:t>
      </w:r>
    </w:p>
    <w:p w:rsidR="00FE0A9E" w:rsidRPr="003D20E7" w:rsidRDefault="00FE0A9E"/>
    <w:p w:rsidR="00FE0A9E" w:rsidRPr="003D20E7" w:rsidRDefault="00CA188B">
      <w:pPr>
        <w:pStyle w:val="NormalBold"/>
        <w:keepNext/>
      </w:pPr>
      <w:r w:rsidRPr="003D20E7">
        <w:t>Návrh nariadenia</w:t>
      </w:r>
    </w:p>
    <w:p w:rsidR="00FE0A9E" w:rsidRPr="003D20E7" w:rsidRDefault="00CA188B">
      <w:pPr>
        <w:pStyle w:val="NormalBold"/>
      </w:pPr>
      <w:r w:rsidRPr="003D20E7">
        <w:t>Článok 1 – odsek 1 – bod 1 e (nový)</w:t>
      </w:r>
    </w:p>
    <w:p w:rsidR="00FE0A9E" w:rsidRPr="003D20E7" w:rsidRDefault="00CA188B">
      <w:pPr>
        <w:keepNext/>
      </w:pPr>
      <w:r w:rsidRPr="003D20E7">
        <w:t>Nariadenie (EÚ) 2017/852</w:t>
      </w:r>
    </w:p>
    <w:p w:rsidR="00FE0A9E" w:rsidRPr="003D20E7" w:rsidRDefault="00CA188B">
      <w:r w:rsidRPr="003D20E7">
        <w:t>Článok 19 – odsek 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E0A9E" w:rsidRPr="003D20E7">
        <w:trPr>
          <w:jc w:val="center"/>
        </w:trPr>
        <w:tc>
          <w:tcPr>
            <w:tcW w:w="9752" w:type="dxa"/>
            <w:gridSpan w:val="2"/>
          </w:tcPr>
          <w:p w:rsidR="00FE0A9E" w:rsidRPr="003D20E7" w:rsidRDefault="00FE0A9E">
            <w:pPr>
              <w:keepNext/>
            </w:pP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Platný text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Pozmeňujúci návrh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FE0A9E">
            <w:pPr>
              <w:pStyle w:val="Normal6"/>
            </w:pP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rPr>
                <w:b/>
                <w:i/>
              </w:rPr>
              <w:t>1e.</w:t>
            </w:r>
            <w:r w:rsidRPr="003D20E7">
              <w:rPr>
                <w:b/>
                <w:i/>
              </w:rPr>
              <w:tab/>
              <w:t>V článku 19 sa odsek 3 nahrádza takto: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Normal6"/>
            </w:pPr>
            <w:r w:rsidRPr="003D20E7">
              <w:t xml:space="preserve">3. </w:t>
            </w:r>
            <w:r w:rsidRPr="003D20E7">
              <w:rPr>
                <w:b/>
                <w:i/>
              </w:rPr>
              <w:tab/>
            </w:r>
            <w:r w:rsidRPr="003D20E7">
              <w:t xml:space="preserve">Komisia prípadne predloží legislatívny návrh spolu so svojimi správami uvedenými v </w:t>
            </w:r>
            <w:r w:rsidRPr="003D20E7">
              <w:rPr>
                <w:b/>
                <w:bCs/>
                <w:i/>
                <w:iCs/>
              </w:rPr>
              <w:t>odsekoch 1 a 2</w:t>
            </w:r>
            <w:r w:rsidRPr="003D20E7">
              <w:t>.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Normal6"/>
              <w:rPr>
                <w:szCs w:val="24"/>
              </w:rPr>
            </w:pPr>
            <w:r w:rsidRPr="003D20E7">
              <w:t xml:space="preserve">„3. </w:t>
            </w:r>
            <w:r w:rsidRPr="003D20E7">
              <w:rPr>
                <w:b/>
                <w:i/>
              </w:rPr>
              <w:tab/>
            </w:r>
            <w:r w:rsidRPr="003D20E7">
              <w:t xml:space="preserve">Komisia prípadne predloží legislatívny návrh spolu so svojimi správami uvedenými v </w:t>
            </w:r>
            <w:r w:rsidRPr="003D20E7">
              <w:rPr>
                <w:b/>
                <w:bCs/>
                <w:i/>
                <w:iCs/>
              </w:rPr>
              <w:t>tomto článku.“</w:t>
            </w:r>
          </w:p>
        </w:tc>
      </w:tr>
    </w:tbl>
    <w:p w:rsidR="00FE0A9E" w:rsidRPr="003D20E7" w:rsidRDefault="00FE0A9E"/>
    <w:p w:rsidR="00FE0A9E" w:rsidRPr="003D20E7" w:rsidRDefault="00CA188B">
      <w:pPr>
        <w:pStyle w:val="AmNumberTabs"/>
      </w:pPr>
      <w:r w:rsidRPr="003D20E7">
        <w:t>Pozmeňujúci návrh</w:t>
      </w:r>
      <w:r w:rsidRPr="003D20E7">
        <w:tab/>
      </w:r>
      <w:r w:rsidRPr="003D20E7">
        <w:tab/>
        <w:t>13</w:t>
      </w:r>
    </w:p>
    <w:p w:rsidR="00FE0A9E" w:rsidRPr="003D20E7" w:rsidRDefault="00FE0A9E"/>
    <w:p w:rsidR="00FE0A9E" w:rsidRPr="003D20E7" w:rsidRDefault="00CA188B">
      <w:pPr>
        <w:pStyle w:val="NormalBold"/>
        <w:keepNext/>
      </w:pPr>
      <w:r w:rsidRPr="003D20E7">
        <w:t>Návrh nariadenia</w:t>
      </w:r>
    </w:p>
    <w:p w:rsidR="00FE0A9E" w:rsidRPr="003D20E7" w:rsidRDefault="00CA188B">
      <w:pPr>
        <w:pStyle w:val="NormalBold"/>
      </w:pPr>
      <w:r w:rsidRPr="003D20E7">
        <w:t>Príloha – odsek 1 – bod 2</w:t>
      </w:r>
    </w:p>
    <w:p w:rsidR="00FE0A9E" w:rsidRPr="003D20E7" w:rsidRDefault="00CA188B">
      <w:pPr>
        <w:keepNext/>
      </w:pPr>
      <w:r w:rsidRPr="003D20E7">
        <w:t>Nariadenie (EÚ) 2017/852</w:t>
      </w:r>
    </w:p>
    <w:p w:rsidR="00FE0A9E" w:rsidRPr="003D20E7" w:rsidRDefault="00CA188B">
      <w:r w:rsidRPr="003D20E7">
        <w:t>Príloha II – časť A – položka 4a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E0A9E" w:rsidRPr="003D20E7">
        <w:trPr>
          <w:jc w:val="center"/>
        </w:trPr>
        <w:tc>
          <w:tcPr>
            <w:tcW w:w="9752" w:type="dxa"/>
            <w:gridSpan w:val="2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Text predložený Komisiou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Normal6a"/>
              <w:rPr>
                <w:noProof/>
              </w:rPr>
            </w:pPr>
            <w:r w:rsidRPr="003D20E7">
              <w:t xml:space="preserve">„4a. </w:t>
            </w:r>
            <w:proofErr w:type="spellStart"/>
            <w:r w:rsidRPr="003D20E7">
              <w:t>Trifosforové</w:t>
            </w:r>
            <w:proofErr w:type="spellEnd"/>
            <w:r w:rsidRPr="003D20E7">
              <w:t xml:space="preserve"> žiarivky na všeobecné osvetľovacie účely, na ktoré sa ešte nevzťahuje záznam 4 písm. a).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Normal6a"/>
              <w:jc w:val="center"/>
              <w:rPr>
                <w:noProof/>
                <w:szCs w:val="24"/>
              </w:rPr>
            </w:pPr>
            <w:r w:rsidRPr="003D20E7">
              <w:rPr>
                <w:b/>
                <w:i/>
                <w:szCs w:val="24"/>
              </w:rPr>
              <w:t>31.12.2027</w:t>
            </w:r>
          </w:p>
        </w:tc>
      </w:tr>
      <w:tr w:rsidR="00FE0A9E" w:rsidRPr="003D20E7">
        <w:trPr>
          <w:jc w:val="center"/>
        </w:trPr>
        <w:tc>
          <w:tcPr>
            <w:tcW w:w="9752" w:type="dxa"/>
            <w:gridSpan w:val="2"/>
          </w:tcPr>
          <w:p w:rsidR="00FE0A9E" w:rsidRPr="003D20E7" w:rsidRDefault="00CA188B">
            <w:pPr>
              <w:pStyle w:val="ColumnHeading"/>
              <w:keepNext/>
              <w:rPr>
                <w:szCs w:val="24"/>
              </w:rPr>
            </w:pPr>
            <w:r w:rsidRPr="003D20E7">
              <w:t>Pozmeňujúci návrh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Normal6a"/>
              <w:rPr>
                <w:noProof/>
              </w:rPr>
            </w:pPr>
            <w:r w:rsidRPr="003D20E7">
              <w:t xml:space="preserve">„4a. </w:t>
            </w:r>
            <w:proofErr w:type="spellStart"/>
            <w:r w:rsidRPr="003D20E7">
              <w:t>Trifosforové</w:t>
            </w:r>
            <w:proofErr w:type="spellEnd"/>
            <w:r w:rsidRPr="003D20E7">
              <w:t xml:space="preserve"> žiarivky na všeobecné osvetľovacie účely, na ktoré sa ešte nevzťahuje záznam 4 písm. a).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Normal6a"/>
              <w:jc w:val="center"/>
              <w:rPr>
                <w:noProof/>
                <w:szCs w:val="24"/>
              </w:rPr>
            </w:pPr>
            <w:r w:rsidRPr="003D20E7">
              <w:rPr>
                <w:b/>
                <w:i/>
                <w:szCs w:val="24"/>
              </w:rPr>
              <w:t>31.12.2025</w:t>
            </w:r>
          </w:p>
        </w:tc>
      </w:tr>
    </w:tbl>
    <w:p w:rsidR="00FE0A9E" w:rsidRPr="003D20E7" w:rsidRDefault="00FE0A9E"/>
    <w:p w:rsidR="00FE0A9E" w:rsidRPr="003D20E7" w:rsidRDefault="00CA188B">
      <w:pPr>
        <w:pStyle w:val="AmNumberTabs"/>
      </w:pPr>
      <w:r w:rsidRPr="003D20E7">
        <w:t>Pozmeňujúci návrh</w:t>
      </w:r>
      <w:r w:rsidRPr="003D20E7">
        <w:tab/>
      </w:r>
      <w:r w:rsidRPr="003D20E7">
        <w:tab/>
        <w:t>14</w:t>
      </w:r>
    </w:p>
    <w:p w:rsidR="00FE0A9E" w:rsidRPr="003D20E7" w:rsidRDefault="00FE0A9E"/>
    <w:p w:rsidR="00FE0A9E" w:rsidRPr="003D20E7" w:rsidRDefault="00CA188B">
      <w:pPr>
        <w:pStyle w:val="NormalBold"/>
        <w:keepNext/>
      </w:pPr>
      <w:r w:rsidRPr="003D20E7">
        <w:t>Návrh nariadenia</w:t>
      </w:r>
    </w:p>
    <w:p w:rsidR="00FE0A9E" w:rsidRPr="003D20E7" w:rsidRDefault="00CA188B">
      <w:pPr>
        <w:pStyle w:val="NormalBold"/>
      </w:pPr>
      <w:r w:rsidRPr="003D20E7">
        <w:t>Príloha – odsek 1 – bod 2</w:t>
      </w:r>
    </w:p>
    <w:p w:rsidR="00FE0A9E" w:rsidRPr="003D20E7" w:rsidRDefault="00CA188B">
      <w:pPr>
        <w:keepNext/>
      </w:pPr>
      <w:r w:rsidRPr="003D20E7">
        <w:t>Nariadenie (EÚ) 2017/852</w:t>
      </w:r>
    </w:p>
    <w:p w:rsidR="00FE0A9E" w:rsidRPr="003D20E7" w:rsidRDefault="00CA188B">
      <w:r w:rsidRPr="003D20E7">
        <w:t>Príloha II – časť A – položka 4c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E0A9E" w:rsidRPr="003D20E7">
        <w:trPr>
          <w:jc w:val="center"/>
        </w:trPr>
        <w:tc>
          <w:tcPr>
            <w:tcW w:w="9752" w:type="dxa"/>
            <w:gridSpan w:val="2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Text predložený Komisiou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Normal6a"/>
              <w:rPr>
                <w:noProof/>
              </w:rPr>
            </w:pPr>
            <w:r w:rsidRPr="003D20E7">
              <w:t xml:space="preserve">4c. Nelineárne </w:t>
            </w:r>
            <w:proofErr w:type="spellStart"/>
            <w:r w:rsidRPr="003D20E7">
              <w:t>trifosforové</w:t>
            </w:r>
            <w:proofErr w:type="spellEnd"/>
            <w:r w:rsidRPr="003D20E7">
              <w:t xml:space="preserve"> žiarivky.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Normal6a"/>
              <w:jc w:val="center"/>
              <w:rPr>
                <w:noProof/>
                <w:szCs w:val="24"/>
              </w:rPr>
            </w:pPr>
            <w:r w:rsidRPr="003D20E7">
              <w:rPr>
                <w:b/>
                <w:i/>
                <w:szCs w:val="24"/>
              </w:rPr>
              <w:t>31.12.2027</w:t>
            </w:r>
          </w:p>
        </w:tc>
      </w:tr>
      <w:tr w:rsidR="00FE0A9E" w:rsidRPr="003D20E7">
        <w:trPr>
          <w:jc w:val="center"/>
        </w:trPr>
        <w:tc>
          <w:tcPr>
            <w:tcW w:w="9752" w:type="dxa"/>
            <w:gridSpan w:val="2"/>
          </w:tcPr>
          <w:p w:rsidR="00FE0A9E" w:rsidRPr="003D20E7" w:rsidRDefault="00CA188B">
            <w:pPr>
              <w:pStyle w:val="ColumnHeading"/>
              <w:keepNext/>
              <w:rPr>
                <w:szCs w:val="24"/>
              </w:rPr>
            </w:pPr>
            <w:r w:rsidRPr="003D20E7">
              <w:t>Pozmeňujúci návrh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Normal6a"/>
            </w:pPr>
            <w:r w:rsidRPr="003D20E7">
              <w:t xml:space="preserve">4c. Nelineárne </w:t>
            </w:r>
            <w:proofErr w:type="spellStart"/>
            <w:r w:rsidRPr="003D20E7">
              <w:t>trifosforové</w:t>
            </w:r>
            <w:proofErr w:type="spellEnd"/>
            <w:r w:rsidRPr="003D20E7">
              <w:t xml:space="preserve"> žiarivky.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Normal6a"/>
              <w:jc w:val="center"/>
              <w:rPr>
                <w:szCs w:val="24"/>
              </w:rPr>
            </w:pPr>
            <w:r w:rsidRPr="003D20E7">
              <w:rPr>
                <w:b/>
                <w:i/>
                <w:szCs w:val="24"/>
              </w:rPr>
              <w:t>31.12.2025</w:t>
            </w:r>
          </w:p>
        </w:tc>
      </w:tr>
    </w:tbl>
    <w:p w:rsidR="00FE0A9E" w:rsidRPr="003D20E7" w:rsidRDefault="00FE0A9E"/>
    <w:p w:rsidR="00FE0A9E" w:rsidRPr="003D20E7" w:rsidRDefault="00CA188B">
      <w:pPr>
        <w:pStyle w:val="AmNumberTabs"/>
      </w:pPr>
      <w:r w:rsidRPr="003D20E7">
        <w:t>Pozmeňujúci návrh</w:t>
      </w:r>
      <w:r w:rsidRPr="003D20E7">
        <w:tab/>
      </w:r>
      <w:r w:rsidRPr="003D20E7">
        <w:tab/>
        <w:t>15</w:t>
      </w:r>
    </w:p>
    <w:p w:rsidR="00FE0A9E" w:rsidRPr="003D20E7" w:rsidRDefault="00FE0A9E"/>
    <w:p w:rsidR="00FE0A9E" w:rsidRPr="003D20E7" w:rsidRDefault="00CA188B">
      <w:pPr>
        <w:pStyle w:val="NormalBold"/>
        <w:keepNext/>
      </w:pPr>
      <w:r w:rsidRPr="003D20E7">
        <w:t>Návrh nariadenia</w:t>
      </w:r>
    </w:p>
    <w:p w:rsidR="00FE0A9E" w:rsidRPr="003D20E7" w:rsidRDefault="00CA188B">
      <w:pPr>
        <w:pStyle w:val="NormalBold"/>
      </w:pPr>
      <w:r w:rsidRPr="003D20E7">
        <w:t>Príloha – odsek 1 – bod 3</w:t>
      </w:r>
    </w:p>
    <w:p w:rsidR="00FE0A9E" w:rsidRPr="003D20E7" w:rsidRDefault="00CA188B">
      <w:pPr>
        <w:keepNext/>
      </w:pPr>
      <w:r w:rsidRPr="003D20E7">
        <w:t>Nariadenie (EÚ) 2017/852</w:t>
      </w:r>
    </w:p>
    <w:p w:rsidR="00FE0A9E" w:rsidRPr="003D20E7" w:rsidRDefault="00CA188B">
      <w:r w:rsidRPr="003D20E7">
        <w:t>Príloha II – časť A – položka 5a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E0A9E" w:rsidRPr="003D20E7">
        <w:trPr>
          <w:jc w:val="center"/>
        </w:trPr>
        <w:tc>
          <w:tcPr>
            <w:tcW w:w="9752" w:type="dxa"/>
            <w:gridSpan w:val="2"/>
          </w:tcPr>
          <w:p w:rsidR="00FE0A9E" w:rsidRPr="003D20E7" w:rsidRDefault="00CA188B">
            <w:pPr>
              <w:pStyle w:val="ColumnHeading"/>
              <w:keepNext/>
            </w:pPr>
            <w:r w:rsidRPr="003D20E7">
              <w:t>Text predložený Komisiou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pStyle w:val="Normal6a"/>
              <w:jc w:val="center"/>
              <w:rPr>
                <w:noProof/>
              </w:rPr>
            </w:pPr>
            <w:r w:rsidRPr="003D20E7">
              <w:t>5a. Vysokotlakové sodíkové výbojky (HPS) s ortuťou na všeobecné osvetľovacie účely.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Normal6a"/>
              <w:jc w:val="center"/>
              <w:rPr>
                <w:noProof/>
              </w:rPr>
            </w:pPr>
            <w:r w:rsidRPr="003D20E7">
              <w:t>31.12.2025</w:t>
            </w:r>
          </w:p>
        </w:tc>
      </w:tr>
      <w:tr w:rsidR="00FE0A9E" w:rsidRPr="003D20E7">
        <w:trPr>
          <w:jc w:val="center"/>
        </w:trPr>
        <w:tc>
          <w:tcPr>
            <w:tcW w:w="9752" w:type="dxa"/>
            <w:gridSpan w:val="2"/>
          </w:tcPr>
          <w:p w:rsidR="00FE0A9E" w:rsidRPr="003D20E7" w:rsidRDefault="00CA188B">
            <w:pPr>
              <w:pStyle w:val="ColumnHeading"/>
              <w:keepNext/>
              <w:rPr>
                <w:szCs w:val="24"/>
              </w:rPr>
            </w:pPr>
            <w:r w:rsidRPr="003D20E7">
              <w:t>Pozmeňujúci návrh</w:t>
            </w:r>
          </w:p>
        </w:tc>
      </w:tr>
      <w:tr w:rsidR="00FE0A9E" w:rsidRPr="003D20E7">
        <w:trPr>
          <w:jc w:val="center"/>
        </w:trPr>
        <w:tc>
          <w:tcPr>
            <w:tcW w:w="4876" w:type="dxa"/>
          </w:tcPr>
          <w:p w:rsidR="00FE0A9E" w:rsidRPr="003D20E7" w:rsidRDefault="00CA188B">
            <w:pPr>
              <w:jc w:val="center"/>
              <w:rPr>
                <w:rFonts w:eastAsia="Arial"/>
                <w:b/>
                <w:i/>
              </w:rPr>
            </w:pPr>
            <w:r w:rsidRPr="003D20E7">
              <w:t>5a. Vysokotlakové sodíkové výbojky (HPS) s ortuťou na všeobecné osvetľovacie účely</w:t>
            </w:r>
            <w:r w:rsidRPr="003D20E7">
              <w:rPr>
                <w:b/>
                <w:i/>
              </w:rPr>
              <w:t>, ktoré obsahujú:</w:t>
            </w:r>
          </w:p>
          <w:p w:rsidR="00FE0A9E" w:rsidRPr="003D20E7" w:rsidRDefault="00FE0A9E">
            <w:pPr>
              <w:jc w:val="center"/>
              <w:rPr>
                <w:rFonts w:eastAsia="Arial"/>
                <w:b/>
                <w:i/>
              </w:rPr>
            </w:pPr>
          </w:p>
          <w:p w:rsidR="00FE0A9E" w:rsidRPr="003D20E7" w:rsidRDefault="00CA188B">
            <w:pPr>
              <w:widowControl/>
              <w:spacing w:after="120"/>
              <w:ind w:left="714" w:hanging="357"/>
              <w:jc w:val="center"/>
              <w:rPr>
                <w:rFonts w:eastAsia="Arial"/>
                <w:b/>
                <w:i/>
                <w:color w:val="000000"/>
              </w:rPr>
            </w:pPr>
            <w:r w:rsidRPr="003D20E7">
              <w:rPr>
                <w:b/>
                <w:i/>
                <w:color w:val="000000"/>
              </w:rPr>
              <w:t>a)</w:t>
            </w:r>
            <w:r w:rsidRPr="003D20E7">
              <w:rPr>
                <w:b/>
                <w:i/>
                <w:color w:val="000000"/>
              </w:rPr>
              <w:tab/>
              <w:t>viac ako 16 mg Hg, ak P ≤ 105 W;</w:t>
            </w:r>
          </w:p>
          <w:p w:rsidR="00FE0A9E" w:rsidRPr="003D20E7" w:rsidRDefault="00CA188B">
            <w:pPr>
              <w:widowControl/>
              <w:spacing w:after="120"/>
              <w:ind w:left="714" w:hanging="357"/>
              <w:jc w:val="center"/>
              <w:rPr>
                <w:rFonts w:eastAsia="Arial"/>
                <w:b/>
                <w:i/>
                <w:color w:val="000000"/>
              </w:rPr>
            </w:pPr>
            <w:r w:rsidRPr="003D20E7">
              <w:rPr>
                <w:b/>
                <w:i/>
                <w:color w:val="000000"/>
              </w:rPr>
              <w:t>b)</w:t>
            </w:r>
            <w:r w:rsidRPr="003D20E7">
              <w:rPr>
                <w:b/>
                <w:i/>
                <w:color w:val="000000"/>
              </w:rPr>
              <w:tab/>
              <w:t>viac ako 20 mg Hg, ak 105 W &lt; P ≤ 155 W;</w:t>
            </w:r>
          </w:p>
          <w:p w:rsidR="00FE0A9E" w:rsidRPr="003D20E7" w:rsidRDefault="00CA188B">
            <w:pPr>
              <w:widowControl/>
              <w:spacing w:after="120"/>
              <w:ind w:left="714" w:hanging="357"/>
              <w:jc w:val="center"/>
              <w:rPr>
                <w:rFonts w:eastAsia="Arial"/>
                <w:b/>
                <w:i/>
                <w:color w:val="000000"/>
              </w:rPr>
            </w:pPr>
            <w:r w:rsidRPr="003D20E7">
              <w:rPr>
                <w:b/>
                <w:i/>
                <w:color w:val="000000"/>
              </w:rPr>
              <w:t>c)</w:t>
            </w:r>
            <w:r w:rsidRPr="003D20E7">
              <w:rPr>
                <w:b/>
                <w:i/>
                <w:color w:val="000000"/>
              </w:rPr>
              <w:tab/>
              <w:t>viac ako 25 mg Hg, ak P &gt; 155 W.</w:t>
            </w:r>
          </w:p>
        </w:tc>
        <w:tc>
          <w:tcPr>
            <w:tcW w:w="4876" w:type="dxa"/>
          </w:tcPr>
          <w:p w:rsidR="00FE0A9E" w:rsidRPr="003D20E7" w:rsidRDefault="00CA188B">
            <w:pPr>
              <w:pStyle w:val="Normal6a"/>
              <w:jc w:val="center"/>
              <w:rPr>
                <w:noProof/>
              </w:rPr>
            </w:pPr>
            <w:r w:rsidRPr="003D20E7">
              <w:t>31.12.2025</w:t>
            </w:r>
          </w:p>
        </w:tc>
      </w:tr>
    </w:tbl>
    <w:p w:rsidR="00FE0A9E" w:rsidRPr="003D20E7" w:rsidRDefault="00FE0A9E"/>
    <w:p w:rsidR="00FE0A9E" w:rsidRPr="003D20E7" w:rsidRDefault="00FE0A9E">
      <w:pPr>
        <w:rPr>
          <w:szCs w:val="24"/>
        </w:rPr>
      </w:pPr>
    </w:p>
    <w:p w:rsidR="00FE0A9E" w:rsidRPr="003D20E7" w:rsidRDefault="00FE0A9E"/>
    <w:p w:rsidR="00FE0A9E" w:rsidRPr="003D20E7" w:rsidRDefault="00FE0A9E">
      <w:bookmarkStart w:id="9" w:name="TextBodyEnd"/>
      <w:bookmarkEnd w:id="9"/>
    </w:p>
    <w:sectPr w:rsidR="00FE0A9E" w:rsidRPr="003D20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A9E" w:rsidRDefault="00CA188B">
      <w:r>
        <w:separator/>
      </w:r>
    </w:p>
  </w:endnote>
  <w:endnote w:type="continuationSeparator" w:id="0">
    <w:p w:rsidR="00FE0A9E" w:rsidRDefault="00CA1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A9E" w:rsidRDefault="00FE0A9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A9E" w:rsidRDefault="00FE0A9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A9E" w:rsidRDefault="00FE0A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A9E" w:rsidRDefault="00CA188B">
      <w:r>
        <w:separator/>
      </w:r>
    </w:p>
  </w:footnote>
  <w:footnote w:type="continuationSeparator" w:id="0">
    <w:p w:rsidR="00FE0A9E" w:rsidRDefault="00CA188B">
      <w:r>
        <w:continuationSeparator/>
      </w:r>
    </w:p>
  </w:footnote>
  <w:footnote w:id="1">
    <w:p w:rsidR="00FE0A9E" w:rsidRPr="009A15E1" w:rsidRDefault="00CA188B" w:rsidP="009A15E1">
      <w:pPr>
        <w:pStyle w:val="FootnoteText"/>
        <w:ind w:left="567" w:hanging="567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ab/>
      </w:r>
      <w:r>
        <w:rPr>
          <w:sz w:val="24"/>
          <w:szCs w:val="24"/>
          <w:lang w:val="sk-SK"/>
        </w:rPr>
        <w:t xml:space="preserve">Vec bola vrátená gestorskému výboru na </w:t>
      </w:r>
      <w:proofErr w:type="spellStart"/>
      <w:r>
        <w:rPr>
          <w:sz w:val="24"/>
          <w:szCs w:val="24"/>
          <w:lang w:val="sk-SK"/>
        </w:rPr>
        <w:t>medziinštitucionálne</w:t>
      </w:r>
      <w:proofErr w:type="spellEnd"/>
      <w:r>
        <w:rPr>
          <w:sz w:val="24"/>
          <w:szCs w:val="24"/>
          <w:lang w:val="sk-SK"/>
        </w:rPr>
        <w:t xml:space="preserve"> rokovania podľa článku 59 ods. 4 štvrtého </w:t>
      </w:r>
      <w:proofErr w:type="spellStart"/>
      <w:r>
        <w:rPr>
          <w:sz w:val="24"/>
          <w:szCs w:val="24"/>
          <w:lang w:val="sk-SK"/>
        </w:rPr>
        <w:t>pododseku</w:t>
      </w:r>
      <w:proofErr w:type="spellEnd"/>
      <w:r>
        <w:rPr>
          <w:sz w:val="24"/>
          <w:szCs w:val="24"/>
          <w:lang w:val="sk-SK"/>
        </w:rPr>
        <w:t xml:space="preserve"> (A9-0002/2024).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A9E" w:rsidRDefault="00FE0A9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A9E" w:rsidRDefault="00FE0A9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0A9E" w:rsidRDefault="00FE0A9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SK"/>
    <w:docVar w:name="dvnumam" w:val="15"/>
    <w:docVar w:name="dvpe" w:val="753.554"/>
    <w:docVar w:name="dvrapporteur" w:val="Spravodajkyňa: "/>
    <w:docVar w:name="dvstar" w:val="***I"/>
    <w:docVar w:name="dvtitre" w:val="Legislatívne uznesenie Európskeho parlamentu z xx. januára 2024 o návrhu nariadenia Európskeho parlamentu a Rady, ktorým sa mení nariadenie Európskeho parlamentu a Rady (EÚ) 2017/852 zo 17. mája 2017 o ortuti, pokiaľ ide o zubný amalgám a iné výrobky s prídavkom ortuti, na ktoré sa vzťahujú obmedzenia výroby, dovozu a vývozu(COM(2023)0395 – C9-0309/2023 – 2023/0272(COD))"/>
  </w:docVars>
  <w:rsids>
    <w:rsidRoot w:val="00FE0A9E"/>
    <w:rsid w:val="001D7666"/>
    <w:rsid w:val="003D20E7"/>
    <w:rsid w:val="004A6BAB"/>
    <w:rsid w:val="00663C21"/>
    <w:rsid w:val="008A07B8"/>
    <w:rsid w:val="009A15E1"/>
    <w:rsid w:val="00C322B4"/>
    <w:rsid w:val="00C95749"/>
    <w:rsid w:val="00CA188B"/>
    <w:rsid w:val="00FE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6C472F"/>
  <w15:chartTrackingRefBased/>
  <w15:docId w15:val="{843897E9-0D7A-4771-9A91-A7C182E87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pPr>
      <w:spacing w:before="240"/>
    </w:pPr>
    <w:rPr>
      <w:b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Pr>
      <w:b/>
      <w:sz w:val="24"/>
      <w:lang w:val="sk-SK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</w:rPr>
  </w:style>
  <w:style w:type="character" w:customStyle="1" w:styleId="CommentTextChar">
    <w:name w:val="Comment Text Char"/>
    <w:basedOn w:val="DefaultParagraphFont"/>
    <w:link w:val="CommentText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b/>
      <w:bCs/>
      <w:lang w:val="sk-SK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paragraph" w:customStyle="1" w:styleId="AmDocTypeTab">
    <w:name w:val="AmDocTypeTab"/>
    <w:basedOn w:val="Normal"/>
    <w:rsid w:val="00C95749"/>
    <w:pPr>
      <w:tabs>
        <w:tab w:val="right" w:pos="9070"/>
      </w:tabs>
    </w:pPr>
    <w:rPr>
      <w:b/>
      <w:szCs w:val="24"/>
      <w:lang w:eastAsia="en-US"/>
    </w:rPr>
  </w:style>
  <w:style w:type="paragraph" w:customStyle="1" w:styleId="Normal12a">
    <w:name w:val="Normal12a"/>
    <w:basedOn w:val="Normal"/>
    <w:rsid w:val="00C95749"/>
    <w:pPr>
      <w:spacing w:after="240"/>
    </w:pPr>
    <w:rPr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F55B-3B26-4679-B28D-CFE891B11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2266</Words>
  <Characters>13398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2024-05-21T13:06:00Z</dcterms:created>
  <dcterms:modified xsi:type="dcterms:W3CDTF">2024-05-21T13:06:00Z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P9_TA(2024)0019_</vt:lpwstr>
  </property>
  <property fmtid="{D5CDD505-2E9C-101B-9397-08002B2CF9AE}" pid="4" name="&lt;Type&gt;">
    <vt:lpwstr>RR</vt:lpwstr>
  </property>
</Properties>
</file>