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2C2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B2C20" w:rsidRDefault="002F0664" w:rsidP="0010095E">
            <w:pPr>
              <w:pStyle w:val="EPName"/>
            </w:pPr>
            <w:r w:rsidRPr="002B2C20">
              <w:t>Европейски</w:t>
            </w:r>
            <w:r w:rsidR="00B7537A" w:rsidRPr="002B2C20">
              <w:t xml:space="preserve"> парламент</w:t>
            </w:r>
          </w:p>
          <w:p w:rsidR="00751A4A" w:rsidRPr="002B2C2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2C20">
              <w:t>2019</w:t>
            </w:r>
            <w:r w:rsidR="002F0664">
              <w:t> – </w:t>
            </w:r>
            <w:r w:rsidRPr="002B2C2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B2C20" w:rsidRDefault="00187494" w:rsidP="0010095E">
            <w:pPr>
              <w:pStyle w:val="EPLogo"/>
            </w:pPr>
            <w:r w:rsidRPr="002B2C2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B2C20" w:rsidRDefault="00D058B8" w:rsidP="004C5D52">
      <w:pPr>
        <w:pStyle w:val="LineTop"/>
      </w:pPr>
    </w:p>
    <w:p w:rsidR="00680577" w:rsidRPr="002B2C20" w:rsidRDefault="00B7537A" w:rsidP="00680577">
      <w:pPr>
        <w:pStyle w:val="EPBodyTA1"/>
      </w:pPr>
      <w:r w:rsidRPr="002B2C20">
        <w:t>ПРИЕТИ ТЕКСТОВЕ</w:t>
      </w:r>
    </w:p>
    <w:p w:rsidR="00D058B8" w:rsidRPr="002B2C20" w:rsidRDefault="00D058B8" w:rsidP="00D058B8">
      <w:pPr>
        <w:pStyle w:val="LineBottom"/>
      </w:pPr>
    </w:p>
    <w:p w:rsidR="00B7537A" w:rsidRPr="002B2C20" w:rsidRDefault="00B7537A" w:rsidP="00B7537A">
      <w:pPr>
        <w:pStyle w:val="ATHeading1"/>
      </w:pPr>
      <w:bookmarkStart w:id="0" w:name="TANumber"/>
      <w:r w:rsidRPr="002B2C20">
        <w:t>P9_TA(2024)00</w:t>
      </w:r>
      <w:r w:rsidR="00D359EA">
        <w:t>2</w:t>
      </w:r>
      <w:r w:rsidRPr="002B2C20">
        <w:t>0</w:t>
      </w:r>
      <w:bookmarkEnd w:id="0"/>
    </w:p>
    <w:p w:rsidR="00B7537A" w:rsidRPr="002B2C20" w:rsidRDefault="00B7537A" w:rsidP="00B7537A">
      <w:pPr>
        <w:pStyle w:val="ATHeading2"/>
      </w:pPr>
      <w:bookmarkStart w:id="1" w:name="title"/>
      <w:r w:rsidRPr="002B2C20">
        <w:t xml:space="preserve">Културното многообразие и условията за авторите в европейския пазар за </w:t>
      </w:r>
      <w:proofErr w:type="spellStart"/>
      <w:r w:rsidRPr="002B2C20">
        <w:t>стрийминг</w:t>
      </w:r>
      <w:proofErr w:type="spellEnd"/>
      <w:r w:rsidRPr="002B2C20">
        <w:t xml:space="preserve"> на музика</w:t>
      </w:r>
      <w:bookmarkEnd w:id="1"/>
    </w:p>
    <w:p w:rsidR="00B7537A" w:rsidRPr="002B2C20" w:rsidRDefault="00B7537A" w:rsidP="00B7537A">
      <w:pPr>
        <w:rPr>
          <w:i/>
          <w:vanish/>
        </w:rPr>
      </w:pPr>
      <w:r w:rsidRPr="002B2C20">
        <w:rPr>
          <w:i/>
        </w:rPr>
        <w:fldChar w:fldCharType="begin"/>
      </w:r>
      <w:r w:rsidRPr="002B2C20">
        <w:rPr>
          <w:i/>
        </w:rPr>
        <w:instrText xml:space="preserve"> TC"(</w:instrText>
      </w:r>
      <w:bookmarkStart w:id="2" w:name="DocNumber"/>
      <w:r w:rsidRPr="002B2C20">
        <w:rPr>
          <w:i/>
        </w:rPr>
        <w:instrText>A9-0388/2023</w:instrText>
      </w:r>
      <w:bookmarkEnd w:id="2"/>
      <w:r w:rsidRPr="002B2C20">
        <w:rPr>
          <w:i/>
        </w:rPr>
        <w:instrText xml:space="preserve"> - Докладчик: </w:instrText>
      </w:r>
      <w:proofErr w:type="spellStart"/>
      <w:r w:rsidRPr="002B2C20">
        <w:rPr>
          <w:i/>
        </w:rPr>
        <w:instrText>Ибан</w:instrText>
      </w:r>
      <w:proofErr w:type="spellEnd"/>
      <w:r w:rsidRPr="002B2C20">
        <w:rPr>
          <w:i/>
        </w:rPr>
        <w:instrText xml:space="preserve"> Гарсия дел </w:instrText>
      </w:r>
      <w:proofErr w:type="spellStart"/>
      <w:r w:rsidRPr="002B2C20">
        <w:rPr>
          <w:i/>
        </w:rPr>
        <w:instrText>Бланко</w:instrText>
      </w:r>
      <w:proofErr w:type="spellEnd"/>
      <w:r w:rsidRPr="002B2C20">
        <w:rPr>
          <w:i/>
        </w:rPr>
        <w:instrText xml:space="preserve">)"\l3 \n&gt; \* MERGEFORMAT </w:instrText>
      </w:r>
      <w:r w:rsidRPr="002B2C20">
        <w:rPr>
          <w:i/>
        </w:rPr>
        <w:fldChar w:fldCharType="end"/>
      </w:r>
    </w:p>
    <w:p w:rsidR="00B7537A" w:rsidRPr="002B2C20" w:rsidRDefault="00B7537A" w:rsidP="00B7537A">
      <w:pPr>
        <w:rPr>
          <w:vanish/>
        </w:rPr>
      </w:pPr>
      <w:bookmarkStart w:id="3" w:name="Commission"/>
      <w:r w:rsidRPr="002B2C20">
        <w:rPr>
          <w:vanish/>
        </w:rPr>
        <w:t>Комисия по култура и образование</w:t>
      </w:r>
      <w:bookmarkEnd w:id="3"/>
    </w:p>
    <w:p w:rsidR="00B7537A" w:rsidRPr="002B2C20" w:rsidRDefault="00B7537A" w:rsidP="00B7537A">
      <w:pPr>
        <w:rPr>
          <w:vanish/>
        </w:rPr>
      </w:pPr>
      <w:bookmarkStart w:id="4" w:name="PE"/>
      <w:r w:rsidRPr="002B2C20">
        <w:rPr>
          <w:vanish/>
        </w:rPr>
        <w:t>PE750.068</w:t>
      </w:r>
      <w:bookmarkEnd w:id="4"/>
    </w:p>
    <w:p w:rsidR="00B7537A" w:rsidRPr="002B2C20" w:rsidRDefault="00B7537A" w:rsidP="002F0664">
      <w:pPr>
        <w:pStyle w:val="ATHeading3"/>
      </w:pPr>
      <w:bookmarkStart w:id="5" w:name="Sujet"/>
      <w:r w:rsidRPr="002B2C20">
        <w:t xml:space="preserve">Резолюция на Европейския парламент от </w:t>
      </w:r>
      <w:r w:rsidR="00D359EA">
        <w:t>17</w:t>
      </w:r>
      <w:r w:rsidRPr="002B2C20">
        <w:t xml:space="preserve"> </w:t>
      </w:r>
      <w:r w:rsidR="002F0664">
        <w:t xml:space="preserve">януари </w:t>
      </w:r>
      <w:r w:rsidRPr="002B2C20">
        <w:t xml:space="preserve">2024 г. относно културното многообразие и условията за авторите в европейския пазар за </w:t>
      </w:r>
      <w:proofErr w:type="spellStart"/>
      <w:r w:rsidRPr="002B2C20">
        <w:t>стрийминг</w:t>
      </w:r>
      <w:proofErr w:type="spellEnd"/>
      <w:r w:rsidRPr="002B2C20">
        <w:t xml:space="preserve"> на музика</w:t>
      </w:r>
      <w:bookmarkEnd w:id="5"/>
      <w:r w:rsidRPr="002B2C20">
        <w:t xml:space="preserve"> </w:t>
      </w:r>
      <w:bookmarkStart w:id="6" w:name="References"/>
      <w:r w:rsidRPr="002B2C20">
        <w:t>(2023/2054(INI))</w:t>
      </w:r>
      <w:bookmarkEnd w:id="6"/>
    </w:p>
    <w:p w:rsidR="00833F56" w:rsidRPr="002B2C20" w:rsidRDefault="00833F56" w:rsidP="00833F56">
      <w:pPr>
        <w:pStyle w:val="EPComma"/>
      </w:pPr>
      <w:bookmarkStart w:id="7" w:name="TextBodyBegin"/>
      <w:bookmarkEnd w:id="7"/>
      <w:r w:rsidRPr="002B2C20">
        <w:rPr>
          <w:rStyle w:val="Italic"/>
        </w:rPr>
        <w:t>Европейският парламент</w:t>
      </w:r>
      <w:r w:rsidRPr="002B2C20">
        <w:t>,</w:t>
      </w:r>
    </w:p>
    <w:p w:rsidR="00833F56" w:rsidRPr="002B2C20" w:rsidRDefault="00833F56" w:rsidP="00833F56">
      <w:pPr>
        <w:pStyle w:val="NormalHanging12a"/>
      </w:pPr>
      <w:r w:rsidRPr="002B2C20">
        <w:t>–</w:t>
      </w:r>
      <w:r w:rsidRPr="002B2C20">
        <w:tab/>
        <w:t>като взе предвид член 167 от Договора за функционирането на Европейския съюз,</w:t>
      </w:r>
    </w:p>
    <w:p w:rsidR="00833F56" w:rsidRPr="002B2C20" w:rsidRDefault="00833F56" w:rsidP="00833F56">
      <w:pPr>
        <w:pStyle w:val="NormalHanging12a"/>
      </w:pPr>
      <w:r w:rsidRPr="002B2C20">
        <w:t>–</w:t>
      </w:r>
      <w:r w:rsidRPr="002B2C20">
        <w:tab/>
        <w:t>като взе предвид Конвенцията на ЮНЕСКО за опазване и насърчаване на многообразието от форми на културно изразяване,</w:t>
      </w:r>
    </w:p>
    <w:p w:rsidR="00833F56" w:rsidRPr="002B2C20" w:rsidRDefault="00833F56" w:rsidP="00833F56">
      <w:pPr>
        <w:pStyle w:val="NormalHanging12a"/>
      </w:pPr>
      <w:r w:rsidRPr="002B2C20">
        <w:t>–</w:t>
      </w:r>
      <w:r w:rsidRPr="002B2C20">
        <w:tab/>
        <w:t>като взе предвид Директива (ЕС) 2019/790 на Европейския парламент и на Съвета от 17 април 2019 г. относно авторското право и сродните му права в цифровия единен пазар и за изменение на директиви 96/9/ЕО и 2001/29/ЕО</w:t>
      </w:r>
      <w:r w:rsidRPr="002B2C20">
        <w:rPr>
          <w:rStyle w:val="FootnoteReference"/>
        </w:rPr>
        <w:footnoteReference w:id="1"/>
      </w:r>
      <w:r w:rsidRPr="002B2C20">
        <w:t>,</w:t>
      </w:r>
    </w:p>
    <w:p w:rsidR="00833F56" w:rsidRPr="002B2C20" w:rsidRDefault="00833F56" w:rsidP="00833F56">
      <w:pPr>
        <w:pStyle w:val="NormalHanging12a"/>
      </w:pPr>
      <w:r w:rsidRPr="002B2C20">
        <w:t>–</w:t>
      </w:r>
      <w:r w:rsidRPr="002B2C20">
        <w:tab/>
        <w:t>като взе предвид Регламент (ЕС) 2021/818 на Европейския парламент и на Съвета от 20 май 2021 г. за създаване на програма „Творческа Европа“ (2021 – 2027 г.) и за отмяна на Регламент (ЕС) № 1295/2013</w:t>
      </w:r>
      <w:r w:rsidRPr="002B2C20">
        <w:rPr>
          <w:rStyle w:val="FootnoteReference"/>
        </w:rPr>
        <w:footnoteReference w:id="2"/>
      </w:r>
      <w:r w:rsidRPr="002B2C20">
        <w:t>,</w:t>
      </w:r>
    </w:p>
    <w:p w:rsidR="00833F56" w:rsidRPr="002B2C20" w:rsidRDefault="00833F56" w:rsidP="00833F56">
      <w:pPr>
        <w:pStyle w:val="NormalHanging12a"/>
      </w:pPr>
      <w:r w:rsidRPr="002B2C20">
        <w:t>–</w:t>
      </w:r>
      <w:r w:rsidRPr="002B2C20">
        <w:tab/>
        <w:t>като взе предвид Регламент (EС) 2022/1925 на Европейския парламент и на Съвета от 14 септември 2022 г. за достъпни и справедливи пазари в цифровия сектор и за изменение на директиви (EС) 2019/1937 и (ЕС) 2020/1828 (Законодателен акт за цифровите пазари)</w:t>
      </w:r>
      <w:r w:rsidRPr="002B2C20">
        <w:rPr>
          <w:rStyle w:val="FootnoteReference"/>
        </w:rPr>
        <w:footnoteReference w:id="3"/>
      </w:r>
      <w:r w:rsidRPr="002B2C20">
        <w:t>,</w:t>
      </w:r>
    </w:p>
    <w:p w:rsidR="00833F56" w:rsidRPr="002B2C20" w:rsidRDefault="00833F56" w:rsidP="00833F56">
      <w:pPr>
        <w:pStyle w:val="NormalHanging12a"/>
      </w:pPr>
      <w:r w:rsidRPr="002B2C20">
        <w:t>–</w:t>
      </w:r>
      <w:r w:rsidRPr="002B2C20">
        <w:tab/>
        <w:t>като взе предвид Регламент (ЕС) 2022/2065 на Европейския парламент и на Съвета от 19 октомври 2022 г. относно единния пазар на цифрови услуги и за изменение на Директива 2000/31/ЕО (Акт за цифровите услуги)</w:t>
      </w:r>
      <w:r w:rsidRPr="002B2C20">
        <w:rPr>
          <w:rStyle w:val="FootnoteReference"/>
        </w:rPr>
        <w:footnoteReference w:id="4"/>
      </w:r>
      <w:r w:rsidRPr="002B2C20">
        <w:t>,</w:t>
      </w:r>
    </w:p>
    <w:p w:rsidR="00833F56" w:rsidRPr="002B2C20" w:rsidRDefault="00833F56" w:rsidP="00833F56">
      <w:pPr>
        <w:pStyle w:val="NormalHanging12a"/>
        <w:rPr>
          <w:b/>
          <w:i/>
        </w:rPr>
      </w:pPr>
      <w:r w:rsidRPr="002B2C20">
        <w:rPr>
          <w:b/>
          <w:i/>
        </w:rPr>
        <w:lastRenderedPageBreak/>
        <w:t>–</w:t>
      </w:r>
      <w:r w:rsidRPr="002B2C20">
        <w:rPr>
          <w:b/>
          <w:i/>
        </w:rPr>
        <w:tab/>
      </w:r>
      <w:r w:rsidRPr="002B2C20">
        <w:t>като взе предвид своята резолюция от 14 декември 2022 г. относно изпълнението на новата европейска програма за култура и стратегията на ЕС за международните културни отношения</w:t>
      </w:r>
      <w:r w:rsidRPr="002B2C20">
        <w:rPr>
          <w:vertAlign w:val="superscript"/>
        </w:rPr>
        <w:footnoteReference w:id="5"/>
      </w:r>
      <w:r w:rsidRPr="002B2C20">
        <w:rPr>
          <w:i/>
        </w:rPr>
        <w:t>,</w:t>
      </w:r>
      <w:r w:rsidRPr="002B2C20">
        <w:rPr>
          <w:b/>
          <w:i/>
        </w:rPr>
        <w:t xml:space="preserve"> </w:t>
      </w:r>
    </w:p>
    <w:p w:rsidR="00833F56" w:rsidRPr="002B2C20" w:rsidRDefault="00833F56" w:rsidP="00833F56">
      <w:pPr>
        <w:pStyle w:val="NormalHanging12a"/>
      </w:pPr>
      <w:r w:rsidRPr="002B2C20">
        <w:t>–</w:t>
      </w:r>
      <w:r w:rsidRPr="002B2C20">
        <w:tab/>
        <w:t>като взе предвид своята резолюция от 20 октомври 2021 г. относно Европейските медии в цифровото десетилетие: план за действие в подкрепа на възстановяването и трансформацията</w:t>
      </w:r>
      <w:r w:rsidRPr="002B2C20">
        <w:rPr>
          <w:rStyle w:val="FootnoteReference"/>
        </w:rPr>
        <w:footnoteReference w:id="6"/>
      </w:r>
      <w:r w:rsidRPr="002B2C20">
        <w:t>,</w:t>
      </w:r>
    </w:p>
    <w:p w:rsidR="00833F56" w:rsidRPr="002B2C20" w:rsidRDefault="00833F56" w:rsidP="00833F56">
      <w:pPr>
        <w:pStyle w:val="NormalHanging12a"/>
      </w:pPr>
      <w:r w:rsidRPr="002B2C20">
        <w:t>–</w:t>
      </w:r>
      <w:r w:rsidRPr="002B2C20">
        <w:tab/>
        <w:t>като взе предвид своята резолюция от 20 октомври 2021 г. относно положението на хората на изкуството и възстановяването на сектора на културата в ЕС</w:t>
      </w:r>
      <w:r w:rsidRPr="002B2C20">
        <w:rPr>
          <w:rStyle w:val="FootnoteReference"/>
        </w:rPr>
        <w:footnoteReference w:id="7"/>
      </w:r>
      <w:r w:rsidRPr="002B2C20">
        <w:t>,</w:t>
      </w:r>
    </w:p>
    <w:p w:rsidR="00833F56" w:rsidRPr="002B2C20" w:rsidRDefault="00833F56" w:rsidP="00833F56">
      <w:pPr>
        <w:pStyle w:val="NormalHanging12a"/>
      </w:pPr>
      <w:r w:rsidRPr="002B2C20">
        <w:t>–</w:t>
      </w:r>
      <w:r w:rsidRPr="002B2C20">
        <w:tab/>
        <w:t>като взе предвид своята резолюция от 19 май 2021 г. относно изкуствения интелект в образованието, културата и аудио-визуалния сектор</w:t>
      </w:r>
      <w:r w:rsidRPr="002B2C20">
        <w:rPr>
          <w:rStyle w:val="FootnoteReference"/>
        </w:rPr>
        <w:footnoteReference w:id="8"/>
      </w:r>
      <w:r w:rsidRPr="002B2C20">
        <w:t>,</w:t>
      </w:r>
    </w:p>
    <w:p w:rsidR="00833F56" w:rsidRPr="002B2C20" w:rsidRDefault="00833F56" w:rsidP="00833F56">
      <w:pPr>
        <w:pStyle w:val="NormalHanging12a"/>
      </w:pPr>
      <w:r w:rsidRPr="002B2C20">
        <w:t>–</w:t>
      </w:r>
      <w:r w:rsidRPr="002B2C20">
        <w:tab/>
        <w:t>като взе предвид своята резолюция от 20 октомври 2020 г. с препоръки към Комисията относно рамка за етичните аспекти на изкуствения интелект, роботиката и свързаните с тях технологии</w:t>
      </w:r>
      <w:r w:rsidRPr="002B2C20">
        <w:rPr>
          <w:rStyle w:val="FootnoteReference"/>
        </w:rPr>
        <w:footnoteReference w:id="9"/>
      </w:r>
      <w:r w:rsidRPr="002B2C20">
        <w:t>,</w:t>
      </w:r>
    </w:p>
    <w:p w:rsidR="00833F56" w:rsidRPr="002B2C20" w:rsidRDefault="00833F56" w:rsidP="00833F56">
      <w:pPr>
        <w:pStyle w:val="NormalHanging12a"/>
      </w:pPr>
      <w:r w:rsidRPr="002B2C20">
        <w:t>–</w:t>
      </w:r>
      <w:r w:rsidRPr="002B2C20">
        <w:tab/>
        <w:t>като взе предвид своята резолюция от 20 октомври 2020 г. относно правата върху интелектуалната собственост за разработването на технологии за изкуствен интелект</w:t>
      </w:r>
      <w:r w:rsidRPr="002B2C20">
        <w:rPr>
          <w:rStyle w:val="FootnoteReference"/>
        </w:rPr>
        <w:footnoteReference w:id="10"/>
      </w:r>
      <w:r w:rsidRPr="002B2C20">
        <w:t>,</w:t>
      </w:r>
    </w:p>
    <w:p w:rsidR="00833F56" w:rsidRPr="002B2C20" w:rsidRDefault="00833F56" w:rsidP="00833F56">
      <w:pPr>
        <w:pStyle w:val="NormalHanging12a"/>
      </w:pPr>
      <w:r w:rsidRPr="002B2C20">
        <w:t>–</w:t>
      </w:r>
      <w:r w:rsidRPr="002B2C20">
        <w:tab/>
        <w:t>като взе предвид своята резолюция от 17 септември 2020 г. относно културното възстановяване на Европа</w:t>
      </w:r>
      <w:r w:rsidRPr="002B2C20">
        <w:rPr>
          <w:vertAlign w:val="superscript"/>
        </w:rPr>
        <w:footnoteReference w:id="11"/>
      </w:r>
      <w:r w:rsidRPr="002B2C20">
        <w:t xml:space="preserve">, </w:t>
      </w:r>
    </w:p>
    <w:p w:rsidR="00833F56" w:rsidRPr="002B2C20" w:rsidRDefault="00833F56" w:rsidP="00833F56">
      <w:pPr>
        <w:pStyle w:val="NormalHanging12a"/>
      </w:pPr>
      <w:r w:rsidRPr="002B2C20">
        <w:t>–</w:t>
      </w:r>
      <w:r w:rsidRPr="002B2C20">
        <w:tab/>
        <w:t>като взе предвид член 54 от своя Правилник за дейността,</w:t>
      </w:r>
    </w:p>
    <w:p w:rsidR="00833F56" w:rsidRPr="002B2C20" w:rsidRDefault="00833F56" w:rsidP="00833F56">
      <w:pPr>
        <w:pStyle w:val="NormalHanging12a"/>
      </w:pPr>
      <w:r w:rsidRPr="002B2C20">
        <w:t>–</w:t>
      </w:r>
      <w:r w:rsidRPr="002B2C20">
        <w:tab/>
        <w:t>като взе предвид доклада на комисията по култура и образование (A9-0388/2023),</w:t>
      </w:r>
    </w:p>
    <w:p w:rsidR="00833F56" w:rsidRPr="002B2C20" w:rsidRDefault="00833F56" w:rsidP="00833F56">
      <w:pPr>
        <w:pStyle w:val="NormalHanging12a"/>
      </w:pPr>
      <w:r w:rsidRPr="002B2C20">
        <w:t>А.</w:t>
      </w:r>
      <w:r w:rsidRPr="002B2C20">
        <w:tab/>
        <w:t>като има предвид, че музикалният сектор е основен стълб на културата като жизненоважен компонент на културното и езиковото многообразие в С, с най-широк обществен обхват от всички сектори на културата и творчеството (CCS);</w:t>
      </w:r>
    </w:p>
    <w:p w:rsidR="00833F56" w:rsidRPr="002B2C20" w:rsidRDefault="00833F56" w:rsidP="00833F56">
      <w:pPr>
        <w:pStyle w:val="NormalHanging12a"/>
      </w:pPr>
      <w:r w:rsidRPr="002B2C20">
        <w:t>Б.</w:t>
      </w:r>
      <w:r w:rsidRPr="002B2C20">
        <w:tab/>
        <w:t>като има предвид, че музикалният сектор е важна част от CCS, който е признат за една от 14-те ключови екосистеми за изграждането на европейската икономика, която води до растеж и създаване на работни места, включително за младите хора;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В.</w:t>
      </w:r>
      <w:r w:rsidRPr="002B2C20">
        <w:tab/>
        <w:t xml:space="preserve">като има предвид, че композиторите, авторите на песни и изпълнителите са в самата основа на веригата за създаване на стойност в музикалния сектор и са преди всичко творческите движещи сили на цялата музика, разпространявана чрез платформи за </w:t>
      </w:r>
      <w:proofErr w:type="spellStart"/>
      <w:r w:rsidRPr="002B2C20">
        <w:t>стрийминг</w:t>
      </w:r>
      <w:proofErr w:type="spellEnd"/>
      <w:r w:rsidRPr="002B2C20">
        <w:t>;</w:t>
      </w:r>
    </w:p>
    <w:p w:rsidR="00833F56" w:rsidRPr="002B2C20" w:rsidRDefault="00833F56" w:rsidP="00833F56">
      <w:pPr>
        <w:pStyle w:val="NormalHanging12a"/>
      </w:pPr>
      <w:r w:rsidRPr="002B2C20">
        <w:t>Г.</w:t>
      </w:r>
      <w:r w:rsidRPr="002B2C20">
        <w:tab/>
        <w:t>като има предвид, че бързите иновации в областта на цифровите технологии през последните две десетилетия преобразиха из основи музикалния сектор, по-</w:t>
      </w:r>
      <w:r w:rsidRPr="002B2C20">
        <w:lastRenderedPageBreak/>
        <w:t>специално начина, по който музиката се създава, произвежда и разпространява, и начина на достъп до нея и консумирането ѝ;</w:t>
      </w:r>
    </w:p>
    <w:p w:rsidR="00833F56" w:rsidRPr="002B2C20" w:rsidRDefault="00833F56" w:rsidP="00833F56">
      <w:pPr>
        <w:pStyle w:val="NormalHanging12a"/>
      </w:pPr>
      <w:r w:rsidRPr="002B2C20">
        <w:t>Д.</w:t>
      </w:r>
      <w:r w:rsidRPr="002B2C20">
        <w:tab/>
        <w:t xml:space="preserve">като има предвид, че музикалният сектор непрекъснато и бързо се адаптира с нови бизнес модели, нови начини за взаимодействие с публиката и използването на допълващи се платформи, като например платформи на социалните медии или кратки </w:t>
      </w:r>
      <w:proofErr w:type="spellStart"/>
      <w:r w:rsidRPr="002B2C20">
        <w:t>видеоприложения</w:t>
      </w:r>
      <w:proofErr w:type="spellEnd"/>
      <w:r w:rsidRPr="002B2C20">
        <w:t>, които създават както нови възможности, така и предизвикателства; като има предвид, че в този контекст трябва да бъдат разглеждани някои значителни предизвикателства, като например насърчаването на културното многообразие и справедливото възнаграждение за авторите;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Е.</w:t>
      </w:r>
      <w:r w:rsidRPr="002B2C20">
        <w:tab/>
        <w:t xml:space="preserve">като има предвид, че основният начин, по който хората вече се радват на музика, е чрез </w:t>
      </w:r>
      <w:proofErr w:type="spellStart"/>
      <w:r w:rsidRPr="002B2C20">
        <w:t>стрийминг</w:t>
      </w:r>
      <w:proofErr w:type="spellEnd"/>
      <w:r w:rsidRPr="002B2C20">
        <w:t xml:space="preserve"> музикални услуги чрез цифрови музикални платформи или платформи, при които онлайн потребителите качват съдържание, включително платформи на социалните медии, </w:t>
      </w:r>
      <w:proofErr w:type="spellStart"/>
      <w:r w:rsidRPr="002B2C20">
        <w:t>стрийминг</w:t>
      </w:r>
      <w:proofErr w:type="spellEnd"/>
      <w:r w:rsidRPr="002B2C20">
        <w:t xml:space="preserve"> на изпълнения на живо или кратки </w:t>
      </w:r>
      <w:proofErr w:type="spellStart"/>
      <w:r w:rsidRPr="002B2C20">
        <w:t>видеоприложения</w:t>
      </w:r>
      <w:proofErr w:type="spellEnd"/>
      <w:r w:rsidRPr="002B2C20">
        <w:t>, които предоставят достъп до 100 милиона музикални произведения, които са достъпни навсякъде, по всяко време и на всички видове устройства, безплатно или срещу сравнително ниска месечна абонаментна такса;</w:t>
      </w:r>
    </w:p>
    <w:p w:rsidR="00833F56" w:rsidRPr="002B2C20" w:rsidRDefault="00833F56" w:rsidP="00833F56">
      <w:pPr>
        <w:pStyle w:val="NormalHanging12a"/>
        <w:rPr>
          <w:b/>
          <w:i/>
          <w:szCs w:val="24"/>
        </w:rPr>
      </w:pPr>
      <w:r w:rsidRPr="002B2C20">
        <w:t>Ж.</w:t>
      </w:r>
      <w:r w:rsidRPr="002B2C20">
        <w:tab/>
        <w:t xml:space="preserve">като има предвид, че </w:t>
      </w:r>
      <w:proofErr w:type="spellStart"/>
      <w:r w:rsidRPr="002B2C20">
        <w:t>стриймингът</w:t>
      </w:r>
      <w:proofErr w:type="spellEnd"/>
      <w:r w:rsidRPr="002B2C20">
        <w:t xml:space="preserve"> представлява 67% от глобалните приходи на музикалния сектор</w:t>
      </w:r>
      <w:r w:rsidRPr="002B2C20">
        <w:rPr>
          <w:vertAlign w:val="superscript"/>
        </w:rPr>
        <w:footnoteReference w:id="12"/>
      </w:r>
      <w:r w:rsidRPr="002B2C20">
        <w:t>; като има предвид, че глобалният музикален сектор отбеляза устойчив растеж, който достигна връхната си точка през 2022 г. с осма поредна година на растеж и годишни приходи в размер на 22,6 милиарда щатски долара; като има предвид, че нарастващият брой инвеститори в музикалния сектор разкрива огромната му обща икономическа стойност;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З.</w:t>
      </w:r>
      <w:r w:rsidRPr="002B2C20">
        <w:tab/>
        <w:t xml:space="preserve">като има предвид, че авторите и изпълнителите често не получават признание или възнаграждение по начин, който отразява действителния размер на техния принос, което води до това, че по-голямата част от авторите получават много ниски приходи от пазара за </w:t>
      </w:r>
      <w:proofErr w:type="spellStart"/>
      <w:r w:rsidRPr="002B2C20">
        <w:t>стрийминг</w:t>
      </w:r>
      <w:proofErr w:type="spellEnd"/>
      <w:r w:rsidRPr="002B2C20">
        <w:t xml:space="preserve"> на музика и често не са в състояние да поддържат професионалната си кариера, което създава значителен дисбаланс във времето, който трябва да бъде преодолян</w:t>
      </w:r>
      <w:r w:rsidRPr="002B2C20">
        <w:rPr>
          <w:vertAlign w:val="superscript"/>
        </w:rPr>
        <w:footnoteReference w:id="13"/>
      </w:r>
      <w:r w:rsidRPr="002B2C20">
        <w:t xml:space="preserve">; като има предвид, че е необходимо да бъдат проучвани по-справедливи модели за разпределяне на приходите чрез </w:t>
      </w:r>
      <w:proofErr w:type="spellStart"/>
      <w:r w:rsidRPr="002B2C20">
        <w:t>стрийминг</w:t>
      </w:r>
      <w:proofErr w:type="spellEnd"/>
      <w:r w:rsidRPr="002B2C20">
        <w:t xml:space="preserve"> за авторите и артистите изпълнители, като се разглеждат различни налични механизми, като например пропорционални и ориентирани към потребителите модели или напълно нови модели; като има предвид, че критериите за начина, по който потоците се отчитат от платформите, могат също така да оказват въздействие върху практиките за манипулиране на </w:t>
      </w:r>
      <w:proofErr w:type="spellStart"/>
      <w:r w:rsidRPr="002B2C20">
        <w:t>стрийминга</w:t>
      </w:r>
      <w:proofErr w:type="spellEnd"/>
      <w:r w:rsidRPr="002B2C20">
        <w:t>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И.</w:t>
      </w:r>
      <w:r w:rsidRPr="002B2C20">
        <w:tab/>
        <w:t xml:space="preserve">като има предвид, че в проучванията се посочва, че настоящото положение се характеризира с нови предизвикателства, както и с няколко отдавна съществуващи системни проблема, пред които музикалният сектор продължава да е изправен, по-специално спад в общата стойност на продуктите, концентрация на </w:t>
      </w:r>
      <w:r w:rsidRPr="002B2C20">
        <w:lastRenderedPageBreak/>
        <w:t xml:space="preserve">приходи от основните фирми и най-популярните творци, липса на качествени данни за правилно идентифициране на авторите, артистите изпълнители или други носители на права, манипулирането чрез </w:t>
      </w:r>
      <w:proofErr w:type="spellStart"/>
      <w:r w:rsidRPr="002B2C20">
        <w:t>стрийминг</w:t>
      </w:r>
      <w:proofErr w:type="spellEnd"/>
      <w:r w:rsidRPr="002B2C20">
        <w:t xml:space="preserve">, незаконното използване на музикално съдържание от доставчиците на онлайн услуги за споделяне на съдържание и доминиращите онлайн платформи и магазини за приложения; припомня, че всички тези фактори засягат справедливостта и устойчивостта на приходите, генерирани от пазара за </w:t>
      </w:r>
      <w:proofErr w:type="spellStart"/>
      <w:r w:rsidRPr="002B2C20">
        <w:t>стрийминг</w:t>
      </w:r>
      <w:proofErr w:type="spellEnd"/>
      <w:r w:rsidRPr="002B2C20">
        <w:t xml:space="preserve"> на музика;</w:t>
      </w:r>
    </w:p>
    <w:p w:rsidR="00833F56" w:rsidRPr="002B2C20" w:rsidRDefault="00833F56" w:rsidP="00833F56">
      <w:pPr>
        <w:pStyle w:val="NormalHanging12a"/>
      </w:pPr>
      <w:r w:rsidRPr="002B2C20">
        <w:t>Й.</w:t>
      </w:r>
      <w:r w:rsidRPr="002B2C20">
        <w:tab/>
        <w:t xml:space="preserve">като има предвид, че средната цена на месечния абонамент за услуга за </w:t>
      </w:r>
      <w:proofErr w:type="spellStart"/>
      <w:r w:rsidRPr="002B2C20">
        <w:t>стрийминг</w:t>
      </w:r>
      <w:proofErr w:type="spellEnd"/>
      <w:r w:rsidRPr="002B2C20">
        <w:t xml:space="preserve"> на музика не се е увеличила през годините след въвеждането на такива услуги, особено като се вземат предвид инфлацията и огромното увеличение на наличното съдържание;</w:t>
      </w:r>
    </w:p>
    <w:p w:rsidR="00833F56" w:rsidRPr="002B2C20" w:rsidRDefault="00833F56" w:rsidP="00833F56">
      <w:pPr>
        <w:pStyle w:val="NormalHanging12a"/>
        <w:rPr>
          <w:b/>
          <w:i/>
        </w:rPr>
      </w:pPr>
      <w:r w:rsidRPr="002B2C20">
        <w:t>К.</w:t>
      </w:r>
      <w:r w:rsidRPr="002B2C20">
        <w:tab/>
        <w:t>като има предвид, че авторските права не следва да се считат за безплатен актив за собствените търговски и промоционални стратегии на музикалните услуги;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Л.</w:t>
      </w:r>
      <w:r w:rsidRPr="002B2C20">
        <w:tab/>
        <w:t xml:space="preserve">като има предвид, че платформите за </w:t>
      </w:r>
      <w:proofErr w:type="spellStart"/>
      <w:r w:rsidRPr="002B2C20">
        <w:t>стрийминг</w:t>
      </w:r>
      <w:proofErr w:type="spellEnd"/>
      <w:r w:rsidRPr="002B2C20">
        <w:t xml:space="preserve"> на музика, като използват алгоритми и системи за препоръчване, играят важна роля при откриването на съдържание и следователно оказват значително въздействие върху културното многообразие; като има предвид, че те могат също така да влияят, подбират или увеличават видимостта на определени музикални произведения и следователно на приходите на авторите и композиторите, както и на други участници в европейския културен и творчески сектор (CCS);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М.</w:t>
      </w:r>
      <w:r w:rsidRPr="002B2C20">
        <w:tab/>
        <w:t xml:space="preserve">като има предвид, че платформите за </w:t>
      </w:r>
      <w:proofErr w:type="spellStart"/>
      <w:r w:rsidRPr="002B2C20">
        <w:t>стрийминг</w:t>
      </w:r>
      <w:proofErr w:type="spellEnd"/>
      <w:r w:rsidRPr="002B2C20">
        <w:t xml:space="preserve"> на музика следва да продължат усилията си за повишаване на цялостната прозрачност и проследимост по много оперативни аспекти, които са от голямо значение за авторите, артистите изпълнители и другите държатели на права; като има предвид, че платформите за </w:t>
      </w:r>
      <w:proofErr w:type="spellStart"/>
      <w:r w:rsidRPr="002B2C20">
        <w:t>стрийминг</w:t>
      </w:r>
      <w:proofErr w:type="spellEnd"/>
      <w:r w:rsidRPr="002B2C20">
        <w:t xml:space="preserve"> на музика не са задължени да осигуряват прозрачност относно своите алгоритми и инструменти за препоръки или да гарантират популяризирането на европейските музикални произведения;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Н.</w:t>
      </w:r>
      <w:r w:rsidRPr="002B2C20">
        <w:tab/>
        <w:t xml:space="preserve">като има предвид, че насърчаването на културното многообразие на европейския пазар за </w:t>
      </w:r>
      <w:proofErr w:type="spellStart"/>
      <w:r w:rsidRPr="002B2C20">
        <w:t>стрийминг</w:t>
      </w:r>
      <w:proofErr w:type="spellEnd"/>
      <w:r w:rsidRPr="002B2C20">
        <w:t xml:space="preserve"> на музика, включително насърчаването на европейските творци в световен мащаб, трябва да бъде допълнително анализирано, за да се разгърне пълният потенциал на европейския културен и творчески сектор, който не може да зависи единствено от търговските решения на доминиращите частни световни оператори;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О.</w:t>
      </w:r>
      <w:r w:rsidRPr="002B2C20">
        <w:tab/>
        <w:t xml:space="preserve">като има предвид, че музикалният сектор все повече се сблъсква с увеличаването на генерирано от ИИ съдържание, което ежедневно залива платформите за </w:t>
      </w:r>
      <w:proofErr w:type="spellStart"/>
      <w:r w:rsidRPr="002B2C20">
        <w:t>стрийминг</w:t>
      </w:r>
      <w:proofErr w:type="spellEnd"/>
      <w:r w:rsidRPr="002B2C20">
        <w:t xml:space="preserve"> с все по-голям брой музикални произведения, което рискува да утежни съществуващите дисбаланси по отношение на </w:t>
      </w:r>
      <w:proofErr w:type="spellStart"/>
      <w:r w:rsidRPr="002B2C20">
        <w:t>откриваемостта</w:t>
      </w:r>
      <w:proofErr w:type="spellEnd"/>
      <w:r w:rsidRPr="002B2C20">
        <w:t xml:space="preserve"> и възнаграждението на авторите; като има предвид, че разработването на технологии с ИИ следва вместо това да обслужва и подсилва човешкото творчество и че тяхното използване следва да бъде прозрачно;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П.</w:t>
      </w:r>
      <w:r w:rsidRPr="002B2C20">
        <w:tab/>
        <w:t xml:space="preserve">като има предвид, че няколко проучвания установиха случаи на измами и манипулации чрез </w:t>
      </w:r>
      <w:proofErr w:type="spellStart"/>
      <w:r w:rsidRPr="002B2C20">
        <w:t>стрийминг</w:t>
      </w:r>
      <w:proofErr w:type="spellEnd"/>
      <w:r w:rsidRPr="002B2C20">
        <w:t xml:space="preserve">, тъй като някои участници работят за манипулиране на системата, за да обират приходи, които следва да отиват при авторите и артистите изпълнители, например чрез използване на </w:t>
      </w:r>
      <w:proofErr w:type="spellStart"/>
      <w:r w:rsidRPr="002B2C20">
        <w:t>ботове</w:t>
      </w:r>
      <w:proofErr w:type="spellEnd"/>
      <w:r w:rsidRPr="002B2C20">
        <w:t xml:space="preserve"> за изкуствено </w:t>
      </w:r>
      <w:r w:rsidRPr="002B2C20">
        <w:lastRenderedPageBreak/>
        <w:t>раздуване на броя на слушателите за определени качени музикални произведения</w:t>
      </w:r>
      <w:r w:rsidRPr="002B2C20">
        <w:rPr>
          <w:vertAlign w:val="superscript"/>
        </w:rPr>
        <w:footnoteReference w:id="14"/>
      </w:r>
      <w:r w:rsidRPr="002B2C20">
        <w:t xml:space="preserve">; като има предвид, че системите за откриване и механизмите за идентификация с цел смекчаване на това измамно поведение на платформите за </w:t>
      </w:r>
      <w:proofErr w:type="spellStart"/>
      <w:r w:rsidRPr="002B2C20">
        <w:t>стрийминг</w:t>
      </w:r>
      <w:proofErr w:type="spellEnd"/>
      <w:r w:rsidRPr="002B2C20">
        <w:t xml:space="preserve"> на музика до момента са ограничени</w:t>
      </w:r>
      <w:r w:rsidRPr="00D359EA">
        <w:rPr>
          <w:bCs/>
          <w:iCs/>
        </w:rPr>
        <w:t>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Р.</w:t>
      </w:r>
      <w:r w:rsidRPr="002B2C20">
        <w:tab/>
        <w:t xml:space="preserve">като има предвид, че е важно да се гарантира функциониращ единен пазар за онлайн разпространението на музика; като има предвид, че поради това следва да се полагат по-целенасочени усилия за преодоляване и отстраняване на несъответствията и дисбалансите, като се има предвид тяхното въздействие върху пазара, по-специално по отношение на дела на приходите от платформите за </w:t>
      </w:r>
      <w:proofErr w:type="spellStart"/>
      <w:r w:rsidRPr="002B2C20">
        <w:t>стрийминг</w:t>
      </w:r>
      <w:proofErr w:type="spellEnd"/>
      <w:r w:rsidRPr="002B2C20">
        <w:t>; като има предвид, че за тази цел следва да бъдат провеждани допълнителни разследвания и анализи, за да бъдат събирани данни и за да бъдат установявани факторите, които биха могли да създадат пречки пред разпространението на музикално съдържание в цяла Европа;</w:t>
      </w:r>
    </w:p>
    <w:p w:rsidR="00833F56" w:rsidRPr="002B2C20" w:rsidRDefault="00833F56" w:rsidP="00833F56">
      <w:pPr>
        <w:pStyle w:val="NormalHanging12a"/>
      </w:pPr>
      <w:r w:rsidRPr="002B2C20">
        <w:t>С.</w:t>
      </w:r>
      <w:r w:rsidRPr="002B2C20">
        <w:tab/>
        <w:t>като има предвид, че правилното идентифициране на авторите е от решаващо значение не само за тяхното признаване и по-добро възнаграждение, но и за гарантирането на многообразие и прозрачност на платформите;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1.</w:t>
      </w:r>
      <w:r w:rsidRPr="002B2C20">
        <w:tab/>
        <w:t xml:space="preserve">подчертава необходимостта от подкрепа и създаване на правила, гарантиращи справедлива и устойчива екосистема за </w:t>
      </w:r>
      <w:proofErr w:type="spellStart"/>
      <w:r w:rsidRPr="002B2C20">
        <w:t>стрийминг</w:t>
      </w:r>
      <w:proofErr w:type="spellEnd"/>
      <w:r w:rsidRPr="002B2C20">
        <w:t xml:space="preserve"> на музика в Съюза, която едновременно насърчава културното многообразие и преодолява дисбалансите, които оказват отрицателно въздействие върху сектора, особено неговите автори и изпълнители, и могат да му попречат да процъфтява;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2.</w:t>
      </w:r>
      <w:r w:rsidRPr="002B2C20">
        <w:tab/>
        <w:t xml:space="preserve">подчертава, че всички участници във веригата за създаване на стойност чрез </w:t>
      </w:r>
      <w:proofErr w:type="spellStart"/>
      <w:r w:rsidRPr="002B2C20">
        <w:t>стрийминг</w:t>
      </w:r>
      <w:proofErr w:type="spellEnd"/>
      <w:r w:rsidRPr="002B2C20">
        <w:t xml:space="preserve"> на музика трябва да започнат ефективен диалог, който включва автори и изпълнители, и да направят необходимите промени, за да се гарантира справедлива, приобщаваща и устойчива екосистема в сектора, така че тя да може да допринася за културното многообразие, като предоставя възможности за откриване на творци, както и като насърчава местните репертоари;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3.</w:t>
      </w:r>
      <w:r w:rsidRPr="002B2C20">
        <w:tab/>
        <w:t xml:space="preserve">отбелязва със загриженост, че настоящият дисбаланс в разпределението на приходите на пазара за </w:t>
      </w:r>
      <w:proofErr w:type="spellStart"/>
      <w:r w:rsidRPr="002B2C20">
        <w:t>стрийминг</w:t>
      </w:r>
      <w:proofErr w:type="spellEnd"/>
      <w:r w:rsidRPr="002B2C20">
        <w:t xml:space="preserve"> на музика поставя в неблагоприятно положение и авторите, и изпълнителите и излага на риск устойчивостта на тяхната професионална кариера на цифровия пазар; приветства всички усилия за по-справедливо възнаграждение за авторите и артистите изпълнители, като се признава значението на тяхната роля в европейския музикален сектор;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4.</w:t>
      </w:r>
      <w:r w:rsidRPr="002B2C20">
        <w:tab/>
        <w:t xml:space="preserve">призовава Комисията да направи оценка на въздействието на съществуващите договорни практики на европейския пазар за </w:t>
      </w:r>
      <w:proofErr w:type="spellStart"/>
      <w:r w:rsidRPr="002B2C20">
        <w:t>стрийминг</w:t>
      </w:r>
      <w:proofErr w:type="spellEnd"/>
      <w:r w:rsidRPr="002B2C20">
        <w:t xml:space="preserve"> на музика, както и на настоящия модел за разпределение на приходите от услуги за </w:t>
      </w:r>
      <w:proofErr w:type="spellStart"/>
      <w:r w:rsidRPr="002B2C20">
        <w:t>стрийминг</w:t>
      </w:r>
      <w:proofErr w:type="spellEnd"/>
      <w:r w:rsidRPr="002B2C20">
        <w:t xml:space="preserve"> на музика, върху културното многообразие и принципа на подходящо и пропорционално възнаграждение за авторите и изпълнителите, и я призовава да проучи, в сътрудничество със съответните заинтересовани страни, подходящи мерки, включително алтернативни и по-справедливи модели за преразпределяне на приходите от </w:t>
      </w:r>
      <w:proofErr w:type="spellStart"/>
      <w:r w:rsidRPr="002B2C20">
        <w:t>стрийминг</w:t>
      </w:r>
      <w:proofErr w:type="spellEnd"/>
      <w:r w:rsidRPr="002B2C20">
        <w:t xml:space="preserve">; призовава Комисията да проучи дали съществува </w:t>
      </w:r>
      <w:r w:rsidRPr="002B2C20">
        <w:lastRenderedPageBreak/>
        <w:t>високо равнище на концентрация в музикалната индустрия и да оцени нейното въздействие върху културното многообразие, върху възнаграждението на авторите и върху конкуренцията;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5.</w:t>
      </w:r>
      <w:r w:rsidRPr="002B2C20">
        <w:tab/>
        <w:t>настоятелно призовава всички заинтересовани страни да предприемат всички необходими стъпки за преодоляване на настоящите дисбаланси и изисква от Комисията да наблюдава и насърчава напредъка в това отношение и да обмисля подходящи предложения за политики, в случай че доброволните инициативи на заинтересованите страни не успеят да доведат до съдържателни решения;</w:t>
      </w:r>
    </w:p>
    <w:p w:rsidR="00833F56" w:rsidRPr="002B2C20" w:rsidRDefault="00833F56" w:rsidP="00833F56">
      <w:pPr>
        <w:pStyle w:val="Normal12a24b"/>
        <w:rPr>
          <w:i/>
        </w:rPr>
      </w:pPr>
      <w:r w:rsidRPr="002B2C20">
        <w:rPr>
          <w:rStyle w:val="Bold"/>
          <w:i/>
        </w:rPr>
        <w:t xml:space="preserve">Към устойчива екосистема за авторите 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6.</w:t>
      </w:r>
      <w:r w:rsidRPr="002B2C20">
        <w:tab/>
        <w:t xml:space="preserve">подчертава, че ключовата роля на авторите следва да бъде отразена чрез по-голяма видимост в услугите за </w:t>
      </w:r>
      <w:proofErr w:type="spellStart"/>
      <w:r w:rsidRPr="002B2C20">
        <w:t>стрийминг</w:t>
      </w:r>
      <w:proofErr w:type="spellEnd"/>
      <w:r w:rsidRPr="002B2C20">
        <w:t xml:space="preserve"> на музика и по-балансирано разпределение на приходите от </w:t>
      </w:r>
      <w:proofErr w:type="spellStart"/>
      <w:r w:rsidRPr="002B2C20">
        <w:t>стрийминг</w:t>
      </w:r>
      <w:proofErr w:type="spellEnd"/>
      <w:r w:rsidRPr="002B2C20">
        <w:t xml:space="preserve">; призовава сектора да проучи нови модели за разпределяне на приходите от </w:t>
      </w:r>
      <w:proofErr w:type="spellStart"/>
      <w:r w:rsidRPr="002B2C20">
        <w:t>стрийминг</w:t>
      </w:r>
      <w:proofErr w:type="spellEnd"/>
      <w:r w:rsidRPr="002B2C20">
        <w:t>, за да се гарантира възможно най-равноправно и справедливо разпределение за авторите и артистите изпълнители;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7.</w:t>
      </w:r>
      <w:r w:rsidRPr="002B2C20">
        <w:tab/>
        <w:t xml:space="preserve">насърчава Комисията да оцени дали използването на нови технологии, като например блоковата верига, и международните идентификационни кодове на държателите на права, музикални произведения и звукозаписи имат потенциала да подобрят прозрачността и ефикасността на разходите в рамките на пазара за </w:t>
      </w:r>
      <w:proofErr w:type="spellStart"/>
      <w:r w:rsidRPr="002B2C20">
        <w:t>стрийминг</w:t>
      </w:r>
      <w:proofErr w:type="spellEnd"/>
      <w:r w:rsidRPr="002B2C20">
        <w:t xml:space="preserve"> на музика, по-специално за точността на метаданните и възнаграждението, особено за авторите и артистите изпълнители; изразява съжаление, че като цяло услугите за </w:t>
      </w:r>
      <w:proofErr w:type="spellStart"/>
      <w:r w:rsidRPr="002B2C20">
        <w:t>стрийминг</w:t>
      </w:r>
      <w:proofErr w:type="spellEnd"/>
      <w:r w:rsidRPr="002B2C20">
        <w:t xml:space="preserve"> на музика в значителна степен не разполагат с такава прозрачност и изисквания за идентификация;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8.</w:t>
      </w:r>
      <w:r w:rsidRPr="002B2C20">
        <w:tab/>
        <w:t xml:space="preserve">подчертава, че е важно авторите да стават членове на организации за колективно управление на авторски права, за да се гарантира правото на колективни трудови договори и колективно представителство; подчертава, че колективните преговори чрез сдруженията на авторите имат за цел да гарантират подходяща стойност за използването на произведенията на авторите на пазара за </w:t>
      </w:r>
      <w:proofErr w:type="spellStart"/>
      <w:r w:rsidRPr="002B2C20">
        <w:t>стрийминг</w:t>
      </w:r>
      <w:proofErr w:type="spellEnd"/>
      <w:r w:rsidRPr="002B2C20">
        <w:t xml:space="preserve"> на музика, както и да улесняват по-справедливия достъп до пазарите и културното многообразие в рамките на Съюза; припомня значението на Директива 2014/26/ЕС</w:t>
      </w:r>
      <w:r w:rsidRPr="002B2C20">
        <w:rPr>
          <w:rStyle w:val="FootnoteReference"/>
        </w:rPr>
        <w:footnoteReference w:id="15"/>
      </w:r>
      <w:r w:rsidRPr="002B2C20">
        <w:t xml:space="preserve">, която осигурява рамката за онлайн </w:t>
      </w:r>
      <w:proofErr w:type="spellStart"/>
      <w:r w:rsidRPr="002B2C20">
        <w:t>многотериториално</w:t>
      </w:r>
      <w:proofErr w:type="spellEnd"/>
      <w:r w:rsidRPr="002B2C20">
        <w:t xml:space="preserve"> лицензиране на авторските права за услуги за </w:t>
      </w:r>
      <w:proofErr w:type="spellStart"/>
      <w:r w:rsidRPr="002B2C20">
        <w:t>стрийминг</w:t>
      </w:r>
      <w:proofErr w:type="spellEnd"/>
      <w:r w:rsidRPr="002B2C20">
        <w:t xml:space="preserve"> на музика, гарантира на авторите свободен избор при подбора на най-ефективния начин за управление на техните права на възнаграждение и установява високо равнище на прозрачност и правила за добро управление за организациите за колективно управление на авторски права, които са от решаващо значение за ефективното управление на репертоари в платформите за </w:t>
      </w:r>
      <w:proofErr w:type="spellStart"/>
      <w:r w:rsidRPr="002B2C20">
        <w:t>стрийминг</w:t>
      </w:r>
      <w:proofErr w:type="spellEnd"/>
      <w:r w:rsidRPr="002B2C20">
        <w:t xml:space="preserve"> на музика;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9.</w:t>
      </w:r>
      <w:r w:rsidRPr="002B2C20">
        <w:tab/>
        <w:t xml:space="preserve">подчертава, че е от съществено значение да се подобри идентифицирането на всеки, който участва в процеса на създаване, по-специално на авторите и </w:t>
      </w:r>
      <w:r w:rsidRPr="002B2C20">
        <w:lastRenderedPageBreak/>
        <w:t xml:space="preserve">артистите изпълнители, в услугите за </w:t>
      </w:r>
      <w:proofErr w:type="spellStart"/>
      <w:r w:rsidRPr="002B2C20">
        <w:t>стрийминг</w:t>
      </w:r>
      <w:proofErr w:type="spellEnd"/>
      <w:r w:rsidRPr="002B2C20">
        <w:t xml:space="preserve"> на музика, като се гарантира цялостно и точно разпределение на метаданните от момента на създаването за всяко музикално произведение, качено в услуга за </w:t>
      </w:r>
      <w:proofErr w:type="spellStart"/>
      <w:r w:rsidRPr="002B2C20">
        <w:t>стрийминг</w:t>
      </w:r>
      <w:proofErr w:type="spellEnd"/>
      <w:r w:rsidRPr="002B2C20">
        <w:t xml:space="preserve"> на музика; във връзка с това насърчава използването на всички международни идентификационни кодове (IPI</w:t>
      </w:r>
      <w:r w:rsidRPr="002B2C20">
        <w:rPr>
          <w:vertAlign w:val="superscript"/>
        </w:rPr>
        <w:footnoteReference w:id="16"/>
      </w:r>
      <w:r w:rsidRPr="002B2C20">
        <w:t>, ISWC</w:t>
      </w:r>
      <w:r w:rsidRPr="002B2C20">
        <w:rPr>
          <w:vertAlign w:val="superscript"/>
        </w:rPr>
        <w:footnoteReference w:id="17"/>
      </w:r>
      <w:r w:rsidRPr="002B2C20">
        <w:t>, ISRC</w:t>
      </w:r>
      <w:r w:rsidRPr="002B2C20">
        <w:rPr>
          <w:vertAlign w:val="superscript"/>
        </w:rPr>
        <w:footnoteReference w:id="18"/>
      </w:r>
      <w:r w:rsidRPr="002B2C20">
        <w:t>, IPN</w:t>
      </w:r>
      <w:r w:rsidRPr="002B2C20">
        <w:rPr>
          <w:vertAlign w:val="superscript"/>
        </w:rPr>
        <w:footnoteReference w:id="19"/>
      </w:r>
      <w:r w:rsidRPr="002B2C20">
        <w:t xml:space="preserve"> и ISNI</w:t>
      </w:r>
      <w:r w:rsidRPr="002B2C20">
        <w:rPr>
          <w:vertAlign w:val="superscript"/>
        </w:rPr>
        <w:footnoteReference w:id="20"/>
      </w:r>
      <w:r w:rsidRPr="002B2C20">
        <w:t xml:space="preserve">); подчертава, че правилното идентифициране на творците играе ключова роля в търсенето и </w:t>
      </w:r>
      <w:proofErr w:type="spellStart"/>
      <w:r w:rsidRPr="002B2C20">
        <w:t>откриваемостта</w:t>
      </w:r>
      <w:proofErr w:type="spellEnd"/>
      <w:r w:rsidRPr="002B2C20">
        <w:t xml:space="preserve"> на произведения и дава възможност за подходящо възнаграждение на творците при разпределянето на приходите;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10.</w:t>
      </w:r>
      <w:r w:rsidRPr="002B2C20">
        <w:tab/>
        <w:t xml:space="preserve">призовава всички участници в музикалната индустрия да увеличат усилията си за гарантиране на всеобхватно и правилно разпределение на метаданните на песни чрез идентифициране и точно съобщаване на данните на авторите за техните музикални произведения в услугите за </w:t>
      </w:r>
      <w:proofErr w:type="spellStart"/>
      <w:r w:rsidRPr="002B2C20">
        <w:t>стрийминг</w:t>
      </w:r>
      <w:proofErr w:type="spellEnd"/>
      <w:r w:rsidRPr="002B2C20">
        <w:t>, включително когато каченото съдържание се извършва от напълно независими автори;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11.</w:t>
      </w:r>
      <w:r w:rsidRPr="002B2C20">
        <w:tab/>
        <w:t xml:space="preserve">подчертава необходимостта от повишаване на осведомеността, по-специално сред младите автори, относно значението на точното признаване и заплащане на тяхната музика на пазара за </w:t>
      </w:r>
      <w:proofErr w:type="spellStart"/>
      <w:r w:rsidRPr="002B2C20">
        <w:t>стрийминг</w:t>
      </w:r>
      <w:proofErr w:type="spellEnd"/>
      <w:r w:rsidRPr="002B2C20">
        <w:t>; приветства съответните научноизследователски програми и инициативи, включително на международно равнище, и призовава Комисията да проучва начини за подкрепа на подобни инициативи;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12.</w:t>
      </w:r>
      <w:r w:rsidRPr="002B2C20">
        <w:tab/>
        <w:t xml:space="preserve">припомня необходимостта да се гарантира стойността на авторските права, независимо от предложенията за услуги за </w:t>
      </w:r>
      <w:proofErr w:type="spellStart"/>
      <w:r w:rsidRPr="002B2C20">
        <w:t>стрийминг</w:t>
      </w:r>
      <w:proofErr w:type="spellEnd"/>
      <w:r w:rsidRPr="002B2C20">
        <w:t xml:space="preserve"> на музика; отбелязва, че няколко неотдавнашни проучвания</w:t>
      </w:r>
      <w:r w:rsidRPr="002B2C20">
        <w:rPr>
          <w:vertAlign w:val="superscript"/>
        </w:rPr>
        <w:footnoteReference w:id="21"/>
      </w:r>
      <w:r w:rsidRPr="002B2C20">
        <w:rPr>
          <w:vertAlign w:val="superscript"/>
        </w:rPr>
        <w:t>,</w:t>
      </w:r>
      <w:r w:rsidRPr="002B2C20">
        <w:rPr>
          <w:rStyle w:val="FootnoteReference"/>
        </w:rPr>
        <w:footnoteReference w:id="22"/>
      </w:r>
      <w:r w:rsidRPr="002B2C20">
        <w:t xml:space="preserve"> показват, че по-голямата част от авторите и артистите изпълнители не получават достатъчно</w:t>
      </w:r>
      <w:r w:rsidRPr="002B2C20">
        <w:rPr>
          <w:b/>
          <w:i/>
        </w:rPr>
        <w:t xml:space="preserve"> </w:t>
      </w:r>
      <w:r w:rsidRPr="002B2C20">
        <w:t xml:space="preserve">приходи от </w:t>
      </w:r>
      <w:proofErr w:type="spellStart"/>
      <w:r w:rsidRPr="002B2C20">
        <w:t>стрийминг</w:t>
      </w:r>
      <w:proofErr w:type="spellEnd"/>
      <w:r w:rsidRPr="002B2C20">
        <w:t xml:space="preserve"> на музика; призовава за преразглеждане на </w:t>
      </w:r>
      <w:proofErr w:type="spellStart"/>
      <w:r w:rsidRPr="002B2C20">
        <w:t>предцифровите</w:t>
      </w:r>
      <w:proofErr w:type="spellEnd"/>
      <w:r w:rsidRPr="002B2C20">
        <w:t xml:space="preserve"> ставки на лицензионните възнаграждения, така че те да бъдат приведени в съответствие със справедливите и модерни ставки; осъжда съществуването на всякакви схеми, като например схемите „</w:t>
      </w:r>
      <w:proofErr w:type="spellStart"/>
      <w:r w:rsidRPr="002B2C20">
        <w:t>payola</w:t>
      </w:r>
      <w:proofErr w:type="spellEnd"/>
      <w:r w:rsidRPr="002B2C20">
        <w:t xml:space="preserve">“, които принуждават авторите да приемат по-ниски приходи или липса на приходи в замяна на по-голяма видимост, като по този начин те допълнително намаляват и без това много ниските приходи на авторите от </w:t>
      </w:r>
      <w:proofErr w:type="spellStart"/>
      <w:r w:rsidRPr="002B2C20">
        <w:t>стрийминг</w:t>
      </w:r>
      <w:proofErr w:type="spellEnd"/>
      <w:r w:rsidRPr="002B2C20">
        <w:t>, особено като се има предвид, че в повечето случаи обещанието за по-голяма видимост остава неизпълнено;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13.</w:t>
      </w:r>
      <w:r w:rsidRPr="002B2C20">
        <w:tab/>
        <w:t xml:space="preserve">отбелязва, че конкуренцията между доставчиците на </w:t>
      </w:r>
      <w:proofErr w:type="spellStart"/>
      <w:r w:rsidRPr="002B2C20">
        <w:t>стрийминг</w:t>
      </w:r>
      <w:proofErr w:type="spellEnd"/>
      <w:r w:rsidRPr="002B2C20">
        <w:t xml:space="preserve"> на музика на европейския пазар се доминира от малко на брой световни играчи; припомня необходимостта от бързо прилагане на Законодателния акт за цифровия пазар и на </w:t>
      </w:r>
      <w:r w:rsidRPr="002B2C20">
        <w:lastRenderedPageBreak/>
        <w:t xml:space="preserve">Законодателния акт за цифровите услуги, за да се гарантира справедлива екосистема, като се сложи край на практиките на нелоялна конкуренция от страна на онлайн платформите за споделяне на съдържание и доставчиците на услуги за </w:t>
      </w:r>
      <w:proofErr w:type="spellStart"/>
      <w:r w:rsidRPr="002B2C20">
        <w:t>стрийминг</w:t>
      </w:r>
      <w:proofErr w:type="spellEnd"/>
      <w:r w:rsidRPr="002B2C20">
        <w:t xml:space="preserve"> на музика на пазара за </w:t>
      </w:r>
      <w:proofErr w:type="spellStart"/>
      <w:r w:rsidRPr="002B2C20">
        <w:t>стрийминг</w:t>
      </w:r>
      <w:proofErr w:type="spellEnd"/>
      <w:r w:rsidRPr="002B2C20">
        <w:t xml:space="preserve"> на музика, като например тези, които позволяват на потребителите незаконно да извършват </w:t>
      </w:r>
      <w:proofErr w:type="spellStart"/>
      <w:r w:rsidRPr="002B2C20">
        <w:t>стрийминг</w:t>
      </w:r>
      <w:proofErr w:type="spellEnd"/>
      <w:r w:rsidRPr="002B2C20">
        <w:t xml:space="preserve"> или да изтеглят защитено съдържание; подчертава необходимостта от прозрачност и ефикасен одит в това отношение; подчертава необходимостта от премахване на тези нарушения на и от платформите, както и в магазините за приложения;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14.</w:t>
      </w:r>
      <w:r w:rsidRPr="002B2C20">
        <w:tab/>
        <w:t xml:space="preserve">подчертава, че е важно да се гарантират инвестиции в нови европейски таланти и музика, включително местни творци, </w:t>
      </w:r>
      <w:proofErr w:type="spellStart"/>
      <w:r w:rsidRPr="002B2C20">
        <w:t>нишови</w:t>
      </w:r>
      <w:proofErr w:type="spellEnd"/>
      <w:r w:rsidRPr="002B2C20">
        <w:t xml:space="preserve"> творци и творци от уязвими общности, чрез подходящи инструменти за финансиране, включително програмата „Творческа Европа“, за да се стимулират инвестициите в по-разнообразни форми на репертоар по отношение на езика или жанра, в предоставянето на цифрови умения и в цифровата трансформация на бизнес моделите, и подчертава необходимостта от повишаване на осведомеността на авторите относно техните права;</w:t>
      </w:r>
    </w:p>
    <w:p w:rsidR="00833F56" w:rsidRPr="002B2C20" w:rsidRDefault="00833F56" w:rsidP="00833F56">
      <w:pPr>
        <w:pStyle w:val="NormalHanging12a"/>
      </w:pPr>
      <w:r w:rsidRPr="002B2C20">
        <w:t>15.</w:t>
      </w:r>
      <w:r w:rsidRPr="002B2C20">
        <w:tab/>
        <w:t>подкрепя споделянето на информация за изпълненията на живо на творците на платформи, особено за местните творци, за да се улесняват новите открития и допълнителната видимост;</w:t>
      </w:r>
    </w:p>
    <w:p w:rsidR="00833F56" w:rsidRPr="002B2C20" w:rsidRDefault="00833F56" w:rsidP="00833F56">
      <w:pPr>
        <w:pStyle w:val="NormalHanging12a"/>
      </w:pPr>
      <w:r w:rsidRPr="002B2C20">
        <w:t>16.</w:t>
      </w:r>
      <w:r w:rsidRPr="002B2C20">
        <w:tab/>
        <w:t xml:space="preserve">призовава всички участници в сектора на </w:t>
      </w:r>
      <w:proofErr w:type="spellStart"/>
      <w:r w:rsidRPr="002B2C20">
        <w:t>стрийминга</w:t>
      </w:r>
      <w:proofErr w:type="spellEnd"/>
      <w:r w:rsidRPr="002B2C20">
        <w:t xml:space="preserve"> на музика да работят заедно за оценка и намаляване на въглеродния отпечатък на цифровата музика;</w:t>
      </w:r>
    </w:p>
    <w:p w:rsidR="00833F56" w:rsidRPr="002B2C20" w:rsidRDefault="00833F56" w:rsidP="00833F56">
      <w:pPr>
        <w:pStyle w:val="Normal12a24b"/>
        <w:rPr>
          <w:i/>
        </w:rPr>
      </w:pPr>
      <w:r w:rsidRPr="002B2C20">
        <w:rPr>
          <w:rStyle w:val="Bold"/>
          <w:i/>
        </w:rPr>
        <w:t xml:space="preserve">Видимост и </w:t>
      </w:r>
      <w:proofErr w:type="spellStart"/>
      <w:r w:rsidRPr="002B2C20">
        <w:rPr>
          <w:rStyle w:val="Bold"/>
          <w:i/>
        </w:rPr>
        <w:t>откриваемост</w:t>
      </w:r>
      <w:proofErr w:type="spellEnd"/>
      <w:r w:rsidRPr="002B2C20">
        <w:rPr>
          <w:rStyle w:val="Bold"/>
          <w:i/>
        </w:rPr>
        <w:t xml:space="preserve"> на европейските музикални произведения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17.</w:t>
      </w:r>
      <w:r w:rsidRPr="002B2C20">
        <w:tab/>
        <w:t xml:space="preserve">призовава за предприемане на действия на равнището на Съюза, за да се гарантира видимостта и достъпността на европейските произведения, като се има предвид огромното количество съдържание, което непрекъснато нараства в платформите за </w:t>
      </w:r>
      <w:proofErr w:type="spellStart"/>
      <w:r w:rsidRPr="002B2C20">
        <w:t>стрийминг</w:t>
      </w:r>
      <w:proofErr w:type="spellEnd"/>
      <w:r w:rsidRPr="002B2C20">
        <w:t xml:space="preserve"> на музика, и липсата на правила на Съюза, които да ги регулират по хармонизиран начин;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18.</w:t>
      </w:r>
      <w:r w:rsidRPr="002B2C20">
        <w:tab/>
        <w:t xml:space="preserve">приветства започнатото от Комисията проучване, което има за цел да оцени </w:t>
      </w:r>
      <w:proofErr w:type="spellStart"/>
      <w:r w:rsidRPr="002B2C20">
        <w:t>откриваемостта</w:t>
      </w:r>
      <w:proofErr w:type="spellEnd"/>
      <w:r w:rsidRPr="002B2C20">
        <w:t xml:space="preserve"> на европейски музикални произведения в музикалната екосистема, включително чрез услуги за </w:t>
      </w:r>
      <w:proofErr w:type="spellStart"/>
      <w:r w:rsidRPr="002B2C20">
        <w:t>стрийминг</w:t>
      </w:r>
      <w:proofErr w:type="spellEnd"/>
      <w:r w:rsidRPr="002B2C20">
        <w:t xml:space="preserve"> на музика; изисква от Комисията, въз основа на тези резултати, да предложи подходящи мерки, включително правна рамка за гарантиране на видимостта, достъпността и видното място на европейските музикални произведения в платформите за </w:t>
      </w:r>
      <w:proofErr w:type="spellStart"/>
      <w:r w:rsidRPr="002B2C20">
        <w:t>стрийминг</w:t>
      </w:r>
      <w:proofErr w:type="spellEnd"/>
      <w:r w:rsidRPr="002B2C20">
        <w:t xml:space="preserve"> на музика;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19.</w:t>
      </w:r>
      <w:r w:rsidRPr="002B2C20">
        <w:tab/>
        <w:t>в този контекст призовава Комисията да гарантира, че тази правна рамка включва специфични показатели за многообразие, които биха позволили независима оценка на използването и видимостта на европейските музикални произведения и разнообразието на жанрове, езици и независими автори;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20.</w:t>
      </w:r>
      <w:r w:rsidRPr="002B2C20">
        <w:tab/>
        <w:t xml:space="preserve">подчертава освен това, че подобна правна рамка би изисквала от Комисията да определи най-добрите практики за изпитване на </w:t>
      </w:r>
      <w:proofErr w:type="spellStart"/>
      <w:r w:rsidRPr="002B2C20">
        <w:t>диверсифицирано</w:t>
      </w:r>
      <w:proofErr w:type="spellEnd"/>
      <w:r w:rsidRPr="002B2C20">
        <w:t xml:space="preserve"> съдържание, популяризирано на интерфейсите на платформите, и редовно да наблюдава и докладва по този въпрос с ясна методология за разбиране и оценка на видимостта на европейските музикални произведения, наред с другото, в подбрани списъци с </w:t>
      </w:r>
      <w:r w:rsidRPr="002B2C20">
        <w:lastRenderedPageBreak/>
        <w:t xml:space="preserve">произведения, потребителски интерфейси, алгоритмичен избор и системи за препоръчване, за да се гарантира видимост и </w:t>
      </w:r>
      <w:proofErr w:type="spellStart"/>
      <w:r w:rsidRPr="002B2C20">
        <w:t>откриваемост</w:t>
      </w:r>
      <w:proofErr w:type="spellEnd"/>
      <w:r w:rsidRPr="002B2C20">
        <w:t>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21.</w:t>
      </w:r>
      <w:r w:rsidRPr="002B2C20">
        <w:tab/>
        <w:t xml:space="preserve">призовава Комисията да събира данни и да извърши задълбочен анализ, насочен към гарантиране на </w:t>
      </w:r>
      <w:proofErr w:type="spellStart"/>
      <w:r w:rsidRPr="002B2C20">
        <w:t>откриваемостта</w:t>
      </w:r>
      <w:proofErr w:type="spellEnd"/>
      <w:r w:rsidRPr="002B2C20">
        <w:t xml:space="preserve"> на европейски музикални произведения чрез услуги за </w:t>
      </w:r>
      <w:proofErr w:type="spellStart"/>
      <w:r w:rsidRPr="002B2C20">
        <w:t>стрийминг</w:t>
      </w:r>
      <w:proofErr w:type="spellEnd"/>
      <w:r w:rsidRPr="002B2C20">
        <w:t xml:space="preserve"> на музика, както и да създаде структуриран диалог между всички участващи страни; изисква от Комисията, въз основа на констатациите, да обмисли възможността за налагане на конкретни мерки, като например квоти за европейски музикални произведения, на платформите за </w:t>
      </w:r>
      <w:proofErr w:type="spellStart"/>
      <w:r w:rsidRPr="002B2C20">
        <w:t>стрийминг</w:t>
      </w:r>
      <w:proofErr w:type="spellEnd"/>
      <w:r w:rsidRPr="002B2C20">
        <w:t xml:space="preserve"> на музика;</w:t>
      </w:r>
    </w:p>
    <w:p w:rsidR="00833F56" w:rsidRPr="002B2C20" w:rsidRDefault="00833F56" w:rsidP="00833F56">
      <w:pPr>
        <w:pStyle w:val="NormalHanging12a"/>
      </w:pPr>
      <w:r w:rsidRPr="002B2C20">
        <w:t>22.</w:t>
      </w:r>
      <w:r w:rsidRPr="002B2C20">
        <w:tab/>
        <w:t xml:space="preserve">призовава Комисията и държавите членки да направят оценка на подходящи начини за опазване на цифровото европейско музикално наследство, като същевременно се намали фактическата зависимост от търговските платформи за </w:t>
      </w:r>
      <w:proofErr w:type="spellStart"/>
      <w:r w:rsidRPr="002B2C20">
        <w:t>стрийминг</w:t>
      </w:r>
      <w:proofErr w:type="spellEnd"/>
      <w:r w:rsidRPr="002B2C20">
        <w:t xml:space="preserve"> на музика, така че да се гарантира наличието и достъпността на европейските музикални произведения в дългосрочен план;</w:t>
      </w:r>
    </w:p>
    <w:p w:rsidR="00833F56" w:rsidRPr="002B2C20" w:rsidRDefault="00833F56" w:rsidP="00833F56">
      <w:pPr>
        <w:pStyle w:val="Normal12a24b"/>
        <w:rPr>
          <w:i/>
        </w:rPr>
      </w:pPr>
      <w:r w:rsidRPr="002B2C20">
        <w:rPr>
          <w:rStyle w:val="Bold"/>
          <w:i/>
        </w:rPr>
        <w:t>Към етично използване на ИИ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23.</w:t>
      </w:r>
      <w:r w:rsidRPr="002B2C20">
        <w:tab/>
        <w:t>призовава за етично използване на ИИ в CCS, включително музиката, и подчертава, че ИИ може да бъде инструмент за хората на изкуството за проучване, иновации и подобряване на собствените си творби; призовава за максимална прозрачност и подчертава необходимостта да се гарантира спазването на всички правни изисквания на Съюза относно разработването, производството и доставката на музикални произведения чрез технологии с ИИ; подчертава необходимостта от разглеждане на специфичните последици от използването на ИИ в CCS;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24.</w:t>
      </w:r>
      <w:r w:rsidRPr="002B2C20">
        <w:tab/>
        <w:t xml:space="preserve">призовава Комисията да предложи правни целенасочени разпоредби, за да се гарантира прозрачността на алгоритмите и системите за препоръчване на съдържание на всички релевантни платформи за </w:t>
      </w:r>
      <w:proofErr w:type="spellStart"/>
      <w:r w:rsidRPr="002B2C20">
        <w:t>стрийминг</w:t>
      </w:r>
      <w:proofErr w:type="spellEnd"/>
      <w:r w:rsidRPr="002B2C20">
        <w:t xml:space="preserve"> на музика, с оглед на предотвратяването на нелоялни практики и измами, свързани със </w:t>
      </w:r>
      <w:proofErr w:type="spellStart"/>
      <w:r w:rsidRPr="002B2C20">
        <w:t>стрийминг</w:t>
      </w:r>
      <w:proofErr w:type="spellEnd"/>
      <w:r w:rsidRPr="002B2C20">
        <w:t>, които се използват за намаляване на разходите и допълнително намаляване на стойността за професионалните автори; изисква музикалните услуги да продължат да инвестират в подходящи инструменти за идентифициране на такива дейности;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25.</w:t>
      </w:r>
      <w:r w:rsidRPr="002B2C20">
        <w:tab/>
        <w:t xml:space="preserve">подчертава, че увеличаването на генерираното от ИИ съдържание доведе до нарастващ брой произведения, качени в платформи за </w:t>
      </w:r>
      <w:proofErr w:type="spellStart"/>
      <w:r w:rsidRPr="002B2C20">
        <w:t>стрийминг</w:t>
      </w:r>
      <w:proofErr w:type="spellEnd"/>
      <w:r w:rsidRPr="002B2C20">
        <w:t xml:space="preserve">, което прави още по-важно да се гарантира видимостта и </w:t>
      </w:r>
      <w:proofErr w:type="spellStart"/>
      <w:r w:rsidRPr="002B2C20">
        <w:t>откриваемостта</w:t>
      </w:r>
      <w:proofErr w:type="spellEnd"/>
      <w:r w:rsidRPr="002B2C20">
        <w:t xml:space="preserve"> на европейските музикални произведения; подчертава, че обществеността следва да е наясно дали музикалните произведения, песни или творци, които слушат на платформи за </w:t>
      </w:r>
      <w:proofErr w:type="spellStart"/>
      <w:r w:rsidRPr="002B2C20">
        <w:t>стрийминг</w:t>
      </w:r>
      <w:proofErr w:type="spellEnd"/>
      <w:r w:rsidRPr="002B2C20">
        <w:t xml:space="preserve"> на музика, са били генерирани главно от ИИ и/или без съществения принос на автори човешки същества; във връзка с това подчертава необходимостта да се работи, за да се гарантира, че потребителите са добре информирани, и подчертава необходимостта от създаване на ясен, навременен и видим етикет за информиране на обществеността относно произведения, създадени само с ИИ, които не включват изразяване на личността или творчеството на автора;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26.</w:t>
      </w:r>
      <w:r w:rsidRPr="002B2C20">
        <w:tab/>
        <w:t xml:space="preserve">приветства диалога между основните заинтересовани страни за справяне с разпространението на дълбинни фалшификати в платформите за </w:t>
      </w:r>
      <w:proofErr w:type="spellStart"/>
      <w:r w:rsidRPr="002B2C20">
        <w:t>стрийминг</w:t>
      </w:r>
      <w:proofErr w:type="spellEnd"/>
      <w:r w:rsidRPr="002B2C20">
        <w:t xml:space="preserve"> на </w:t>
      </w:r>
      <w:r w:rsidRPr="002B2C20">
        <w:lastRenderedPageBreak/>
        <w:t>музика и призовава за отчитане на интересите на всички автори и изпълнители; припомня, че дълбинните фалшификати са крайни продукти, генерирани от модели и приложения на ИИ, които могат да използват идентичността, гласа и приликите на авторите и артистите изпълнители без тяхното съгласие; призовава за по-широко използване на инструменти за идентифициране с цел откриване на дълбинни фалшификати и манипулирано съдържание и призовава за леснодостъпни механизми за докладване за авторите, изпълнителите и другите държатели на права;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27.</w:t>
      </w:r>
      <w:r w:rsidRPr="002B2C20">
        <w:tab/>
        <w:t>подчертава, че авторите, изпълнителите и другите държатели на права следва да имат право да запазват и да лицензират правата за използване на техните произведения за обучение, разработване или проектиране в областта на ИИ извън рамките на научните изследвания; подчертава във връзка с това необходимостта от прозрачност относно учебното съдържание, защитено съгласно авторското право, за целите на генеративни системи с ИИ, за да се гарантира, че то е в съответствие с приложимото право на Съюза или национално право в областта на авторското право, и подчертава, че поради това доставчиците на такива генеративни системи с ИИ трябва да документират и да предоставят на разположение на обществеността достатъчно подробно обобщение относно използването на такива данни за обучение, независимо къде е проведено това обучение, за да се даде възможност за правилното прилагане на изключението за извличане на информация от текст и данни, предвидено в правото на Съюза в областта на авторското право;</w:t>
      </w:r>
    </w:p>
    <w:p w:rsidR="00833F56" w:rsidRPr="002B2C20" w:rsidRDefault="00833F56" w:rsidP="00833F56">
      <w:pPr>
        <w:pStyle w:val="Normal12a24b"/>
        <w:rPr>
          <w:i/>
        </w:rPr>
      </w:pPr>
      <w:r w:rsidRPr="002B2C20">
        <w:rPr>
          <w:rStyle w:val="Bold"/>
          <w:i/>
        </w:rPr>
        <w:t>Перспективи</w:t>
      </w:r>
    </w:p>
    <w:p w:rsidR="00833F56" w:rsidRPr="002B2C20" w:rsidRDefault="00833F56" w:rsidP="00833F56">
      <w:pPr>
        <w:pStyle w:val="NormalHanging12a"/>
      </w:pPr>
      <w:r w:rsidRPr="002B2C20">
        <w:t>28.</w:t>
      </w:r>
      <w:r w:rsidRPr="002B2C20">
        <w:tab/>
        <w:t xml:space="preserve">призовава Комисията да създаде Европейска музикална обсерватория, която да предоставя информация относно музикалните пазари в ЕС чрез събиране и анализ на данни в държавите членки, както и да анализира и докладва относно правни въпроси, засягащи музикалния сектор, по-специално пазара за </w:t>
      </w:r>
      <w:proofErr w:type="spellStart"/>
      <w:r w:rsidRPr="002B2C20">
        <w:t>стрийминг</w:t>
      </w:r>
      <w:proofErr w:type="spellEnd"/>
      <w:r w:rsidRPr="002B2C20">
        <w:t xml:space="preserve"> на музика, с оглед развитие на сектора;</w:t>
      </w:r>
    </w:p>
    <w:p w:rsidR="00833F56" w:rsidRPr="002B2C20" w:rsidRDefault="00833F56" w:rsidP="00833F56">
      <w:pPr>
        <w:pStyle w:val="NormalHanging12a"/>
      </w:pPr>
      <w:r w:rsidRPr="002B2C20">
        <w:t>29.</w:t>
      </w:r>
      <w:r w:rsidRPr="002B2C20">
        <w:tab/>
        <w:t>призовава Комисията да подобрява допълнително програмата „Творческа Европа“, по-специално с всеобхватни действия в областта на музиката;</w:t>
      </w:r>
    </w:p>
    <w:p w:rsidR="00833F56" w:rsidRPr="002B2C20" w:rsidRDefault="00833F56" w:rsidP="00833F56">
      <w:pPr>
        <w:pStyle w:val="NormalHanging12a"/>
      </w:pPr>
      <w:r w:rsidRPr="002B2C20">
        <w:t>30.</w:t>
      </w:r>
      <w:r w:rsidRPr="002B2C20">
        <w:tab/>
        <w:t>подчертава, че музиката има голям потенциал за по-нататъшно насърчаване на европейската култура, история, наследство, ценности и многообразие; счита, че музиката също така има потенциала да допринася за „меката сила“ на Съюза; подчертава, че насърчаването на европейските творци в трети държави следва да бъде силен акцент на Съюза; във връзка с това призовава Комисията да разработи всеобхватна европейска стратегия за износ на европейски музикални произведения;</w:t>
      </w:r>
    </w:p>
    <w:p w:rsidR="00833F56" w:rsidRPr="002B2C20" w:rsidRDefault="00833F56" w:rsidP="00833F56">
      <w:pPr>
        <w:pStyle w:val="NormalHanging12a"/>
        <w:rPr>
          <w:szCs w:val="24"/>
        </w:rPr>
      </w:pPr>
      <w:r w:rsidRPr="002B2C20">
        <w:t>31.</w:t>
      </w:r>
      <w:r w:rsidRPr="002B2C20">
        <w:tab/>
        <w:t xml:space="preserve">приканва Комисията да установи структуриран диалог между всички заинтересовани страни с цел обсъждане на настоящите въпроси, засягащи пазара на </w:t>
      </w:r>
      <w:proofErr w:type="spellStart"/>
      <w:r w:rsidRPr="002B2C20">
        <w:t>стрийминг</w:t>
      </w:r>
      <w:proofErr w:type="spellEnd"/>
      <w:r w:rsidRPr="002B2C20">
        <w:t xml:space="preserve"> на музика, и да работи заедно за намиране на общи решения за по-справедливо разпределение на приходите от платформите за </w:t>
      </w:r>
      <w:proofErr w:type="spellStart"/>
      <w:r w:rsidRPr="002B2C20">
        <w:t>стрийминг</w:t>
      </w:r>
      <w:proofErr w:type="spellEnd"/>
      <w:r w:rsidRPr="002B2C20">
        <w:t xml:space="preserve"> на музика, по-специално за авторите, артистите изпълнители и малките и </w:t>
      </w:r>
      <w:proofErr w:type="spellStart"/>
      <w:r w:rsidRPr="002B2C20">
        <w:t>микронезависимите</w:t>
      </w:r>
      <w:proofErr w:type="spellEnd"/>
      <w:r w:rsidRPr="002B2C20">
        <w:t xml:space="preserve"> продуценти, успоредно с очакваните законодателни предложения относно прозрачността на алгоритмите и видимостта на европейските музикални произведения;</w:t>
      </w:r>
    </w:p>
    <w:p w:rsidR="00833F56" w:rsidRPr="002B2C20" w:rsidRDefault="00833F56" w:rsidP="00833F56">
      <w:pPr>
        <w:pStyle w:val="NormalHanging12a"/>
        <w:rPr>
          <w:b/>
          <w:i/>
        </w:rPr>
      </w:pPr>
      <w:r w:rsidRPr="002B2C20">
        <w:lastRenderedPageBreak/>
        <w:t>32.</w:t>
      </w:r>
      <w:r w:rsidRPr="002B2C20">
        <w:tab/>
        <w:t>приканва Комисията да обмисли въвеждането на европейска промишлена стратегия за музиката, така че Съюзът да може да играе роля в насърчаването на многообразието на творците и творбите на ЕС, като се поставя акцент върху силата и многообразието на музикалния сектор в Европа, като се стимулират по-малките участници, като се придобиват по-големи по размер инвестиции, като се осигурява по-голяма експозиция на хората на изкуството и се определят количествено резултатите;</w:t>
      </w:r>
    </w:p>
    <w:p w:rsidR="00833F56" w:rsidRPr="002B2C20" w:rsidRDefault="00833F56" w:rsidP="00833F56">
      <w:pPr>
        <w:pStyle w:val="NormalHanging12a"/>
        <w:jc w:val="center"/>
      </w:pPr>
      <w:r w:rsidRPr="002B2C20">
        <w:t>°</w:t>
      </w:r>
    </w:p>
    <w:p w:rsidR="00833F56" w:rsidRPr="002B2C20" w:rsidRDefault="00833F56" w:rsidP="00833F56">
      <w:pPr>
        <w:pStyle w:val="NormalHanging12a"/>
        <w:jc w:val="center"/>
      </w:pPr>
      <w:r w:rsidRPr="002B2C20">
        <w:t>°</w:t>
      </w:r>
      <w:r w:rsidRPr="002B2C20">
        <w:tab/>
        <w:t>°</w:t>
      </w:r>
    </w:p>
    <w:p w:rsidR="00833F56" w:rsidRPr="002B2C20" w:rsidRDefault="00833F56" w:rsidP="00833F56">
      <w:pPr>
        <w:pStyle w:val="NormalHanging12a"/>
      </w:pPr>
      <w:r w:rsidRPr="002B2C20">
        <w:t>33.</w:t>
      </w:r>
      <w:r w:rsidRPr="002B2C20">
        <w:tab/>
        <w:t>възлага на своя председател да предаде настоящата резолюция съответно на Съвета и на Комисията.</w:t>
      </w:r>
    </w:p>
    <w:p w:rsidR="00E365E1" w:rsidRPr="002B2C20" w:rsidRDefault="00E365E1" w:rsidP="00833F56"/>
    <w:sectPr w:rsidR="00E365E1" w:rsidRPr="002B2C20" w:rsidSect="002B2C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37A" w:rsidRPr="002B2C20" w:rsidRDefault="00B7537A">
      <w:r w:rsidRPr="002B2C20">
        <w:separator/>
      </w:r>
    </w:p>
  </w:endnote>
  <w:endnote w:type="continuationSeparator" w:id="0">
    <w:p w:rsidR="00B7537A" w:rsidRPr="002B2C20" w:rsidRDefault="00B7537A">
      <w:r w:rsidRPr="002B2C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2C2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2C2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2C2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37A" w:rsidRPr="002B2C20" w:rsidRDefault="00B7537A">
      <w:r w:rsidRPr="002B2C20">
        <w:separator/>
      </w:r>
    </w:p>
  </w:footnote>
  <w:footnote w:type="continuationSeparator" w:id="0">
    <w:p w:rsidR="00B7537A" w:rsidRPr="002B2C20" w:rsidRDefault="00B7537A">
      <w:r w:rsidRPr="002B2C20">
        <w:continuationSeparator/>
      </w:r>
    </w:p>
  </w:footnote>
  <w:footnote w:id="1">
    <w:p w:rsidR="00833F56" w:rsidRPr="002B2C20" w:rsidRDefault="00833F56" w:rsidP="002B2C20">
      <w:pPr>
        <w:pStyle w:val="FootnoteText"/>
        <w:ind w:left="567" w:hanging="567"/>
        <w:rPr>
          <w:sz w:val="24"/>
          <w:lang w:val="bg-BG"/>
        </w:rPr>
      </w:pPr>
      <w:r w:rsidRPr="002B2C20">
        <w:rPr>
          <w:rStyle w:val="FootnoteReference"/>
          <w:sz w:val="24"/>
          <w:lang w:val="bg-BG"/>
        </w:rPr>
        <w:footnoteRef/>
      </w:r>
      <w:r w:rsidR="002B2C20" w:rsidRPr="002B2C20">
        <w:rPr>
          <w:sz w:val="24"/>
          <w:lang w:val="bg-BG"/>
        </w:rPr>
        <w:t xml:space="preserve"> </w:t>
      </w:r>
      <w:r w:rsidR="002B2C20" w:rsidRPr="002B2C20">
        <w:rPr>
          <w:sz w:val="24"/>
          <w:lang w:val="bg-BG"/>
        </w:rPr>
        <w:tab/>
      </w:r>
      <w:r w:rsidRPr="002B2C20">
        <w:rPr>
          <w:sz w:val="24"/>
          <w:lang w:val="bg-BG"/>
        </w:rPr>
        <w:t>ОВ L 130, 17.5.2019 г., стр. 92.</w:t>
      </w:r>
    </w:p>
  </w:footnote>
  <w:footnote w:id="2">
    <w:p w:rsidR="00833F56" w:rsidRPr="002B2C20" w:rsidRDefault="00833F56" w:rsidP="002B2C20">
      <w:pPr>
        <w:pStyle w:val="FootnoteText"/>
        <w:ind w:left="567" w:hanging="567"/>
        <w:rPr>
          <w:sz w:val="24"/>
          <w:lang w:val="bg-BG"/>
        </w:rPr>
      </w:pPr>
      <w:r w:rsidRPr="002B2C20">
        <w:rPr>
          <w:rStyle w:val="FootnoteReference"/>
          <w:sz w:val="24"/>
          <w:lang w:val="bg-BG"/>
        </w:rPr>
        <w:footnoteRef/>
      </w:r>
      <w:r w:rsidR="002B2C20" w:rsidRPr="002B2C20">
        <w:rPr>
          <w:sz w:val="24"/>
          <w:lang w:val="bg-BG"/>
        </w:rPr>
        <w:t xml:space="preserve"> </w:t>
      </w:r>
      <w:r w:rsidR="002B2C20" w:rsidRPr="002B2C20">
        <w:rPr>
          <w:sz w:val="24"/>
          <w:lang w:val="bg-BG"/>
        </w:rPr>
        <w:tab/>
      </w:r>
      <w:r w:rsidRPr="002B2C20">
        <w:rPr>
          <w:sz w:val="24"/>
          <w:lang w:val="bg-BG"/>
        </w:rPr>
        <w:t>ОВ L 189, 28.5.2021 г., стр. 34.</w:t>
      </w:r>
    </w:p>
  </w:footnote>
  <w:footnote w:id="3">
    <w:p w:rsidR="00833F56" w:rsidRPr="002B2C20" w:rsidRDefault="00833F56" w:rsidP="002B2C20">
      <w:pPr>
        <w:pStyle w:val="FootnoteText"/>
        <w:ind w:left="567" w:hanging="567"/>
        <w:rPr>
          <w:sz w:val="24"/>
          <w:lang w:val="bg-BG"/>
        </w:rPr>
      </w:pPr>
      <w:r w:rsidRPr="002B2C20">
        <w:rPr>
          <w:rStyle w:val="FootnoteReference"/>
          <w:sz w:val="24"/>
          <w:lang w:val="bg-BG"/>
        </w:rPr>
        <w:footnoteRef/>
      </w:r>
      <w:r w:rsidR="002B2C20" w:rsidRPr="002B2C20">
        <w:rPr>
          <w:sz w:val="24"/>
          <w:lang w:val="bg-BG"/>
        </w:rPr>
        <w:t xml:space="preserve"> </w:t>
      </w:r>
      <w:r w:rsidR="002B2C20" w:rsidRPr="002B2C20">
        <w:rPr>
          <w:sz w:val="24"/>
          <w:lang w:val="bg-BG"/>
        </w:rPr>
        <w:tab/>
      </w:r>
      <w:r w:rsidRPr="002B2C20">
        <w:rPr>
          <w:sz w:val="24"/>
          <w:lang w:val="bg-BG"/>
        </w:rPr>
        <w:t>ОВ L 265, 12.10.2022 г., стр. 1.</w:t>
      </w:r>
    </w:p>
  </w:footnote>
  <w:footnote w:id="4">
    <w:p w:rsidR="00833F56" w:rsidRPr="002B2C20" w:rsidRDefault="00833F56" w:rsidP="002B2C20">
      <w:pPr>
        <w:pStyle w:val="FootnoteText"/>
        <w:ind w:left="567" w:hanging="567"/>
        <w:rPr>
          <w:sz w:val="24"/>
          <w:lang w:val="bg-BG"/>
        </w:rPr>
      </w:pPr>
      <w:r w:rsidRPr="002B2C20">
        <w:rPr>
          <w:rStyle w:val="FootnoteReference"/>
          <w:sz w:val="24"/>
          <w:lang w:val="bg-BG"/>
        </w:rPr>
        <w:footnoteRef/>
      </w:r>
      <w:r w:rsidR="002B2C20" w:rsidRPr="002B2C20">
        <w:rPr>
          <w:sz w:val="24"/>
          <w:lang w:val="bg-BG"/>
        </w:rPr>
        <w:t xml:space="preserve"> </w:t>
      </w:r>
      <w:r w:rsidR="002B2C20" w:rsidRPr="002B2C20">
        <w:rPr>
          <w:sz w:val="24"/>
          <w:lang w:val="bg-BG"/>
        </w:rPr>
        <w:tab/>
      </w:r>
      <w:r w:rsidRPr="002B2C20">
        <w:rPr>
          <w:sz w:val="24"/>
          <w:lang w:val="bg-BG"/>
        </w:rPr>
        <w:t>ОВ L 277, 27.10.2022 г., стр. 1.</w:t>
      </w:r>
    </w:p>
  </w:footnote>
  <w:footnote w:id="5">
    <w:p w:rsidR="00833F56" w:rsidRPr="002B2C20" w:rsidRDefault="00833F56" w:rsidP="002B2C20">
      <w:pPr>
        <w:pStyle w:val="FootnoteText"/>
        <w:ind w:left="567" w:hanging="567"/>
        <w:rPr>
          <w:sz w:val="24"/>
          <w:lang w:val="bg-BG"/>
        </w:rPr>
      </w:pPr>
      <w:r w:rsidRPr="002B2C20">
        <w:rPr>
          <w:rStyle w:val="FootnoteReference"/>
          <w:sz w:val="24"/>
          <w:lang w:val="bg-BG"/>
        </w:rPr>
        <w:footnoteRef/>
      </w:r>
      <w:r w:rsidR="002B2C20" w:rsidRPr="002B2C20">
        <w:rPr>
          <w:sz w:val="24"/>
          <w:lang w:val="bg-BG"/>
        </w:rPr>
        <w:t xml:space="preserve"> </w:t>
      </w:r>
      <w:r w:rsidR="002B2C20" w:rsidRPr="002B2C20">
        <w:rPr>
          <w:sz w:val="24"/>
          <w:lang w:val="bg-BG"/>
        </w:rPr>
        <w:tab/>
      </w:r>
      <w:r w:rsidRPr="002B2C20">
        <w:rPr>
          <w:sz w:val="24"/>
          <w:lang w:val="bg-BG"/>
        </w:rPr>
        <w:t>OВ C 177, 1</w:t>
      </w:r>
      <w:r w:rsidR="000F02D1">
        <w:rPr>
          <w:sz w:val="24"/>
          <w:lang w:val="pt-PT"/>
        </w:rPr>
        <w:t>5</w:t>
      </w:r>
      <w:r w:rsidRPr="002B2C20">
        <w:rPr>
          <w:sz w:val="24"/>
          <w:lang w:val="bg-BG"/>
        </w:rPr>
        <w:t>.5.2023 г., стр. 7</w:t>
      </w:r>
      <w:r w:rsidR="0081585F">
        <w:rPr>
          <w:sz w:val="24"/>
          <w:lang w:val="bg-BG"/>
        </w:rPr>
        <w:t>8</w:t>
      </w:r>
      <w:r w:rsidRPr="002B2C20">
        <w:rPr>
          <w:b/>
          <w:i/>
          <w:sz w:val="24"/>
          <w:lang w:val="bg-BG"/>
        </w:rPr>
        <w:t>.</w:t>
      </w:r>
    </w:p>
  </w:footnote>
  <w:footnote w:id="6">
    <w:p w:rsidR="00833F56" w:rsidRPr="002B2C20" w:rsidRDefault="00833F56" w:rsidP="002B2C20">
      <w:pPr>
        <w:pStyle w:val="FootnoteText"/>
        <w:ind w:left="567" w:hanging="567"/>
        <w:rPr>
          <w:sz w:val="24"/>
          <w:lang w:val="bg-BG"/>
        </w:rPr>
      </w:pPr>
      <w:r w:rsidRPr="002B2C20">
        <w:rPr>
          <w:rStyle w:val="FootnoteReference"/>
          <w:sz w:val="24"/>
          <w:lang w:val="bg-BG"/>
        </w:rPr>
        <w:footnoteRef/>
      </w:r>
      <w:r w:rsidR="002B2C20" w:rsidRPr="002B2C20">
        <w:rPr>
          <w:sz w:val="24"/>
          <w:lang w:val="bg-BG"/>
        </w:rPr>
        <w:t xml:space="preserve"> </w:t>
      </w:r>
      <w:r w:rsidR="002B2C20" w:rsidRPr="002B2C20">
        <w:rPr>
          <w:sz w:val="24"/>
          <w:lang w:val="bg-BG"/>
        </w:rPr>
        <w:tab/>
      </w:r>
      <w:r w:rsidRPr="002B2C20">
        <w:rPr>
          <w:sz w:val="24"/>
          <w:lang w:val="bg-BG"/>
        </w:rPr>
        <w:t xml:space="preserve">ОВ </w:t>
      </w:r>
      <w:r w:rsidR="003136CB">
        <w:rPr>
          <w:sz w:val="24"/>
          <w:lang w:val="pt-PT"/>
        </w:rPr>
        <w:t>C</w:t>
      </w:r>
      <w:bookmarkStart w:id="8" w:name="_GoBack"/>
      <w:bookmarkEnd w:id="8"/>
      <w:r w:rsidRPr="002B2C20">
        <w:rPr>
          <w:sz w:val="24"/>
          <w:lang w:val="bg-BG"/>
        </w:rPr>
        <w:t> </w:t>
      </w:r>
      <w:r w:rsidR="0081585F">
        <w:rPr>
          <w:sz w:val="24"/>
          <w:lang w:val="bg-BG"/>
        </w:rPr>
        <w:t>184</w:t>
      </w:r>
      <w:r w:rsidRPr="002B2C20">
        <w:rPr>
          <w:sz w:val="24"/>
          <w:lang w:val="bg-BG"/>
        </w:rPr>
        <w:t xml:space="preserve">, </w:t>
      </w:r>
      <w:r w:rsidR="0081585F">
        <w:rPr>
          <w:sz w:val="24"/>
          <w:lang w:val="bg-BG"/>
        </w:rPr>
        <w:t>5</w:t>
      </w:r>
      <w:r w:rsidRPr="002B2C20">
        <w:rPr>
          <w:sz w:val="24"/>
          <w:lang w:val="bg-BG"/>
        </w:rPr>
        <w:t>.</w:t>
      </w:r>
      <w:r w:rsidR="0081585F">
        <w:rPr>
          <w:sz w:val="24"/>
          <w:lang w:val="bg-BG"/>
        </w:rPr>
        <w:t>5</w:t>
      </w:r>
      <w:r w:rsidRPr="002B2C20">
        <w:rPr>
          <w:sz w:val="24"/>
          <w:lang w:val="bg-BG"/>
        </w:rPr>
        <w:t>.2022 г., стр. </w:t>
      </w:r>
      <w:r w:rsidR="0081585F">
        <w:rPr>
          <w:sz w:val="24"/>
          <w:lang w:val="bg-BG"/>
        </w:rPr>
        <w:t>7</w:t>
      </w:r>
      <w:r w:rsidRPr="002B2C20">
        <w:rPr>
          <w:sz w:val="24"/>
          <w:lang w:val="bg-BG"/>
        </w:rPr>
        <w:t>1.</w:t>
      </w:r>
    </w:p>
  </w:footnote>
  <w:footnote w:id="7">
    <w:p w:rsidR="00833F56" w:rsidRPr="002B2C20" w:rsidRDefault="00833F56" w:rsidP="002B2C20">
      <w:pPr>
        <w:pStyle w:val="FootnoteText"/>
        <w:ind w:left="567" w:hanging="567"/>
        <w:rPr>
          <w:sz w:val="24"/>
          <w:lang w:val="bg-BG"/>
        </w:rPr>
      </w:pPr>
      <w:r w:rsidRPr="002B2C20">
        <w:rPr>
          <w:rStyle w:val="FootnoteReference"/>
          <w:sz w:val="24"/>
          <w:lang w:val="bg-BG"/>
        </w:rPr>
        <w:footnoteRef/>
      </w:r>
      <w:r w:rsidR="002B2C20" w:rsidRPr="002B2C20">
        <w:rPr>
          <w:sz w:val="24"/>
          <w:lang w:val="bg-BG"/>
        </w:rPr>
        <w:t xml:space="preserve"> </w:t>
      </w:r>
      <w:r w:rsidR="002B2C20" w:rsidRPr="002B2C20">
        <w:rPr>
          <w:sz w:val="24"/>
          <w:lang w:val="bg-BG"/>
        </w:rPr>
        <w:tab/>
      </w:r>
      <w:r w:rsidRPr="002B2C20">
        <w:rPr>
          <w:sz w:val="24"/>
          <w:lang w:val="bg-BG"/>
        </w:rPr>
        <w:t>ОВ C 184, 5.5.2022 г., стр. 88.</w:t>
      </w:r>
    </w:p>
  </w:footnote>
  <w:footnote w:id="8">
    <w:p w:rsidR="00833F56" w:rsidRPr="002B2C20" w:rsidRDefault="00833F56" w:rsidP="002B2C20">
      <w:pPr>
        <w:pStyle w:val="FootnoteText"/>
        <w:ind w:left="567" w:hanging="567"/>
        <w:rPr>
          <w:sz w:val="24"/>
          <w:lang w:val="bg-BG"/>
        </w:rPr>
      </w:pPr>
      <w:r w:rsidRPr="002B2C20">
        <w:rPr>
          <w:rStyle w:val="FootnoteReference"/>
          <w:sz w:val="24"/>
          <w:lang w:val="bg-BG"/>
        </w:rPr>
        <w:footnoteRef/>
      </w:r>
      <w:r w:rsidR="002B2C20" w:rsidRPr="002B2C20">
        <w:rPr>
          <w:sz w:val="24"/>
          <w:lang w:val="bg-BG"/>
        </w:rPr>
        <w:t xml:space="preserve"> </w:t>
      </w:r>
      <w:r w:rsidR="002B2C20" w:rsidRPr="002B2C20">
        <w:rPr>
          <w:sz w:val="24"/>
          <w:lang w:val="bg-BG"/>
        </w:rPr>
        <w:tab/>
      </w:r>
      <w:r w:rsidRPr="002B2C20">
        <w:rPr>
          <w:sz w:val="24"/>
          <w:lang w:val="bg-BG"/>
        </w:rPr>
        <w:t>ОВ C 15, 12.1.2022 г., стр. 28.</w:t>
      </w:r>
    </w:p>
  </w:footnote>
  <w:footnote w:id="9">
    <w:p w:rsidR="00833F56" w:rsidRPr="002B2C20" w:rsidRDefault="00833F56" w:rsidP="002B2C20">
      <w:pPr>
        <w:pStyle w:val="FootnoteText"/>
        <w:ind w:left="567" w:hanging="567"/>
        <w:rPr>
          <w:sz w:val="24"/>
          <w:lang w:val="bg-BG"/>
        </w:rPr>
      </w:pPr>
      <w:r w:rsidRPr="002B2C20">
        <w:rPr>
          <w:rStyle w:val="FootnoteReference"/>
          <w:sz w:val="24"/>
          <w:lang w:val="bg-BG"/>
        </w:rPr>
        <w:footnoteRef/>
      </w:r>
      <w:r w:rsidR="002B2C20" w:rsidRPr="002B2C20">
        <w:rPr>
          <w:sz w:val="24"/>
          <w:lang w:val="bg-BG"/>
        </w:rPr>
        <w:t xml:space="preserve"> </w:t>
      </w:r>
      <w:r w:rsidR="002B2C20" w:rsidRPr="002B2C20">
        <w:rPr>
          <w:sz w:val="24"/>
          <w:lang w:val="bg-BG"/>
        </w:rPr>
        <w:tab/>
      </w:r>
      <w:r w:rsidRPr="002B2C20">
        <w:rPr>
          <w:sz w:val="24"/>
          <w:lang w:val="bg-BG"/>
        </w:rPr>
        <w:t>ОВ C 404, 6.10.2021 г., стр. 63.</w:t>
      </w:r>
    </w:p>
  </w:footnote>
  <w:footnote w:id="10">
    <w:p w:rsidR="00833F56" w:rsidRPr="002B2C20" w:rsidRDefault="00833F56" w:rsidP="002B2C20">
      <w:pPr>
        <w:pStyle w:val="FootnoteText"/>
        <w:ind w:left="567" w:hanging="567"/>
        <w:rPr>
          <w:sz w:val="24"/>
          <w:lang w:val="bg-BG"/>
        </w:rPr>
      </w:pPr>
      <w:r w:rsidRPr="002B2C20">
        <w:rPr>
          <w:rStyle w:val="FootnoteReference"/>
          <w:sz w:val="24"/>
          <w:lang w:val="bg-BG"/>
        </w:rPr>
        <w:footnoteRef/>
      </w:r>
      <w:r w:rsidR="002B2C20" w:rsidRPr="002B2C20">
        <w:rPr>
          <w:sz w:val="24"/>
          <w:lang w:val="bg-BG"/>
        </w:rPr>
        <w:t xml:space="preserve"> </w:t>
      </w:r>
      <w:r w:rsidR="002B2C20" w:rsidRPr="002B2C20">
        <w:rPr>
          <w:sz w:val="24"/>
          <w:lang w:val="bg-BG"/>
        </w:rPr>
        <w:tab/>
      </w:r>
      <w:r w:rsidR="002F0664" w:rsidRPr="00D359EA">
        <w:t xml:space="preserve">ОВ C 404, 6.10.2021 г., </w:t>
      </w:r>
      <w:proofErr w:type="spellStart"/>
      <w:r w:rsidR="002F0664" w:rsidRPr="00D359EA">
        <w:t>стр</w:t>
      </w:r>
      <w:proofErr w:type="spellEnd"/>
      <w:r w:rsidR="002F0664" w:rsidRPr="00D359EA">
        <w:t>. 129.</w:t>
      </w:r>
    </w:p>
  </w:footnote>
  <w:footnote w:id="11">
    <w:p w:rsidR="00833F56" w:rsidRPr="002B2C20" w:rsidRDefault="00833F56" w:rsidP="002B2C20">
      <w:pPr>
        <w:pStyle w:val="FootnoteText"/>
        <w:ind w:left="567" w:hanging="567"/>
        <w:rPr>
          <w:sz w:val="24"/>
          <w:lang w:val="bg-BG"/>
        </w:rPr>
      </w:pPr>
      <w:r w:rsidRPr="002B2C20">
        <w:rPr>
          <w:rStyle w:val="FootnoteReference"/>
          <w:sz w:val="24"/>
          <w:lang w:val="bg-BG"/>
        </w:rPr>
        <w:footnoteRef/>
      </w:r>
      <w:r w:rsidR="002B2C20" w:rsidRPr="002B2C20">
        <w:rPr>
          <w:sz w:val="24"/>
          <w:lang w:val="bg-BG"/>
        </w:rPr>
        <w:t xml:space="preserve"> </w:t>
      </w:r>
      <w:r w:rsidR="002B2C20" w:rsidRPr="002B2C20">
        <w:rPr>
          <w:sz w:val="24"/>
          <w:lang w:val="bg-BG"/>
        </w:rPr>
        <w:tab/>
      </w:r>
      <w:r w:rsidRPr="002B2C20">
        <w:rPr>
          <w:sz w:val="24"/>
          <w:lang w:val="bg-BG"/>
        </w:rPr>
        <w:t>ОВ C 385, 22.9.2021 г., стр. 152</w:t>
      </w:r>
      <w:r w:rsidRPr="002B2C20">
        <w:rPr>
          <w:b/>
          <w:i/>
          <w:sz w:val="24"/>
          <w:lang w:val="bg-BG"/>
        </w:rPr>
        <w:t>.</w:t>
      </w:r>
    </w:p>
  </w:footnote>
  <w:footnote w:id="12">
    <w:p w:rsidR="00833F56" w:rsidRPr="002B2C20" w:rsidRDefault="00833F56" w:rsidP="002B2C20">
      <w:pPr>
        <w:pStyle w:val="FootnoteText"/>
        <w:ind w:left="567" w:hanging="567"/>
        <w:rPr>
          <w:sz w:val="24"/>
          <w:lang w:val="bg-BG"/>
        </w:rPr>
      </w:pPr>
      <w:r w:rsidRPr="002B2C20">
        <w:rPr>
          <w:rStyle w:val="FootnoteReference"/>
          <w:sz w:val="24"/>
          <w:lang w:val="bg-BG"/>
        </w:rPr>
        <w:footnoteRef/>
      </w:r>
      <w:r w:rsidR="002B2C20" w:rsidRPr="002B2C20">
        <w:rPr>
          <w:sz w:val="24"/>
          <w:lang w:val="bg-BG"/>
        </w:rPr>
        <w:t xml:space="preserve"> </w:t>
      </w:r>
      <w:r w:rsidR="002B2C20" w:rsidRPr="002B2C20">
        <w:rPr>
          <w:sz w:val="24"/>
          <w:lang w:val="bg-BG"/>
        </w:rPr>
        <w:tab/>
      </w:r>
      <w:r w:rsidRPr="002B2C20">
        <w:rPr>
          <w:sz w:val="24"/>
          <w:lang w:val="bg-BG"/>
        </w:rPr>
        <w:t xml:space="preserve">International </w:t>
      </w:r>
      <w:proofErr w:type="spellStart"/>
      <w:r w:rsidRPr="002B2C20">
        <w:rPr>
          <w:sz w:val="24"/>
          <w:lang w:val="bg-BG"/>
        </w:rPr>
        <w:t>Federation</w:t>
      </w:r>
      <w:proofErr w:type="spellEnd"/>
      <w:r w:rsidRPr="002B2C20">
        <w:rPr>
          <w:sz w:val="24"/>
          <w:lang w:val="bg-BG"/>
        </w:rPr>
        <w:t xml:space="preserve"> </w:t>
      </w:r>
      <w:proofErr w:type="spellStart"/>
      <w:r w:rsidRPr="002B2C20">
        <w:rPr>
          <w:sz w:val="24"/>
          <w:lang w:val="bg-BG"/>
        </w:rPr>
        <w:t>of</w:t>
      </w:r>
      <w:proofErr w:type="spellEnd"/>
      <w:r w:rsidRPr="002B2C20">
        <w:rPr>
          <w:sz w:val="24"/>
          <w:lang w:val="bg-BG"/>
        </w:rPr>
        <w:t xml:space="preserve"> </w:t>
      </w:r>
      <w:proofErr w:type="spellStart"/>
      <w:r w:rsidRPr="002B2C20">
        <w:rPr>
          <w:sz w:val="24"/>
          <w:lang w:val="bg-BG"/>
        </w:rPr>
        <w:t>Phonography</w:t>
      </w:r>
      <w:proofErr w:type="spellEnd"/>
      <w:r w:rsidRPr="002B2C20">
        <w:rPr>
          <w:sz w:val="24"/>
          <w:lang w:val="bg-BG"/>
        </w:rPr>
        <w:t xml:space="preserve"> </w:t>
      </w:r>
      <w:proofErr w:type="spellStart"/>
      <w:r w:rsidRPr="002B2C20">
        <w:rPr>
          <w:sz w:val="24"/>
          <w:lang w:val="bg-BG"/>
        </w:rPr>
        <w:t>Industry</w:t>
      </w:r>
      <w:proofErr w:type="spellEnd"/>
      <w:r w:rsidRPr="002B2C20">
        <w:rPr>
          <w:sz w:val="24"/>
          <w:lang w:val="bg-BG"/>
        </w:rPr>
        <w:t>, „</w:t>
      </w:r>
      <w:proofErr w:type="spellStart"/>
      <w:r w:rsidRPr="002B2C20">
        <w:rPr>
          <w:sz w:val="24"/>
          <w:lang w:val="bg-BG"/>
        </w:rPr>
        <w:t>Global</w:t>
      </w:r>
      <w:proofErr w:type="spellEnd"/>
      <w:r w:rsidRPr="002B2C20">
        <w:rPr>
          <w:sz w:val="24"/>
          <w:lang w:val="bg-BG"/>
        </w:rPr>
        <w:t xml:space="preserve"> Music </w:t>
      </w:r>
      <w:proofErr w:type="spellStart"/>
      <w:r w:rsidRPr="002B2C20">
        <w:rPr>
          <w:sz w:val="24"/>
          <w:lang w:val="bg-BG"/>
        </w:rPr>
        <w:t>Report</w:t>
      </w:r>
      <w:proofErr w:type="spellEnd"/>
      <w:r w:rsidRPr="002B2C20">
        <w:rPr>
          <w:sz w:val="24"/>
          <w:lang w:val="bg-BG"/>
        </w:rPr>
        <w:t xml:space="preserve"> 2023“ (Глобален доклад за музикалната сфера за 2023 г.), 21 март 2023 г.</w:t>
      </w:r>
    </w:p>
  </w:footnote>
  <w:footnote w:id="13">
    <w:p w:rsidR="00833F56" w:rsidRPr="002B2C20" w:rsidRDefault="00833F56" w:rsidP="002B2C20">
      <w:pPr>
        <w:pStyle w:val="FootnoteText"/>
        <w:ind w:left="567" w:hanging="567"/>
        <w:rPr>
          <w:sz w:val="24"/>
          <w:lang w:val="bg-BG"/>
        </w:rPr>
      </w:pPr>
      <w:r w:rsidRPr="002B2C20">
        <w:rPr>
          <w:rStyle w:val="FootnoteReference"/>
          <w:sz w:val="24"/>
          <w:lang w:val="bg-BG"/>
        </w:rPr>
        <w:footnoteRef/>
      </w:r>
      <w:r w:rsidR="002B2C20" w:rsidRPr="002B2C20">
        <w:rPr>
          <w:sz w:val="24"/>
          <w:lang w:val="bg-BG"/>
        </w:rPr>
        <w:t xml:space="preserve"> </w:t>
      </w:r>
      <w:r w:rsidR="002B2C20" w:rsidRPr="002B2C20">
        <w:rPr>
          <w:sz w:val="24"/>
          <w:lang w:val="bg-BG"/>
        </w:rPr>
        <w:tab/>
      </w:r>
      <w:r w:rsidRPr="002B2C20">
        <w:rPr>
          <w:sz w:val="24"/>
          <w:lang w:val="bg-BG"/>
        </w:rPr>
        <w:t>Брифинг – „</w:t>
      </w:r>
      <w:hyperlink r:id="rId1" w:history="1">
        <w:r w:rsidRPr="002B2C20">
          <w:rPr>
            <w:rStyle w:val="Hyperlink"/>
            <w:sz w:val="24"/>
            <w:lang w:val="bg-BG"/>
          </w:rPr>
          <w:t xml:space="preserve">Изследвания за комисията </w:t>
        </w:r>
        <w:proofErr w:type="spellStart"/>
        <w:r w:rsidRPr="002B2C20">
          <w:rPr>
            <w:rStyle w:val="Hyperlink"/>
            <w:sz w:val="24"/>
            <w:lang w:val="bg-BG"/>
          </w:rPr>
          <w:t>CULT:</w:t>
        </w:r>
      </w:hyperlink>
      <w:hyperlink r:id="rId2" w:history="1">
        <w:r w:rsidRPr="002B2C20">
          <w:rPr>
            <w:rStyle w:val="Hyperlink"/>
            <w:sz w:val="24"/>
            <w:lang w:val="bg-BG"/>
          </w:rPr>
          <w:t>Културното</w:t>
        </w:r>
        <w:proofErr w:type="spellEnd"/>
        <w:r w:rsidRPr="002B2C20">
          <w:rPr>
            <w:rStyle w:val="Hyperlink"/>
            <w:sz w:val="24"/>
            <w:lang w:val="bg-BG"/>
          </w:rPr>
          <w:t xml:space="preserve"> многообразие и условията за авторите в европейския пазар за </w:t>
        </w:r>
        <w:proofErr w:type="spellStart"/>
        <w:r w:rsidRPr="002B2C20">
          <w:rPr>
            <w:rStyle w:val="Hyperlink"/>
            <w:sz w:val="24"/>
            <w:lang w:val="bg-BG"/>
          </w:rPr>
          <w:t>стрийминг</w:t>
        </w:r>
        <w:proofErr w:type="spellEnd"/>
        <w:r w:rsidRPr="002B2C20">
          <w:rPr>
            <w:rStyle w:val="Hyperlink"/>
            <w:sz w:val="24"/>
            <w:lang w:val="bg-BG"/>
          </w:rPr>
          <w:t xml:space="preserve"> на музика:</w:t>
        </w:r>
      </w:hyperlink>
      <w:hyperlink r:id="rId3" w:history="1">
        <w:r w:rsidRPr="002B2C20">
          <w:rPr>
            <w:rStyle w:val="Hyperlink"/>
            <w:sz w:val="24"/>
            <w:lang w:val="bg-BG"/>
          </w:rPr>
          <w:t xml:space="preserve"> библиографски преглед</w:t>
        </w:r>
      </w:hyperlink>
      <w:r w:rsidRPr="002B2C20">
        <w:rPr>
          <w:sz w:val="24"/>
          <w:lang w:val="bg-BG"/>
        </w:rPr>
        <w:t>“, Европейски парламент, Генерална дирекция за вътрешни политики на Съюза, Тематичен отдел за структурни политики и политики на сближаване, юни 2023 г.</w:t>
      </w:r>
    </w:p>
  </w:footnote>
  <w:footnote w:id="14">
    <w:p w:rsidR="00833F56" w:rsidRPr="002B2C20" w:rsidRDefault="00833F56" w:rsidP="002B2C20">
      <w:pPr>
        <w:pStyle w:val="FootnoteText"/>
        <w:ind w:left="567" w:hanging="567"/>
        <w:rPr>
          <w:sz w:val="24"/>
          <w:lang w:val="bg-BG"/>
        </w:rPr>
      </w:pPr>
      <w:r w:rsidRPr="002B2C20">
        <w:rPr>
          <w:rStyle w:val="FootnoteReference"/>
          <w:sz w:val="24"/>
          <w:lang w:val="bg-BG"/>
        </w:rPr>
        <w:footnoteRef/>
      </w:r>
      <w:r w:rsidR="002B2C20" w:rsidRPr="002B2C20">
        <w:rPr>
          <w:sz w:val="24"/>
          <w:lang w:val="bg-BG"/>
        </w:rPr>
        <w:t xml:space="preserve"> </w:t>
      </w:r>
      <w:r w:rsidR="002B2C20" w:rsidRPr="002B2C20">
        <w:rPr>
          <w:sz w:val="24"/>
          <w:lang w:val="bg-BG"/>
        </w:rPr>
        <w:tab/>
      </w:r>
      <w:r w:rsidRPr="002B2C20">
        <w:rPr>
          <w:sz w:val="24"/>
          <w:lang w:val="bg-BG"/>
        </w:rPr>
        <w:t>Съобщение за медиите – „</w:t>
      </w:r>
      <w:hyperlink r:id="rId4" w:history="1">
        <w:r w:rsidRPr="002B2C20">
          <w:rPr>
            <w:rStyle w:val="Hyperlink"/>
            <w:sz w:val="24"/>
            <w:lang w:val="bg-BG"/>
          </w:rPr>
          <w:t>Фалшиви потоци, реално явление:</w:t>
        </w:r>
      </w:hyperlink>
      <w:hyperlink r:id="rId5" w:history="1">
        <w:r w:rsidRPr="002B2C20">
          <w:rPr>
            <w:rStyle w:val="Hyperlink"/>
            <w:sz w:val="24"/>
            <w:lang w:val="bg-BG"/>
          </w:rPr>
          <w:t xml:space="preserve"> CNM работи с отрасъла с цел борба с измамите чрез </w:t>
        </w:r>
        <w:proofErr w:type="spellStart"/>
        <w:r w:rsidRPr="002B2C20">
          <w:rPr>
            <w:rStyle w:val="Hyperlink"/>
            <w:sz w:val="24"/>
            <w:lang w:val="bg-BG"/>
          </w:rPr>
          <w:t>стрийминг</w:t>
        </w:r>
        <w:proofErr w:type="spellEnd"/>
      </w:hyperlink>
      <w:r w:rsidRPr="002B2C20">
        <w:rPr>
          <w:sz w:val="24"/>
          <w:lang w:val="bg-BG"/>
        </w:rPr>
        <w:t xml:space="preserve">“, </w:t>
      </w:r>
      <w:proofErr w:type="spellStart"/>
      <w:r w:rsidRPr="002B2C20">
        <w:rPr>
          <w:sz w:val="24"/>
          <w:lang w:val="bg-BG"/>
        </w:rPr>
        <w:t>Centre</w:t>
      </w:r>
      <w:proofErr w:type="spellEnd"/>
      <w:r w:rsidRPr="002B2C20">
        <w:rPr>
          <w:sz w:val="24"/>
          <w:lang w:val="bg-BG"/>
        </w:rPr>
        <w:t xml:space="preserve"> </w:t>
      </w:r>
      <w:proofErr w:type="spellStart"/>
      <w:r w:rsidRPr="002B2C20">
        <w:rPr>
          <w:sz w:val="24"/>
          <w:lang w:val="bg-BG"/>
        </w:rPr>
        <w:t>national</w:t>
      </w:r>
      <w:proofErr w:type="spellEnd"/>
      <w:r w:rsidRPr="002B2C20">
        <w:rPr>
          <w:sz w:val="24"/>
          <w:lang w:val="bg-BG"/>
        </w:rPr>
        <w:t xml:space="preserve"> </w:t>
      </w:r>
      <w:proofErr w:type="spellStart"/>
      <w:r w:rsidRPr="002B2C20">
        <w:rPr>
          <w:sz w:val="24"/>
          <w:lang w:val="bg-BG"/>
        </w:rPr>
        <w:t>de</w:t>
      </w:r>
      <w:proofErr w:type="spellEnd"/>
      <w:r w:rsidRPr="002B2C20">
        <w:rPr>
          <w:sz w:val="24"/>
          <w:lang w:val="bg-BG"/>
        </w:rPr>
        <w:t xml:space="preserve"> </w:t>
      </w:r>
      <w:proofErr w:type="spellStart"/>
      <w:r w:rsidRPr="002B2C20">
        <w:rPr>
          <w:sz w:val="24"/>
          <w:lang w:val="bg-BG"/>
        </w:rPr>
        <w:t>la</w:t>
      </w:r>
      <w:proofErr w:type="spellEnd"/>
      <w:r w:rsidRPr="002B2C20">
        <w:rPr>
          <w:sz w:val="24"/>
          <w:lang w:val="bg-BG"/>
        </w:rPr>
        <w:t xml:space="preserve"> </w:t>
      </w:r>
      <w:proofErr w:type="spellStart"/>
      <w:r w:rsidRPr="002B2C20">
        <w:rPr>
          <w:sz w:val="24"/>
          <w:lang w:val="bg-BG"/>
        </w:rPr>
        <w:t>musique</w:t>
      </w:r>
      <w:proofErr w:type="spellEnd"/>
      <w:r w:rsidRPr="002B2C20">
        <w:rPr>
          <w:sz w:val="24"/>
          <w:lang w:val="bg-BG"/>
        </w:rPr>
        <w:t>, 16 януари 2023 г.</w:t>
      </w:r>
    </w:p>
  </w:footnote>
  <w:footnote w:id="15">
    <w:p w:rsidR="00833F56" w:rsidRPr="002B2C20" w:rsidRDefault="00833F56" w:rsidP="002B2C20">
      <w:pPr>
        <w:pStyle w:val="FootnoteText"/>
        <w:ind w:left="567" w:hanging="567"/>
        <w:rPr>
          <w:sz w:val="24"/>
          <w:lang w:val="bg-BG"/>
        </w:rPr>
      </w:pPr>
      <w:r w:rsidRPr="002B2C20">
        <w:rPr>
          <w:rStyle w:val="FootnoteReference"/>
          <w:sz w:val="24"/>
          <w:lang w:val="bg-BG"/>
        </w:rPr>
        <w:footnoteRef/>
      </w:r>
      <w:r w:rsidR="002B2C20" w:rsidRPr="002B2C20">
        <w:rPr>
          <w:sz w:val="24"/>
          <w:lang w:val="bg-BG"/>
        </w:rPr>
        <w:t xml:space="preserve"> </w:t>
      </w:r>
      <w:r w:rsidR="002B2C20" w:rsidRPr="002B2C20">
        <w:rPr>
          <w:sz w:val="24"/>
          <w:lang w:val="bg-BG"/>
        </w:rPr>
        <w:tab/>
      </w:r>
      <w:r w:rsidRPr="002B2C20">
        <w:rPr>
          <w:sz w:val="24"/>
          <w:lang w:val="bg-BG"/>
        </w:rPr>
        <w:t xml:space="preserve">Директива 2014/26/ЕС на Европейския парламент и на Съвета от 26 февруари 2014 г. относно колективното управление на авторското право и сродните му права и </w:t>
      </w:r>
      <w:proofErr w:type="spellStart"/>
      <w:r w:rsidRPr="002B2C20">
        <w:rPr>
          <w:sz w:val="24"/>
          <w:lang w:val="bg-BG"/>
        </w:rPr>
        <w:t>многотериториалното</w:t>
      </w:r>
      <w:proofErr w:type="spellEnd"/>
      <w:r w:rsidRPr="002B2C20">
        <w:rPr>
          <w:sz w:val="24"/>
          <w:lang w:val="bg-BG"/>
        </w:rPr>
        <w:t xml:space="preserve"> лицензиране на правата върху музикални произведения за използване онлайн на вътрешния пазар (ОВ L 84, 20.3.2014 г., стр. 72).</w:t>
      </w:r>
    </w:p>
  </w:footnote>
  <w:footnote w:id="16">
    <w:p w:rsidR="00833F56" w:rsidRPr="002B2C20" w:rsidRDefault="00833F56" w:rsidP="002B2C20">
      <w:pPr>
        <w:pStyle w:val="FootnoteText"/>
        <w:ind w:left="567" w:hanging="567"/>
        <w:rPr>
          <w:sz w:val="24"/>
          <w:lang w:val="bg-BG"/>
        </w:rPr>
      </w:pPr>
      <w:r w:rsidRPr="002B2C20">
        <w:rPr>
          <w:rStyle w:val="FootnoteReference"/>
          <w:sz w:val="24"/>
          <w:lang w:val="bg-BG"/>
        </w:rPr>
        <w:footnoteRef/>
      </w:r>
      <w:r w:rsidR="002B2C20" w:rsidRPr="002B2C20">
        <w:rPr>
          <w:sz w:val="24"/>
          <w:lang w:val="bg-BG"/>
        </w:rPr>
        <w:t xml:space="preserve"> </w:t>
      </w:r>
      <w:r w:rsidR="002B2C20" w:rsidRPr="002B2C20">
        <w:rPr>
          <w:sz w:val="24"/>
          <w:lang w:val="bg-BG"/>
        </w:rPr>
        <w:tab/>
      </w:r>
      <w:r w:rsidRPr="002B2C20">
        <w:rPr>
          <w:sz w:val="24"/>
          <w:lang w:val="bg-BG"/>
        </w:rPr>
        <w:t xml:space="preserve">IPI: </w:t>
      </w:r>
      <w:proofErr w:type="spellStart"/>
      <w:r w:rsidRPr="002B2C20">
        <w:rPr>
          <w:sz w:val="24"/>
          <w:lang w:val="bg-BG"/>
        </w:rPr>
        <w:t>Interested</w:t>
      </w:r>
      <w:proofErr w:type="spellEnd"/>
      <w:r w:rsidRPr="002B2C20">
        <w:rPr>
          <w:sz w:val="24"/>
          <w:lang w:val="bg-BG"/>
        </w:rPr>
        <w:t xml:space="preserve"> </w:t>
      </w:r>
      <w:proofErr w:type="spellStart"/>
      <w:r w:rsidRPr="002B2C20">
        <w:rPr>
          <w:sz w:val="24"/>
          <w:lang w:val="bg-BG"/>
        </w:rPr>
        <w:t>Parties</w:t>
      </w:r>
      <w:proofErr w:type="spellEnd"/>
      <w:r w:rsidRPr="002B2C20">
        <w:rPr>
          <w:sz w:val="24"/>
          <w:lang w:val="bg-BG"/>
        </w:rPr>
        <w:t xml:space="preserve"> </w:t>
      </w:r>
      <w:proofErr w:type="spellStart"/>
      <w:r w:rsidRPr="002B2C20">
        <w:rPr>
          <w:sz w:val="24"/>
          <w:lang w:val="bg-BG"/>
        </w:rPr>
        <w:t>Information</w:t>
      </w:r>
      <w:proofErr w:type="spellEnd"/>
      <w:r w:rsidRPr="002B2C20">
        <w:rPr>
          <w:sz w:val="24"/>
          <w:lang w:val="bg-BG"/>
        </w:rPr>
        <w:t>, https://www.ipisystem.org/.</w:t>
      </w:r>
    </w:p>
  </w:footnote>
  <w:footnote w:id="17">
    <w:p w:rsidR="00833F56" w:rsidRPr="002B2C20" w:rsidRDefault="00833F56" w:rsidP="002B2C20">
      <w:pPr>
        <w:pStyle w:val="FootnoteText"/>
        <w:ind w:left="567" w:hanging="567"/>
        <w:rPr>
          <w:sz w:val="24"/>
          <w:lang w:val="bg-BG"/>
        </w:rPr>
      </w:pPr>
      <w:r w:rsidRPr="002B2C20">
        <w:rPr>
          <w:rStyle w:val="FootnoteReference"/>
          <w:sz w:val="24"/>
          <w:lang w:val="bg-BG"/>
        </w:rPr>
        <w:footnoteRef/>
      </w:r>
      <w:r w:rsidR="002B2C20" w:rsidRPr="002B2C20">
        <w:rPr>
          <w:sz w:val="24"/>
          <w:lang w:val="bg-BG"/>
        </w:rPr>
        <w:t xml:space="preserve"> </w:t>
      </w:r>
      <w:r w:rsidR="002B2C20" w:rsidRPr="002B2C20">
        <w:rPr>
          <w:sz w:val="24"/>
          <w:lang w:val="bg-BG"/>
        </w:rPr>
        <w:tab/>
      </w:r>
      <w:r w:rsidRPr="002B2C20">
        <w:rPr>
          <w:sz w:val="24"/>
          <w:lang w:val="bg-BG"/>
        </w:rPr>
        <w:t xml:space="preserve">ISWC: International Standard </w:t>
      </w:r>
      <w:proofErr w:type="spellStart"/>
      <w:r w:rsidRPr="002B2C20">
        <w:rPr>
          <w:sz w:val="24"/>
          <w:lang w:val="bg-BG"/>
        </w:rPr>
        <w:t>Musical</w:t>
      </w:r>
      <w:proofErr w:type="spellEnd"/>
      <w:r w:rsidRPr="002B2C20">
        <w:rPr>
          <w:sz w:val="24"/>
          <w:lang w:val="bg-BG"/>
        </w:rPr>
        <w:t xml:space="preserve"> </w:t>
      </w:r>
      <w:proofErr w:type="spellStart"/>
      <w:r w:rsidRPr="002B2C20">
        <w:rPr>
          <w:sz w:val="24"/>
          <w:lang w:val="bg-BG"/>
        </w:rPr>
        <w:t>Work</w:t>
      </w:r>
      <w:proofErr w:type="spellEnd"/>
      <w:r w:rsidRPr="002B2C20">
        <w:rPr>
          <w:sz w:val="24"/>
          <w:lang w:val="bg-BG"/>
        </w:rPr>
        <w:t xml:space="preserve"> </w:t>
      </w:r>
      <w:proofErr w:type="spellStart"/>
      <w:r w:rsidRPr="002B2C20">
        <w:rPr>
          <w:sz w:val="24"/>
          <w:lang w:val="bg-BG"/>
        </w:rPr>
        <w:t>Code</w:t>
      </w:r>
      <w:proofErr w:type="spellEnd"/>
      <w:r w:rsidRPr="002B2C20">
        <w:rPr>
          <w:sz w:val="24"/>
          <w:lang w:val="bg-BG"/>
        </w:rPr>
        <w:t>, https://www.iswc.org/.</w:t>
      </w:r>
    </w:p>
  </w:footnote>
  <w:footnote w:id="18">
    <w:p w:rsidR="00833F56" w:rsidRPr="002B2C20" w:rsidRDefault="00833F56" w:rsidP="002B2C20">
      <w:pPr>
        <w:pStyle w:val="FootnoteText"/>
        <w:ind w:left="567" w:hanging="567"/>
        <w:rPr>
          <w:sz w:val="24"/>
          <w:lang w:val="bg-BG"/>
        </w:rPr>
      </w:pPr>
      <w:r w:rsidRPr="002B2C20">
        <w:rPr>
          <w:rStyle w:val="FootnoteReference"/>
          <w:sz w:val="24"/>
          <w:lang w:val="bg-BG"/>
        </w:rPr>
        <w:footnoteRef/>
      </w:r>
      <w:r w:rsidR="002B2C20" w:rsidRPr="002B2C20">
        <w:rPr>
          <w:sz w:val="24"/>
          <w:lang w:val="bg-BG"/>
        </w:rPr>
        <w:t xml:space="preserve"> </w:t>
      </w:r>
      <w:r w:rsidR="002B2C20" w:rsidRPr="002B2C20">
        <w:rPr>
          <w:sz w:val="24"/>
          <w:lang w:val="bg-BG"/>
        </w:rPr>
        <w:tab/>
      </w:r>
      <w:r w:rsidRPr="002B2C20">
        <w:rPr>
          <w:sz w:val="24"/>
          <w:lang w:val="bg-BG"/>
        </w:rPr>
        <w:t xml:space="preserve">ISRC: International Standard </w:t>
      </w:r>
      <w:proofErr w:type="spellStart"/>
      <w:r w:rsidRPr="002B2C20">
        <w:rPr>
          <w:sz w:val="24"/>
          <w:lang w:val="bg-BG"/>
        </w:rPr>
        <w:t>Recording</w:t>
      </w:r>
      <w:proofErr w:type="spellEnd"/>
      <w:r w:rsidRPr="002B2C20">
        <w:rPr>
          <w:sz w:val="24"/>
          <w:lang w:val="bg-BG"/>
        </w:rPr>
        <w:t xml:space="preserve"> </w:t>
      </w:r>
      <w:proofErr w:type="spellStart"/>
      <w:r w:rsidRPr="002B2C20">
        <w:rPr>
          <w:sz w:val="24"/>
          <w:lang w:val="bg-BG"/>
        </w:rPr>
        <w:t>Code</w:t>
      </w:r>
      <w:proofErr w:type="spellEnd"/>
      <w:r w:rsidRPr="002B2C20">
        <w:rPr>
          <w:sz w:val="24"/>
          <w:lang w:val="bg-BG"/>
        </w:rPr>
        <w:t>, https://isrc.ifpi.org/en/.</w:t>
      </w:r>
    </w:p>
  </w:footnote>
  <w:footnote w:id="19">
    <w:p w:rsidR="00833F56" w:rsidRPr="002B2C20" w:rsidRDefault="00833F56" w:rsidP="002B2C20">
      <w:pPr>
        <w:pStyle w:val="FootnoteText"/>
        <w:ind w:left="567" w:hanging="567"/>
        <w:rPr>
          <w:sz w:val="24"/>
          <w:lang w:val="bg-BG"/>
        </w:rPr>
      </w:pPr>
      <w:r w:rsidRPr="002B2C20">
        <w:rPr>
          <w:rStyle w:val="FootnoteReference"/>
          <w:sz w:val="24"/>
          <w:lang w:val="bg-BG"/>
        </w:rPr>
        <w:footnoteRef/>
      </w:r>
      <w:r w:rsidR="002B2C20" w:rsidRPr="002B2C20">
        <w:rPr>
          <w:sz w:val="24"/>
          <w:lang w:val="bg-BG"/>
        </w:rPr>
        <w:t xml:space="preserve"> </w:t>
      </w:r>
      <w:r w:rsidR="002B2C20" w:rsidRPr="002B2C20">
        <w:rPr>
          <w:sz w:val="24"/>
          <w:lang w:val="bg-BG"/>
        </w:rPr>
        <w:tab/>
      </w:r>
      <w:r w:rsidRPr="002B2C20">
        <w:rPr>
          <w:sz w:val="24"/>
          <w:lang w:val="bg-BG"/>
        </w:rPr>
        <w:t xml:space="preserve">IPN: International </w:t>
      </w:r>
      <w:proofErr w:type="spellStart"/>
      <w:r w:rsidRPr="002B2C20">
        <w:rPr>
          <w:sz w:val="24"/>
          <w:lang w:val="bg-BG"/>
        </w:rPr>
        <w:t>Performer</w:t>
      </w:r>
      <w:proofErr w:type="spellEnd"/>
      <w:r w:rsidRPr="002B2C20">
        <w:rPr>
          <w:sz w:val="24"/>
          <w:lang w:val="bg-BG"/>
        </w:rPr>
        <w:t xml:space="preserve"> </w:t>
      </w:r>
      <w:proofErr w:type="spellStart"/>
      <w:r w:rsidRPr="002B2C20">
        <w:rPr>
          <w:sz w:val="24"/>
          <w:lang w:val="bg-BG"/>
        </w:rPr>
        <w:t>Number</w:t>
      </w:r>
      <w:proofErr w:type="spellEnd"/>
      <w:r w:rsidRPr="002B2C20">
        <w:rPr>
          <w:sz w:val="24"/>
          <w:lang w:val="bg-BG"/>
        </w:rPr>
        <w:t>, https://www.scapr.org/tools-projects/ipd/.</w:t>
      </w:r>
    </w:p>
  </w:footnote>
  <w:footnote w:id="20">
    <w:p w:rsidR="00833F56" w:rsidRPr="002B2C20" w:rsidRDefault="00833F56" w:rsidP="002B2C20">
      <w:pPr>
        <w:pStyle w:val="FootnoteText"/>
        <w:ind w:left="567" w:hanging="567"/>
        <w:rPr>
          <w:sz w:val="24"/>
          <w:lang w:val="bg-BG"/>
        </w:rPr>
      </w:pPr>
      <w:r w:rsidRPr="002B2C20">
        <w:rPr>
          <w:rStyle w:val="FootnoteReference"/>
          <w:sz w:val="24"/>
          <w:lang w:val="bg-BG"/>
        </w:rPr>
        <w:footnoteRef/>
      </w:r>
      <w:r w:rsidR="002B2C20" w:rsidRPr="002B2C20">
        <w:rPr>
          <w:sz w:val="24"/>
          <w:lang w:val="bg-BG"/>
        </w:rPr>
        <w:t xml:space="preserve"> </w:t>
      </w:r>
      <w:r w:rsidR="002B2C20" w:rsidRPr="002B2C20">
        <w:rPr>
          <w:sz w:val="24"/>
          <w:lang w:val="bg-BG"/>
        </w:rPr>
        <w:tab/>
      </w:r>
      <w:r w:rsidRPr="002B2C20">
        <w:rPr>
          <w:sz w:val="24"/>
          <w:lang w:val="bg-BG"/>
        </w:rPr>
        <w:t xml:space="preserve">ISNI: International Standard </w:t>
      </w:r>
      <w:proofErr w:type="spellStart"/>
      <w:r w:rsidRPr="002B2C20">
        <w:rPr>
          <w:sz w:val="24"/>
          <w:lang w:val="bg-BG"/>
        </w:rPr>
        <w:t>Name</w:t>
      </w:r>
      <w:proofErr w:type="spellEnd"/>
      <w:r w:rsidRPr="002B2C20">
        <w:rPr>
          <w:sz w:val="24"/>
          <w:lang w:val="bg-BG"/>
        </w:rPr>
        <w:t xml:space="preserve"> </w:t>
      </w:r>
      <w:proofErr w:type="spellStart"/>
      <w:r w:rsidRPr="002B2C20">
        <w:rPr>
          <w:sz w:val="24"/>
          <w:lang w:val="bg-BG"/>
        </w:rPr>
        <w:t>Identifier</w:t>
      </w:r>
      <w:proofErr w:type="spellEnd"/>
      <w:r w:rsidRPr="002B2C20">
        <w:rPr>
          <w:sz w:val="24"/>
          <w:lang w:val="bg-BG"/>
        </w:rPr>
        <w:t>, https://isni.org/.</w:t>
      </w:r>
    </w:p>
  </w:footnote>
  <w:footnote w:id="21">
    <w:p w:rsidR="00833F56" w:rsidRPr="002B2C20" w:rsidRDefault="00833F56" w:rsidP="002B2C20">
      <w:pPr>
        <w:pStyle w:val="FootnoteText"/>
        <w:ind w:left="567" w:hanging="567"/>
        <w:rPr>
          <w:sz w:val="24"/>
          <w:lang w:val="bg-BG"/>
        </w:rPr>
      </w:pPr>
      <w:r w:rsidRPr="002B2C20">
        <w:rPr>
          <w:rStyle w:val="FootnoteReference"/>
          <w:sz w:val="24"/>
          <w:lang w:val="bg-BG"/>
        </w:rPr>
        <w:footnoteRef/>
      </w:r>
      <w:r w:rsidR="002B2C20" w:rsidRPr="002B2C20">
        <w:rPr>
          <w:sz w:val="24"/>
          <w:lang w:val="bg-BG"/>
        </w:rPr>
        <w:t xml:space="preserve"> </w:t>
      </w:r>
      <w:r w:rsidR="002B2C20" w:rsidRPr="002B2C20">
        <w:rPr>
          <w:sz w:val="24"/>
          <w:lang w:val="bg-BG"/>
        </w:rPr>
        <w:tab/>
      </w:r>
      <w:proofErr w:type="spellStart"/>
      <w:r w:rsidRPr="002B2C20">
        <w:rPr>
          <w:sz w:val="24"/>
          <w:lang w:val="bg-BG"/>
        </w:rPr>
        <w:t>European</w:t>
      </w:r>
      <w:proofErr w:type="spellEnd"/>
      <w:r w:rsidRPr="002B2C20">
        <w:rPr>
          <w:sz w:val="24"/>
          <w:lang w:val="bg-BG"/>
        </w:rPr>
        <w:t xml:space="preserve"> </w:t>
      </w:r>
      <w:proofErr w:type="spellStart"/>
      <w:r w:rsidRPr="002B2C20">
        <w:rPr>
          <w:sz w:val="24"/>
          <w:lang w:val="bg-BG"/>
        </w:rPr>
        <w:t>Composer</w:t>
      </w:r>
      <w:proofErr w:type="spellEnd"/>
      <w:r w:rsidRPr="002B2C20">
        <w:rPr>
          <w:sz w:val="24"/>
          <w:lang w:val="bg-BG"/>
        </w:rPr>
        <w:t xml:space="preserve"> </w:t>
      </w:r>
      <w:proofErr w:type="spellStart"/>
      <w:r w:rsidRPr="002B2C20">
        <w:rPr>
          <w:sz w:val="24"/>
          <w:lang w:val="bg-BG"/>
        </w:rPr>
        <w:t>and</w:t>
      </w:r>
      <w:proofErr w:type="spellEnd"/>
      <w:r w:rsidRPr="002B2C20">
        <w:rPr>
          <w:sz w:val="24"/>
          <w:lang w:val="bg-BG"/>
        </w:rPr>
        <w:t xml:space="preserve"> </w:t>
      </w:r>
      <w:proofErr w:type="spellStart"/>
      <w:r w:rsidRPr="002B2C20">
        <w:rPr>
          <w:sz w:val="24"/>
          <w:lang w:val="bg-BG"/>
        </w:rPr>
        <w:t>Songwriter</w:t>
      </w:r>
      <w:proofErr w:type="spellEnd"/>
      <w:r w:rsidRPr="002B2C20">
        <w:rPr>
          <w:sz w:val="24"/>
          <w:lang w:val="bg-BG"/>
        </w:rPr>
        <w:t xml:space="preserve"> Alliance (Европейски алианс на композиторите и авторите на песни, „</w:t>
      </w:r>
      <w:proofErr w:type="spellStart"/>
      <w:r w:rsidR="000F02D1">
        <w:fldChar w:fldCharType="begin"/>
      </w:r>
      <w:r w:rsidR="000F02D1" w:rsidRPr="003136CB">
        <w:rPr>
          <w:lang w:val="bg-BG"/>
        </w:rPr>
        <w:instrText xml:space="preserve"> </w:instrText>
      </w:r>
      <w:r w:rsidR="000F02D1">
        <w:instrText>HYPERLINK</w:instrText>
      </w:r>
      <w:r w:rsidR="000F02D1" w:rsidRPr="003136CB">
        <w:rPr>
          <w:lang w:val="bg-BG"/>
        </w:rPr>
        <w:instrText xml:space="preserve"> "</w:instrText>
      </w:r>
      <w:r w:rsidR="000F02D1">
        <w:instrText>https</w:instrText>
      </w:r>
      <w:r w:rsidR="000F02D1" w:rsidRPr="003136CB">
        <w:rPr>
          <w:lang w:val="bg-BG"/>
        </w:rPr>
        <w:instrText>://</w:instrText>
      </w:r>
      <w:r w:rsidR="000F02D1">
        <w:instrText>composeralliance</w:instrText>
      </w:r>
      <w:r w:rsidR="000F02D1" w:rsidRPr="003136CB">
        <w:rPr>
          <w:lang w:val="bg-BG"/>
        </w:rPr>
        <w:instrText>.</w:instrText>
      </w:r>
      <w:r w:rsidR="000F02D1">
        <w:instrText>org</w:instrText>
      </w:r>
      <w:r w:rsidR="000F02D1" w:rsidRPr="003136CB">
        <w:rPr>
          <w:lang w:val="bg-BG"/>
        </w:rPr>
        <w:instrText>/</w:instrText>
      </w:r>
      <w:r w:rsidR="000F02D1">
        <w:instrText>media</w:instrText>
      </w:r>
      <w:r w:rsidR="000F02D1" w:rsidRPr="003136CB">
        <w:rPr>
          <w:lang w:val="bg-BG"/>
        </w:rPr>
        <w:instrText>/1380-</w:instrText>
      </w:r>
      <w:r w:rsidR="000F02D1">
        <w:instrText>ecsa</w:instrText>
      </w:r>
      <w:r w:rsidR="000F02D1" w:rsidRPr="003136CB">
        <w:rPr>
          <w:lang w:val="bg-BG"/>
        </w:rPr>
        <w:instrText>-</w:instrText>
      </w:r>
      <w:r w:rsidR="000F02D1">
        <w:instrText>report</w:instrText>
      </w:r>
      <w:r w:rsidR="000F02D1" w:rsidRPr="003136CB">
        <w:rPr>
          <w:lang w:val="bg-BG"/>
        </w:rPr>
        <w:instrText>-</w:instrText>
      </w:r>
      <w:r w:rsidR="000F02D1">
        <w:instrText>music</w:instrText>
      </w:r>
      <w:r w:rsidR="000F02D1" w:rsidRPr="003136CB">
        <w:rPr>
          <w:lang w:val="bg-BG"/>
        </w:rPr>
        <w:instrText>-</w:instrText>
      </w:r>
      <w:r w:rsidR="000F02D1">
        <w:instrText>streaming</w:instrText>
      </w:r>
      <w:r w:rsidR="000F02D1" w:rsidRPr="003136CB">
        <w:rPr>
          <w:lang w:val="bg-BG"/>
        </w:rPr>
        <w:instrText>-</w:instrText>
      </w:r>
      <w:r w:rsidR="000F02D1">
        <w:instrText>and</w:instrText>
      </w:r>
      <w:r w:rsidR="000F02D1" w:rsidRPr="003136CB">
        <w:rPr>
          <w:lang w:val="bg-BG"/>
        </w:rPr>
        <w:instrText>-</w:instrText>
      </w:r>
      <w:r w:rsidR="000F02D1">
        <w:instrText>its</w:instrText>
      </w:r>
      <w:r w:rsidR="000F02D1" w:rsidRPr="003136CB">
        <w:rPr>
          <w:lang w:val="bg-BG"/>
        </w:rPr>
        <w:instrText>-</w:instrText>
      </w:r>
      <w:r w:rsidR="000F02D1">
        <w:instrText>impact</w:instrText>
      </w:r>
      <w:r w:rsidR="000F02D1" w:rsidRPr="003136CB">
        <w:rPr>
          <w:lang w:val="bg-BG"/>
        </w:rPr>
        <w:instrText>-</w:instrText>
      </w:r>
      <w:r w:rsidR="000F02D1">
        <w:instrText>on</w:instrText>
      </w:r>
      <w:r w:rsidR="000F02D1" w:rsidRPr="003136CB">
        <w:rPr>
          <w:lang w:val="bg-BG"/>
        </w:rPr>
        <w:instrText>-</w:instrText>
      </w:r>
      <w:r w:rsidR="000F02D1">
        <w:instrText>music</w:instrText>
      </w:r>
      <w:r w:rsidR="000F02D1" w:rsidRPr="003136CB">
        <w:rPr>
          <w:lang w:val="bg-BG"/>
        </w:rPr>
        <w:instrText>-</w:instrText>
      </w:r>
      <w:r w:rsidR="000F02D1">
        <w:instrText>authors</w:instrText>
      </w:r>
      <w:r w:rsidR="000F02D1" w:rsidRPr="003136CB">
        <w:rPr>
          <w:lang w:val="bg-BG"/>
        </w:rPr>
        <w:instrText>-.</w:instrText>
      </w:r>
      <w:r w:rsidR="000F02D1">
        <w:instrText>pdf</w:instrText>
      </w:r>
      <w:r w:rsidR="000F02D1" w:rsidRPr="003136CB">
        <w:rPr>
          <w:lang w:val="bg-BG"/>
        </w:rPr>
        <w:instrText xml:space="preserve">" </w:instrText>
      </w:r>
      <w:r w:rsidR="000F02D1">
        <w:fldChar w:fldCharType="separate"/>
      </w:r>
      <w:r w:rsidRPr="002B2C20">
        <w:rPr>
          <w:rStyle w:val="Hyperlink"/>
          <w:sz w:val="24"/>
          <w:lang w:val="bg-BG"/>
        </w:rPr>
        <w:t>Стрийминг</w:t>
      </w:r>
      <w:proofErr w:type="spellEnd"/>
      <w:r w:rsidRPr="002B2C20">
        <w:rPr>
          <w:rStyle w:val="Hyperlink"/>
          <w:sz w:val="24"/>
          <w:lang w:val="bg-BG"/>
        </w:rPr>
        <w:t xml:space="preserve"> на музика и неговото въздействие върху авторите на музикални произведения - защо трябва да „ремонтираме“ </w:t>
      </w:r>
      <w:proofErr w:type="spellStart"/>
      <w:r w:rsidRPr="002B2C20">
        <w:rPr>
          <w:rStyle w:val="Hyperlink"/>
          <w:sz w:val="24"/>
          <w:lang w:val="bg-BG"/>
        </w:rPr>
        <w:t>стрийминга</w:t>
      </w:r>
      <w:proofErr w:type="spellEnd"/>
      <w:r w:rsidRPr="002B2C20">
        <w:rPr>
          <w:rStyle w:val="Hyperlink"/>
          <w:sz w:val="24"/>
          <w:lang w:val="bg-BG"/>
        </w:rPr>
        <w:t xml:space="preserve"> и как да гарантираме устойчиво бъдеще за всички създатели на музика</w:t>
      </w:r>
      <w:r w:rsidR="000F02D1">
        <w:rPr>
          <w:rStyle w:val="Hyperlink"/>
          <w:sz w:val="24"/>
          <w:lang w:val="bg-BG"/>
        </w:rPr>
        <w:fldChar w:fldCharType="end"/>
      </w:r>
      <w:r w:rsidRPr="002B2C20">
        <w:rPr>
          <w:sz w:val="24"/>
          <w:lang w:val="bg-BG"/>
        </w:rPr>
        <w:t>“. юли 2023 г.</w:t>
      </w:r>
    </w:p>
  </w:footnote>
  <w:footnote w:id="22">
    <w:p w:rsidR="00833F56" w:rsidRPr="002B2C20" w:rsidRDefault="00833F56" w:rsidP="002B2C20">
      <w:pPr>
        <w:pStyle w:val="FootnoteText"/>
        <w:ind w:left="567" w:hanging="567"/>
        <w:rPr>
          <w:sz w:val="24"/>
          <w:lang w:val="bg-BG"/>
        </w:rPr>
      </w:pPr>
      <w:r w:rsidRPr="002B2C20">
        <w:rPr>
          <w:rStyle w:val="FootnoteReference"/>
          <w:sz w:val="24"/>
          <w:lang w:val="bg-BG"/>
        </w:rPr>
        <w:footnoteRef/>
      </w:r>
      <w:r w:rsidR="002B2C20" w:rsidRPr="002B2C20">
        <w:rPr>
          <w:sz w:val="24"/>
          <w:lang w:val="bg-BG"/>
        </w:rPr>
        <w:t xml:space="preserve"> </w:t>
      </w:r>
      <w:r w:rsidR="002B2C20" w:rsidRPr="002B2C20">
        <w:rPr>
          <w:sz w:val="24"/>
          <w:lang w:val="bg-BG"/>
        </w:rPr>
        <w:tab/>
      </w:r>
      <w:r w:rsidRPr="002B2C20">
        <w:rPr>
          <w:sz w:val="24"/>
          <w:lang w:val="bg-BG"/>
        </w:rPr>
        <w:t xml:space="preserve">Legrand </w:t>
      </w:r>
      <w:proofErr w:type="spellStart"/>
      <w:r w:rsidRPr="002B2C20">
        <w:rPr>
          <w:sz w:val="24"/>
          <w:lang w:val="bg-BG"/>
        </w:rPr>
        <w:t>Network</w:t>
      </w:r>
      <w:proofErr w:type="spellEnd"/>
      <w:r w:rsidRPr="002B2C20">
        <w:rPr>
          <w:sz w:val="24"/>
          <w:lang w:val="bg-BG"/>
        </w:rPr>
        <w:t>, „</w:t>
      </w:r>
      <w:hyperlink r:id="rId6" w:history="1">
        <w:r w:rsidRPr="002B2C20">
          <w:rPr>
            <w:rStyle w:val="Hyperlink"/>
            <w:sz w:val="24"/>
            <w:lang w:val="bg-BG"/>
          </w:rPr>
          <w:t xml:space="preserve">Проучване относно мястото и ролята на авторите и композиторите в европейския пазар за </w:t>
        </w:r>
        <w:proofErr w:type="spellStart"/>
        <w:r w:rsidRPr="002B2C20">
          <w:rPr>
            <w:rStyle w:val="Hyperlink"/>
            <w:sz w:val="24"/>
            <w:lang w:val="bg-BG"/>
          </w:rPr>
          <w:t>стрийминг</w:t>
        </w:r>
        <w:proofErr w:type="spellEnd"/>
        <w:r w:rsidRPr="002B2C20">
          <w:rPr>
            <w:rStyle w:val="Hyperlink"/>
            <w:sz w:val="24"/>
            <w:lang w:val="bg-BG"/>
          </w:rPr>
          <w:t xml:space="preserve"> на музика</w:t>
        </w:r>
      </w:hyperlink>
      <w:r w:rsidRPr="002B2C20">
        <w:rPr>
          <w:sz w:val="24"/>
          <w:lang w:val="bg-BG"/>
        </w:rPr>
        <w:t xml:space="preserve">“, </w:t>
      </w:r>
      <w:proofErr w:type="spellStart"/>
      <w:r w:rsidRPr="002B2C20">
        <w:rPr>
          <w:sz w:val="24"/>
          <w:lang w:val="bg-BG"/>
        </w:rPr>
        <w:t>European</w:t>
      </w:r>
      <w:proofErr w:type="spellEnd"/>
      <w:r w:rsidRPr="002B2C20">
        <w:rPr>
          <w:sz w:val="24"/>
          <w:lang w:val="bg-BG"/>
        </w:rPr>
        <w:t xml:space="preserve"> </w:t>
      </w:r>
      <w:proofErr w:type="spellStart"/>
      <w:r w:rsidRPr="002B2C20">
        <w:rPr>
          <w:sz w:val="24"/>
          <w:lang w:val="bg-BG"/>
        </w:rPr>
        <w:t>Grouping</w:t>
      </w:r>
      <w:proofErr w:type="spellEnd"/>
      <w:r w:rsidRPr="002B2C20">
        <w:rPr>
          <w:sz w:val="24"/>
          <w:lang w:val="bg-BG"/>
        </w:rPr>
        <w:t xml:space="preserve"> </w:t>
      </w:r>
      <w:proofErr w:type="spellStart"/>
      <w:r w:rsidRPr="002B2C20">
        <w:rPr>
          <w:sz w:val="24"/>
          <w:lang w:val="bg-BG"/>
        </w:rPr>
        <w:t>of</w:t>
      </w:r>
      <w:proofErr w:type="spellEnd"/>
      <w:r w:rsidRPr="002B2C20">
        <w:rPr>
          <w:sz w:val="24"/>
          <w:lang w:val="bg-BG"/>
        </w:rPr>
        <w:t xml:space="preserve"> </w:t>
      </w:r>
      <w:proofErr w:type="spellStart"/>
      <w:r w:rsidRPr="002B2C20">
        <w:rPr>
          <w:sz w:val="24"/>
          <w:lang w:val="bg-BG"/>
        </w:rPr>
        <w:t>Societies</w:t>
      </w:r>
      <w:proofErr w:type="spellEnd"/>
      <w:r w:rsidRPr="002B2C20">
        <w:rPr>
          <w:sz w:val="24"/>
          <w:lang w:val="bg-BG"/>
        </w:rPr>
        <w:t xml:space="preserve"> </w:t>
      </w:r>
      <w:proofErr w:type="spellStart"/>
      <w:r w:rsidRPr="002B2C20">
        <w:rPr>
          <w:sz w:val="24"/>
          <w:lang w:val="bg-BG"/>
        </w:rPr>
        <w:t>of</w:t>
      </w:r>
      <w:proofErr w:type="spellEnd"/>
      <w:r w:rsidRPr="002B2C20">
        <w:rPr>
          <w:sz w:val="24"/>
          <w:lang w:val="bg-BG"/>
        </w:rPr>
        <w:t xml:space="preserve"> </w:t>
      </w:r>
      <w:proofErr w:type="spellStart"/>
      <w:r w:rsidRPr="002B2C20">
        <w:rPr>
          <w:sz w:val="24"/>
          <w:lang w:val="bg-BG"/>
        </w:rPr>
        <w:t>Authors</w:t>
      </w:r>
      <w:proofErr w:type="spellEnd"/>
      <w:r w:rsidRPr="002B2C20">
        <w:rPr>
          <w:sz w:val="24"/>
          <w:lang w:val="bg-BG"/>
        </w:rPr>
        <w:t xml:space="preserve"> </w:t>
      </w:r>
      <w:proofErr w:type="spellStart"/>
      <w:r w:rsidRPr="002B2C20">
        <w:rPr>
          <w:sz w:val="24"/>
          <w:lang w:val="bg-BG"/>
        </w:rPr>
        <w:t>and</w:t>
      </w:r>
      <w:proofErr w:type="spellEnd"/>
      <w:r w:rsidRPr="002B2C20">
        <w:rPr>
          <w:sz w:val="24"/>
          <w:lang w:val="bg-BG"/>
        </w:rPr>
        <w:t xml:space="preserve"> </w:t>
      </w:r>
      <w:proofErr w:type="spellStart"/>
      <w:r w:rsidRPr="002B2C20">
        <w:rPr>
          <w:sz w:val="24"/>
          <w:lang w:val="bg-BG"/>
        </w:rPr>
        <w:t>Composers</w:t>
      </w:r>
      <w:proofErr w:type="spellEnd"/>
      <w:r w:rsidRPr="002B2C20">
        <w:rPr>
          <w:sz w:val="24"/>
          <w:lang w:val="bg-BG"/>
        </w:rPr>
        <w:t>, 28 септември 2022 г./.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2C2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2C2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2C2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8/2023"/>
    <w:docVar w:name="dvlangue" w:val="BG"/>
    <w:docVar w:name="dvnumam" w:val="0"/>
    <w:docVar w:name="dvpe" w:val="750.068"/>
    <w:docVar w:name="dvrapporteur" w:val="Докладчик: "/>
    <w:docVar w:name="dvtitre" w:val="Резолюция на Европейския парламент от ... 2024 г. относно културното многообразие и условията за авторите в европейския пазар за стрийминг на музика(2023/2054(INI))"/>
  </w:docVars>
  <w:rsids>
    <w:rsidRoot w:val="00B7537A"/>
    <w:rsid w:val="00002272"/>
    <w:rsid w:val="00064002"/>
    <w:rsid w:val="000677B9"/>
    <w:rsid w:val="000831BA"/>
    <w:rsid w:val="000A42CC"/>
    <w:rsid w:val="000E7DD9"/>
    <w:rsid w:val="000F02D1"/>
    <w:rsid w:val="0010095E"/>
    <w:rsid w:val="00125B37"/>
    <w:rsid w:val="00187494"/>
    <w:rsid w:val="001F32AE"/>
    <w:rsid w:val="002767FF"/>
    <w:rsid w:val="002B18FE"/>
    <w:rsid w:val="002B2C20"/>
    <w:rsid w:val="002B5493"/>
    <w:rsid w:val="002F0664"/>
    <w:rsid w:val="003136C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585F"/>
    <w:rsid w:val="00817416"/>
    <w:rsid w:val="00833F5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537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59E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467E04"/>
  <w15:chartTrackingRefBased/>
  <w15:docId w15:val="{56209EEC-6C67-4053-9081-8A298ADC0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33F56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833F56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">
    <w:name w:val="Bold"/>
    <w:uiPriority w:val="1"/>
    <w:rsid w:val="00833F56"/>
    <w:rPr>
      <w:b/>
    </w:rPr>
  </w:style>
  <w:style w:type="character" w:customStyle="1" w:styleId="Italic">
    <w:name w:val="Italic"/>
    <w:uiPriority w:val="1"/>
    <w:rsid w:val="00833F56"/>
    <w:rPr>
      <w:i/>
    </w:rPr>
  </w:style>
  <w:style w:type="paragraph" w:customStyle="1" w:styleId="Normal12a24b">
    <w:name w:val="Normal12a24b"/>
    <w:basedOn w:val="Normal"/>
    <w:rsid w:val="00833F56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833F56"/>
    <w:rPr>
      <w:snapToGrid w:val="0"/>
      <w:sz w:val="24"/>
      <w:lang w:val="bg-BG" w:eastAsia="en-US"/>
    </w:rPr>
  </w:style>
  <w:style w:type="character" w:styleId="Hyperlink">
    <w:name w:val="Hyperlink"/>
    <w:basedOn w:val="DefaultParagraphFont"/>
    <w:unhideWhenUsed/>
    <w:rsid w:val="00833F5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2F06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F0664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oparl.europa.eu/RegData/etudes/BRIE/2023/747252/IPOL_BRI(2023)747252_EN.pdf" TargetMode="External"/><Relationship Id="rId2" Type="http://schemas.openxmlformats.org/officeDocument/2006/relationships/hyperlink" Target="https://europarl.europa.eu/RegData/etudes/BRIE/2023/747252/IPOL_BRI(2023)747252_EN.pdf" TargetMode="External"/><Relationship Id="rId1" Type="http://schemas.openxmlformats.org/officeDocument/2006/relationships/hyperlink" Target="https://europarl.europa.eu/RegData/etudes/BRIE/2023/747252/IPOL_BRI(2023)747252_EN.pdf" TargetMode="External"/><Relationship Id="rId6" Type="http://schemas.openxmlformats.org/officeDocument/2006/relationships/hyperlink" Target="https://authorsocieties.eu/content/uploads/2022/09/music-streaming-study-28-9-2022.pdf" TargetMode="External"/><Relationship Id="rId5" Type="http://schemas.openxmlformats.org/officeDocument/2006/relationships/hyperlink" Target="https://cnm.fr/wp-content/uploads/2023/01/CP_CNM_Manipulation-des-streams_ENG.pdf" TargetMode="External"/><Relationship Id="rId4" Type="http://schemas.openxmlformats.org/officeDocument/2006/relationships/hyperlink" Target="https://cnm.fr/wp-content/uploads/2023/01/CP_CNM_Manipulation-des-streams_ENG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721CF-256D-4CDE-8F96-461E673E8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3841</Words>
  <Characters>23289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SEMEDO Teresa_RELEC</cp:lastModifiedBy>
  <cp:revision>4</cp:revision>
  <cp:lastPrinted>2004-11-19T15:42:00Z</cp:lastPrinted>
  <dcterms:created xsi:type="dcterms:W3CDTF">2024-02-14T13:26:00Z</dcterms:created>
  <dcterms:modified xsi:type="dcterms:W3CDTF">2024-07-12T14:57:00Z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A9-0388/2023</vt:lpwstr>
  </property>
  <property fmtid="{D5CDD505-2E9C-101B-9397-08002B2CF9AE}" pid="4" name="&lt;Type&gt;">
    <vt:lpwstr>RR</vt:lpwstr>
  </property>
</Properties>
</file>