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3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E3327" w14:paraId="140287E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A9CBEDD" w14:textId="77777777" w:rsidR="00751A4A" w:rsidRPr="008E3327" w:rsidRDefault="00727FF5" w:rsidP="0010095E">
            <w:pPr>
              <w:pStyle w:val="EPName"/>
            </w:pPr>
            <w:bookmarkStart w:id="0" w:name="_GoBack"/>
            <w:bookmarkEnd w:id="0"/>
            <w:r w:rsidRPr="008E3327">
              <w:t>Parlamento Europeu</w:t>
            </w:r>
          </w:p>
          <w:p w14:paraId="5A52DD4E" w14:textId="77777777" w:rsidR="00751A4A" w:rsidRPr="008E3327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E0D97">
              <w:t>2019</w:t>
            </w:r>
            <w:r w:rsidRPr="008E3327">
              <w:t>-</w:t>
            </w:r>
            <w:r w:rsidRPr="001E0D97">
              <w:t>2024</w:t>
            </w:r>
          </w:p>
        </w:tc>
        <w:tc>
          <w:tcPr>
            <w:tcW w:w="2268" w:type="dxa"/>
            <w:shd w:val="clear" w:color="auto" w:fill="auto"/>
          </w:tcPr>
          <w:p w14:paraId="3800DBF1" w14:textId="77777777" w:rsidR="00751A4A" w:rsidRPr="008E3327" w:rsidRDefault="00187494" w:rsidP="0010095E">
            <w:pPr>
              <w:pStyle w:val="EPLogo"/>
            </w:pPr>
            <w:r w:rsidRPr="008E3327">
              <w:rPr>
                <w:noProof/>
                <w:lang w:val="en-GB"/>
              </w:rPr>
              <w:drawing>
                <wp:inline distT="0" distB="0" distL="0" distR="0" wp14:anchorId="31AE5CF4" wp14:editId="0930CBE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023F96A" w14:textId="77777777" w:rsidR="00D058B8" w:rsidRPr="008E3327" w:rsidRDefault="00D058B8" w:rsidP="004C5D52">
      <w:pPr>
        <w:pStyle w:val="LineTop"/>
      </w:pPr>
    </w:p>
    <w:p w14:paraId="3F242B34" w14:textId="77777777" w:rsidR="00680577" w:rsidRPr="008E3327" w:rsidRDefault="00727FF5" w:rsidP="00680577">
      <w:pPr>
        <w:pStyle w:val="EPBodyTA1"/>
      </w:pPr>
      <w:r w:rsidRPr="008E3327">
        <w:t>TEXTOS APROVADOS</w:t>
      </w:r>
    </w:p>
    <w:p w14:paraId="699A3F9B" w14:textId="77777777" w:rsidR="00D058B8" w:rsidRPr="008E3327" w:rsidRDefault="00D058B8" w:rsidP="00D058B8">
      <w:pPr>
        <w:pStyle w:val="LineBottom"/>
      </w:pPr>
    </w:p>
    <w:p w14:paraId="5D8715B8" w14:textId="16E849CC" w:rsidR="00727FF5" w:rsidRPr="008E3327" w:rsidRDefault="00727FF5" w:rsidP="00727FF5">
      <w:pPr>
        <w:pStyle w:val="ATHeading1"/>
      </w:pPr>
      <w:bookmarkStart w:id="1" w:name="TANumber"/>
      <w:r w:rsidRPr="008E3327">
        <w:t>P</w:t>
      </w:r>
      <w:r w:rsidRPr="001E0D97">
        <w:t>9</w:t>
      </w:r>
      <w:r w:rsidRPr="008E3327">
        <w:t>_TA(</w:t>
      </w:r>
      <w:r w:rsidRPr="001E0D97">
        <w:t>2024</w:t>
      </w:r>
      <w:r w:rsidRPr="008E3327">
        <w:t>)</w:t>
      </w:r>
      <w:bookmarkEnd w:id="1"/>
      <w:r w:rsidR="008E3327" w:rsidRPr="001E0D97">
        <w:t>0022</w:t>
      </w:r>
    </w:p>
    <w:p w14:paraId="225909B7" w14:textId="77777777" w:rsidR="00727FF5" w:rsidRPr="008E3327" w:rsidRDefault="00727FF5" w:rsidP="00727FF5">
      <w:pPr>
        <w:pStyle w:val="ATHeading2"/>
      </w:pPr>
      <w:bookmarkStart w:id="2" w:name="title"/>
      <w:r w:rsidRPr="008E3327">
        <w:t>Promoção da liberdade de investigação científica na UE</w:t>
      </w:r>
      <w:bookmarkEnd w:id="2"/>
    </w:p>
    <w:p w14:paraId="4CD66B1A" w14:textId="77777777" w:rsidR="00727FF5" w:rsidRPr="008E3327" w:rsidRDefault="00727FF5" w:rsidP="00727FF5">
      <w:pPr>
        <w:rPr>
          <w:i/>
          <w:vanish/>
        </w:rPr>
      </w:pPr>
      <w:r w:rsidRPr="008E3327">
        <w:rPr>
          <w:i/>
        </w:rPr>
        <w:fldChar w:fldCharType="begin"/>
      </w:r>
      <w:r w:rsidRPr="008E3327">
        <w:rPr>
          <w:i/>
        </w:rPr>
        <w:instrText xml:space="preserve"> TC"(</w:instrText>
      </w:r>
      <w:bookmarkStart w:id="3" w:name="DocNumber"/>
      <w:r w:rsidRPr="008E3327">
        <w:rPr>
          <w:i/>
        </w:rPr>
        <w:instrText>A</w:instrText>
      </w:r>
      <w:r w:rsidRPr="001E0D97">
        <w:rPr>
          <w:i/>
        </w:rPr>
        <w:instrText>9</w:instrText>
      </w:r>
      <w:r w:rsidRPr="008E3327">
        <w:rPr>
          <w:i/>
        </w:rPr>
        <w:instrText>-</w:instrText>
      </w:r>
      <w:r w:rsidRPr="001E0D97">
        <w:rPr>
          <w:i/>
        </w:rPr>
        <w:instrText>0393</w:instrText>
      </w:r>
      <w:r w:rsidRPr="008E3327">
        <w:rPr>
          <w:i/>
        </w:rPr>
        <w:instrText>/</w:instrText>
      </w:r>
      <w:r w:rsidRPr="001E0D97">
        <w:rPr>
          <w:i/>
        </w:rPr>
        <w:instrText>2023</w:instrText>
      </w:r>
      <w:bookmarkEnd w:id="3"/>
      <w:r w:rsidRPr="008E3327">
        <w:rPr>
          <w:i/>
        </w:rPr>
        <w:instrText xml:space="preserve"> - Relator: Christian Ehler)"\l</w:instrText>
      </w:r>
      <w:r w:rsidRPr="001E0D97">
        <w:rPr>
          <w:i/>
        </w:rPr>
        <w:instrText>3</w:instrText>
      </w:r>
      <w:r w:rsidRPr="008E3327">
        <w:rPr>
          <w:i/>
        </w:rPr>
        <w:instrText xml:space="preserve"> \n&gt; \* MERGEFORMAT </w:instrText>
      </w:r>
      <w:r w:rsidRPr="008E3327">
        <w:rPr>
          <w:i/>
        </w:rPr>
        <w:fldChar w:fldCharType="end"/>
      </w:r>
    </w:p>
    <w:p w14:paraId="58D79212" w14:textId="77777777" w:rsidR="00727FF5" w:rsidRPr="008E3327" w:rsidRDefault="00727FF5" w:rsidP="00727FF5">
      <w:pPr>
        <w:rPr>
          <w:vanish/>
        </w:rPr>
      </w:pPr>
      <w:bookmarkStart w:id="4" w:name="Commission"/>
      <w:r w:rsidRPr="008E3327">
        <w:rPr>
          <w:vanish/>
        </w:rPr>
        <w:t>Comissão da Indústria, da Investigação e da Energia</w:t>
      </w:r>
      <w:bookmarkEnd w:id="4"/>
    </w:p>
    <w:p w14:paraId="610B9D45" w14:textId="77777777" w:rsidR="00727FF5" w:rsidRPr="008E3327" w:rsidRDefault="00727FF5" w:rsidP="00727FF5">
      <w:pPr>
        <w:rPr>
          <w:vanish/>
        </w:rPr>
      </w:pPr>
      <w:bookmarkStart w:id="5" w:name="PE"/>
      <w:r w:rsidRPr="008E3327">
        <w:rPr>
          <w:vanish/>
        </w:rPr>
        <w:t>PE</w:t>
      </w:r>
      <w:r w:rsidRPr="001E0D97">
        <w:rPr>
          <w:vanish/>
        </w:rPr>
        <w:t>751</w:t>
      </w:r>
      <w:r w:rsidRPr="008E3327">
        <w:rPr>
          <w:vanish/>
        </w:rPr>
        <w:t>.</w:t>
      </w:r>
      <w:r w:rsidRPr="001E0D97">
        <w:rPr>
          <w:vanish/>
        </w:rPr>
        <w:t>835</w:t>
      </w:r>
      <w:bookmarkEnd w:id="5"/>
    </w:p>
    <w:p w14:paraId="159D4D04" w14:textId="77FFAF55" w:rsidR="00727FF5" w:rsidRPr="008E3327" w:rsidRDefault="00727FF5" w:rsidP="00727FF5">
      <w:pPr>
        <w:pStyle w:val="ATHeading3"/>
      </w:pPr>
      <w:bookmarkStart w:id="6" w:name="Sujet"/>
      <w:r w:rsidRPr="008E3327">
        <w:t xml:space="preserve">Resolução do Parlamento Europeu, de </w:t>
      </w:r>
      <w:r w:rsidR="00D15421" w:rsidRPr="001E0D97">
        <w:t>17</w:t>
      </w:r>
      <w:r w:rsidR="00D15421" w:rsidRPr="008E3327">
        <w:t xml:space="preserve"> </w:t>
      </w:r>
      <w:r w:rsidRPr="008E3327">
        <w:t xml:space="preserve">de </w:t>
      </w:r>
      <w:r w:rsidR="00D15421" w:rsidRPr="008E3327">
        <w:t xml:space="preserve">janeiro </w:t>
      </w:r>
      <w:r w:rsidRPr="008E3327">
        <w:t xml:space="preserve">de </w:t>
      </w:r>
      <w:r w:rsidRPr="001E0D97">
        <w:t>2024</w:t>
      </w:r>
      <w:r w:rsidRPr="008E3327">
        <w:t>, que contém recomendações à Comissão sobre a promoção da liberdade de investigação científica na UE</w:t>
      </w:r>
      <w:bookmarkEnd w:id="6"/>
      <w:r w:rsidRPr="008E3327">
        <w:t xml:space="preserve"> </w:t>
      </w:r>
      <w:bookmarkStart w:id="7" w:name="References"/>
      <w:r w:rsidRPr="008E3327">
        <w:t>(</w:t>
      </w:r>
      <w:r w:rsidRPr="001E0D97">
        <w:t>2023</w:t>
      </w:r>
      <w:r w:rsidRPr="008E3327">
        <w:t>/</w:t>
      </w:r>
      <w:r w:rsidRPr="001E0D97">
        <w:t>2184</w:t>
      </w:r>
      <w:r w:rsidRPr="008E3327">
        <w:t>(INL))</w:t>
      </w:r>
      <w:bookmarkEnd w:id="7"/>
    </w:p>
    <w:p w14:paraId="4EA049F9" w14:textId="77777777" w:rsidR="00AD487D" w:rsidRPr="008E3327" w:rsidRDefault="00AD487D" w:rsidP="00AD487D">
      <w:pPr>
        <w:pStyle w:val="EPComma"/>
      </w:pPr>
      <w:bookmarkStart w:id="8" w:name="TextBodyBegin"/>
      <w:bookmarkEnd w:id="8"/>
      <w:r w:rsidRPr="008E3327">
        <w:rPr>
          <w:i/>
          <w:iCs/>
        </w:rPr>
        <w:t>O Parlamento Europeu</w:t>
      </w:r>
      <w:r w:rsidRPr="008E3327">
        <w:t>,</w:t>
      </w:r>
    </w:p>
    <w:p w14:paraId="7AB880D5" w14:textId="77777777" w:rsidR="00AD487D" w:rsidRPr="008E3327" w:rsidRDefault="00AD487D" w:rsidP="00AD487D">
      <w:pPr>
        <w:pStyle w:val="NormalHanging12a"/>
      </w:pPr>
      <w:r w:rsidRPr="008E3327">
        <w:t>–</w:t>
      </w:r>
      <w:r w:rsidRPr="008E3327">
        <w:tab/>
        <w:t xml:space="preserve">Tendo em conta os artigos </w:t>
      </w:r>
      <w:r w:rsidRPr="001E0D97">
        <w:t>49</w:t>
      </w:r>
      <w:r w:rsidRPr="008E3327">
        <w:t xml:space="preserve">.º e </w:t>
      </w:r>
      <w:r w:rsidRPr="001E0D97">
        <w:t>56</w:t>
      </w:r>
      <w:r w:rsidRPr="008E3327">
        <w:t xml:space="preserve">.º e o artigo </w:t>
      </w:r>
      <w:r w:rsidRPr="001E0D97">
        <w:t>179</w:t>
      </w:r>
      <w:r w:rsidRPr="008E3327">
        <w:t xml:space="preserve">.º, n.º </w:t>
      </w:r>
      <w:r w:rsidRPr="001E0D97">
        <w:t>1</w:t>
      </w:r>
      <w:r w:rsidRPr="008E3327">
        <w:t xml:space="preserve">, </w:t>
      </w:r>
      <w:r w:rsidR="00D15421" w:rsidRPr="008E3327">
        <w:t xml:space="preserve">e o artigo </w:t>
      </w:r>
      <w:r w:rsidR="00D15421" w:rsidRPr="001E0D97">
        <w:t>225</w:t>
      </w:r>
      <w:r w:rsidR="00D15421" w:rsidRPr="008E3327">
        <w:t xml:space="preserve">.º, </w:t>
      </w:r>
      <w:r w:rsidRPr="008E3327">
        <w:t>do Tratado sobre o Funcionamento da União Europeia,</w:t>
      </w:r>
    </w:p>
    <w:p w14:paraId="13337447" w14:textId="77777777" w:rsidR="00AD487D" w:rsidRPr="008E3327" w:rsidRDefault="00AD487D" w:rsidP="00AD487D">
      <w:pPr>
        <w:pStyle w:val="NormalHanging12a"/>
        <w:rPr>
          <w:szCs w:val="24"/>
        </w:rPr>
      </w:pPr>
      <w:r w:rsidRPr="008E3327">
        <w:t>–</w:t>
      </w:r>
      <w:r w:rsidRPr="008E3327">
        <w:tab/>
        <w:t xml:space="preserve">Tendo em conta os artigos </w:t>
      </w:r>
      <w:r w:rsidRPr="001E0D97">
        <w:t>12</w:t>
      </w:r>
      <w:r w:rsidRPr="008E3327">
        <w:t xml:space="preserve">.º e </w:t>
      </w:r>
      <w:r w:rsidRPr="001E0D97">
        <w:t>13</w:t>
      </w:r>
      <w:r w:rsidRPr="008E3327">
        <w:t>.º da Carta dos Direitos Fundamentais da União Europeia,</w:t>
      </w:r>
    </w:p>
    <w:p w14:paraId="380075E0" w14:textId="77777777" w:rsidR="00AD487D" w:rsidRPr="008E3327" w:rsidRDefault="00AD487D" w:rsidP="00AD487D">
      <w:pPr>
        <w:pStyle w:val="NormalHanging12a"/>
      </w:pPr>
      <w:r w:rsidRPr="008E3327">
        <w:t>–</w:t>
      </w:r>
      <w:r w:rsidRPr="008E3327">
        <w:tab/>
        <w:t xml:space="preserve">Tendo em conta a Declaração de Bona sobre a liberdade de investigação científica, adotada em </w:t>
      </w:r>
      <w:r w:rsidRPr="001E0D97">
        <w:t>20</w:t>
      </w:r>
      <w:r w:rsidRPr="008E3327">
        <w:t xml:space="preserve"> de outubro de </w:t>
      </w:r>
      <w:r w:rsidRPr="001E0D97">
        <w:t>2020</w:t>
      </w:r>
      <w:r w:rsidRPr="008E3327">
        <w:t xml:space="preserve"> na Conferência Ministerial sobre o Espaço Europeu da Investigação, em Bona (a «Declaração de Bona»),</w:t>
      </w:r>
    </w:p>
    <w:p w14:paraId="04B6E10E" w14:textId="77777777" w:rsidR="00AD487D" w:rsidRPr="008E3327" w:rsidRDefault="00AD487D" w:rsidP="00AD487D">
      <w:pPr>
        <w:pStyle w:val="NormalHanging12a"/>
        <w:rPr>
          <w:szCs w:val="24"/>
        </w:rPr>
      </w:pPr>
      <w:r w:rsidRPr="008E3327">
        <w:t>–</w:t>
      </w:r>
      <w:r w:rsidRPr="008E3327">
        <w:tab/>
        <w:t xml:space="preserve">Tendo em conta a Comunicação da Comissão, de </w:t>
      </w:r>
      <w:r w:rsidRPr="001E0D97">
        <w:t>30</w:t>
      </w:r>
      <w:r w:rsidRPr="008E3327">
        <w:t xml:space="preserve"> de setembro de </w:t>
      </w:r>
      <w:r w:rsidRPr="001E0D97">
        <w:t>2020</w:t>
      </w:r>
      <w:r w:rsidRPr="008E3327">
        <w:t>, intitulada «Um novo EEI para a Investigação e a Inovação»,</w:t>
      </w:r>
    </w:p>
    <w:p w14:paraId="76E47EEB" w14:textId="77777777" w:rsidR="00AD487D" w:rsidRPr="008E3327" w:rsidRDefault="00AD487D" w:rsidP="00AD487D">
      <w:pPr>
        <w:pStyle w:val="NormalHanging12a"/>
        <w:rPr>
          <w:szCs w:val="24"/>
        </w:rPr>
      </w:pPr>
      <w:r w:rsidRPr="008E3327">
        <w:t>–</w:t>
      </w:r>
      <w:r w:rsidRPr="008E3327">
        <w:tab/>
        <w:t xml:space="preserve">Tendo em conta a Comunicação da Comissão, de </w:t>
      </w:r>
      <w:r w:rsidRPr="001E0D97">
        <w:t>18</w:t>
      </w:r>
      <w:r w:rsidRPr="008E3327">
        <w:t xml:space="preserve"> de maio de </w:t>
      </w:r>
      <w:r w:rsidRPr="001E0D97">
        <w:t>2021</w:t>
      </w:r>
      <w:r w:rsidRPr="008E3327">
        <w:t>, sobre a abordagem global da investigação e inovação, intitulada «Estratégia da Europa para a cooperação internacional num mundo em mutação»,</w:t>
      </w:r>
    </w:p>
    <w:p w14:paraId="36E5FD59" w14:textId="77777777" w:rsidR="00AD487D" w:rsidRPr="008E3327" w:rsidRDefault="00AD487D" w:rsidP="00AD487D">
      <w:pPr>
        <w:pStyle w:val="NormalHanging12a"/>
      </w:pPr>
      <w:r w:rsidRPr="008E3327">
        <w:t>–</w:t>
      </w:r>
      <w:r w:rsidRPr="008E3327">
        <w:tab/>
        <w:t xml:space="preserve">Tendo em conta a Agenda Estratégica do Espaço Europeu da Investigação, Ação </w:t>
      </w:r>
      <w:r w:rsidRPr="001E0D97">
        <w:t>6</w:t>
      </w:r>
      <w:r w:rsidRPr="008E3327">
        <w:t>,</w:t>
      </w:r>
    </w:p>
    <w:p w14:paraId="30352277" w14:textId="77777777" w:rsidR="00AD487D" w:rsidRPr="008E3327" w:rsidRDefault="00AD487D" w:rsidP="00AD487D">
      <w:pPr>
        <w:pStyle w:val="NormalHanging12a"/>
      </w:pPr>
      <w:r w:rsidRPr="008E3327">
        <w:t>–</w:t>
      </w:r>
      <w:r w:rsidRPr="008E3327">
        <w:tab/>
        <w:t xml:space="preserve">Tendo em conta a Comunicação da Comissão, de </w:t>
      </w:r>
      <w:r w:rsidRPr="001E0D97">
        <w:t>3</w:t>
      </w:r>
      <w:r w:rsidRPr="008E3327">
        <w:t xml:space="preserve"> de dezembro de </w:t>
      </w:r>
      <w:r w:rsidRPr="001E0D97">
        <w:t>2020</w:t>
      </w:r>
      <w:r w:rsidRPr="008E3327">
        <w:t>, sobre o plano de ação para a democracia europeia,</w:t>
      </w:r>
    </w:p>
    <w:p w14:paraId="0177EEA0" w14:textId="77777777" w:rsidR="00AD487D" w:rsidRPr="008E3327" w:rsidRDefault="00AD487D" w:rsidP="00AD487D">
      <w:pPr>
        <w:pStyle w:val="NormalHanging12a"/>
      </w:pPr>
      <w:r w:rsidRPr="008E3327">
        <w:t>–</w:t>
      </w:r>
      <w:r w:rsidRPr="008E3327">
        <w:tab/>
        <w:t xml:space="preserve">Tendo em conta o considerando </w:t>
      </w:r>
      <w:r w:rsidRPr="001E0D97">
        <w:t>72</w:t>
      </w:r>
      <w:r w:rsidRPr="008E3327">
        <w:t xml:space="preserve"> do Regulamento (UE) </w:t>
      </w:r>
      <w:r w:rsidRPr="001E0D97">
        <w:t>2021</w:t>
      </w:r>
      <w:r w:rsidRPr="008E3327">
        <w:t>/</w:t>
      </w:r>
      <w:r w:rsidRPr="001E0D97">
        <w:t>695</w:t>
      </w:r>
      <w:r w:rsidRPr="008E3327">
        <w:t xml:space="preserve"> do Parlamento Europeu e do Conselho que estabelece o Horizonte Europa – Programa-Quadro de Investigação e Inovação, que define as suas regras de participação e difusão, e que </w:t>
      </w:r>
      <w:r w:rsidRPr="008E3327">
        <w:lastRenderedPageBreak/>
        <w:t xml:space="preserve">revoga os Regulamentos (UE) n.º </w:t>
      </w:r>
      <w:r w:rsidRPr="001E0D97">
        <w:t>1290</w:t>
      </w:r>
      <w:r w:rsidRPr="008E3327">
        <w:t>/</w:t>
      </w:r>
      <w:r w:rsidRPr="001E0D97">
        <w:t>2013</w:t>
      </w:r>
      <w:r w:rsidRPr="008E3327">
        <w:t xml:space="preserve"> e (UE) n.º </w:t>
      </w:r>
      <w:r w:rsidRPr="001E0D97">
        <w:t>1291</w:t>
      </w:r>
      <w:r w:rsidRPr="008E3327">
        <w:t>/</w:t>
      </w:r>
      <w:r w:rsidRPr="001E0D97">
        <w:t>2013</w:t>
      </w:r>
      <w:r w:rsidRPr="008E3327">
        <w:rPr>
          <w:rStyle w:val="FootnoteReference"/>
        </w:rPr>
        <w:footnoteReference w:id="1"/>
      </w:r>
      <w:r w:rsidRPr="008E3327">
        <w:t>,</w:t>
      </w:r>
    </w:p>
    <w:p w14:paraId="710A16DC" w14:textId="3AAC8FF2" w:rsidR="00AD487D" w:rsidRPr="008E3327" w:rsidRDefault="00AD487D" w:rsidP="00AD487D">
      <w:pPr>
        <w:pStyle w:val="NormalHanging12a"/>
        <w:rPr>
          <w:szCs w:val="24"/>
        </w:rPr>
      </w:pPr>
      <w:r w:rsidRPr="008E3327">
        <w:t>–</w:t>
      </w:r>
      <w:r w:rsidRPr="008E3327">
        <w:tab/>
        <w:t xml:space="preserve">Tendo em conta a Avaliação de </w:t>
      </w:r>
      <w:r w:rsidRPr="001E0D97">
        <w:t>2023</w:t>
      </w:r>
      <w:r w:rsidRPr="008E3327">
        <w:t xml:space="preserve"> do valor acrescentado europeu da promoção da liberdade de investigação científica apresentada pela Unidade do Valor Acrescentado Europeu à Comissão da Indústria, da Investigação e </w:t>
      </w:r>
      <w:r w:rsidR="007009ED" w:rsidRPr="008E3327">
        <w:t xml:space="preserve">da Energia em </w:t>
      </w:r>
      <w:r w:rsidR="007009ED" w:rsidRPr="001E0D97">
        <w:t>18</w:t>
      </w:r>
      <w:r w:rsidR="007009ED" w:rsidRPr="008E3327">
        <w:t xml:space="preserve"> de setembro de </w:t>
      </w:r>
      <w:r w:rsidRPr="001E0D97">
        <w:t>2023</w:t>
      </w:r>
      <w:r w:rsidRPr="008E3327">
        <w:t>,</w:t>
      </w:r>
    </w:p>
    <w:p w14:paraId="2B1BF29B" w14:textId="77777777" w:rsidR="00AD487D" w:rsidRPr="008E3327" w:rsidRDefault="00AD487D" w:rsidP="00AD487D">
      <w:pPr>
        <w:pStyle w:val="NormalHanging12a"/>
      </w:pPr>
      <w:r w:rsidRPr="008E3327">
        <w:t>–</w:t>
      </w:r>
      <w:r w:rsidRPr="008E3327">
        <w:tab/>
        <w:t xml:space="preserve">Tendo em conta o Comunicado Ministerial de Roma, de </w:t>
      </w:r>
      <w:r w:rsidRPr="001E0D97">
        <w:t>19</w:t>
      </w:r>
      <w:r w:rsidRPr="008E3327">
        <w:t xml:space="preserve"> de novembro de </w:t>
      </w:r>
      <w:r w:rsidRPr="001E0D97">
        <w:t>2020</w:t>
      </w:r>
      <w:r w:rsidRPr="008E3327">
        <w:t>, dos ministros europeus responsáveis pela pasta do ensino superior, no âmbito do Espaço Europeu do Ensino Superior, em particular o Anexo I sobre a liberdade académica,</w:t>
      </w:r>
    </w:p>
    <w:p w14:paraId="6A36ECE9" w14:textId="77777777" w:rsidR="00AD487D" w:rsidRPr="008E3327" w:rsidRDefault="00AD487D" w:rsidP="00AD487D">
      <w:pPr>
        <w:pStyle w:val="NormalHanging12a"/>
      </w:pPr>
      <w:r w:rsidRPr="008E3327">
        <w:t>–</w:t>
      </w:r>
      <w:r w:rsidRPr="008E3327">
        <w:tab/>
        <w:t xml:space="preserve">Tendo em conta o parecer do Fórum Estratégico para a Cooperação Científica e Tecnológica Internacional (FECI) relativa à aplicação da Declaração de Bona sobre a cooperação internacional em matéria de investigação e inovação (CEEI-FECI </w:t>
      </w:r>
      <w:r w:rsidRPr="001E0D97">
        <w:t>1356</w:t>
      </w:r>
      <w:r w:rsidRPr="008E3327">
        <w:t>/</w:t>
      </w:r>
      <w:r w:rsidRPr="001E0D97">
        <w:t>21</w:t>
      </w:r>
      <w:r w:rsidRPr="008E3327">
        <w:t>) (</w:t>
      </w:r>
      <w:r w:rsidRPr="001E0D97">
        <w:t>2021</w:t>
      </w:r>
      <w:r w:rsidRPr="008E3327">
        <w:t>),</w:t>
      </w:r>
    </w:p>
    <w:p w14:paraId="582BA738" w14:textId="77777777" w:rsidR="00AD487D" w:rsidRPr="008E3327" w:rsidRDefault="00AD487D" w:rsidP="00AD487D">
      <w:pPr>
        <w:pStyle w:val="NormalHanging12a"/>
      </w:pPr>
      <w:r w:rsidRPr="008E3327">
        <w:t>–</w:t>
      </w:r>
      <w:r w:rsidRPr="008E3327">
        <w:tab/>
        <w:t>Tendo em conta a Recomendação da UNESCO sobre a ciência e os investigadores científicos (</w:t>
      </w:r>
      <w:r w:rsidRPr="001E0D97">
        <w:t>2017</w:t>
      </w:r>
      <w:r w:rsidRPr="008E3327">
        <w:t>),</w:t>
      </w:r>
    </w:p>
    <w:p w14:paraId="1DBB03DC" w14:textId="77777777" w:rsidR="00AD487D" w:rsidRPr="008E3327" w:rsidRDefault="00AD487D" w:rsidP="00AD487D">
      <w:pPr>
        <w:pStyle w:val="NormalHanging12a"/>
      </w:pPr>
      <w:r w:rsidRPr="008E3327">
        <w:t>–</w:t>
      </w:r>
      <w:r w:rsidRPr="008E3327">
        <w:tab/>
        <w:t xml:space="preserve">Tendo em conta a Recomendação relativa ao Estatuto do Pessoal Docente do Ensino Superior, adotada pela Conferência Geral da Organização das Nações Unidas para a Educação, a Ciência e a Cultura (UNESCO) na sua </w:t>
      </w:r>
      <w:r w:rsidRPr="001E0D97">
        <w:t>29</w:t>
      </w:r>
      <w:r w:rsidRPr="008E3327">
        <w:t xml:space="preserve">.ª sessão, de </w:t>
      </w:r>
      <w:r w:rsidRPr="001E0D97">
        <w:t>21</w:t>
      </w:r>
      <w:r w:rsidRPr="008E3327">
        <w:t xml:space="preserve"> de outubro a </w:t>
      </w:r>
      <w:r w:rsidRPr="001E0D97">
        <w:t>12</w:t>
      </w:r>
      <w:r w:rsidRPr="008E3327">
        <w:t xml:space="preserve"> de novembro de </w:t>
      </w:r>
      <w:r w:rsidRPr="001E0D97">
        <w:t>1997</w:t>
      </w:r>
      <w:r w:rsidRPr="008E3327">
        <w:t>,</w:t>
      </w:r>
    </w:p>
    <w:p w14:paraId="2A8FD3B5" w14:textId="77777777" w:rsidR="00AD487D" w:rsidRPr="008E3327" w:rsidRDefault="00AD487D" w:rsidP="00AD487D">
      <w:pPr>
        <w:pStyle w:val="NormalHanging12a"/>
      </w:pPr>
      <w:r w:rsidRPr="008E3327">
        <w:t>–</w:t>
      </w:r>
      <w:r w:rsidRPr="008E3327">
        <w:tab/>
        <w:t>Tendo em conta o Pacto Internacional sobre os Direitos Civis e Políticos,</w:t>
      </w:r>
    </w:p>
    <w:p w14:paraId="6AB996DA" w14:textId="77777777" w:rsidR="00AD487D" w:rsidRPr="008E3327" w:rsidRDefault="00AD487D" w:rsidP="00AD487D">
      <w:pPr>
        <w:pStyle w:val="NormalHanging12a"/>
      </w:pPr>
      <w:r w:rsidRPr="008E3327">
        <w:t>–</w:t>
      </w:r>
      <w:r w:rsidRPr="008E3327">
        <w:tab/>
        <w:t>Tendo em conta o Pacto Internacional sobre os Direitos Económicos, Sociais e Culturais,</w:t>
      </w:r>
    </w:p>
    <w:p w14:paraId="6CDD09B3" w14:textId="77777777" w:rsidR="00AD487D" w:rsidRPr="008E3327" w:rsidRDefault="00AD487D" w:rsidP="00AD487D">
      <w:pPr>
        <w:pStyle w:val="NormalHanging12a"/>
      </w:pPr>
      <w:r w:rsidRPr="008E3327">
        <w:t>–</w:t>
      </w:r>
      <w:r w:rsidRPr="008E3327">
        <w:tab/>
        <w:t>Tendo em conta a Declaração Universal dos Direitos Humanos,</w:t>
      </w:r>
    </w:p>
    <w:p w14:paraId="76CA166E" w14:textId="77777777" w:rsidR="00AD487D" w:rsidRPr="008E3327" w:rsidRDefault="00AD487D" w:rsidP="00AD487D">
      <w:pPr>
        <w:tabs>
          <w:tab w:val="left" w:pos="567"/>
        </w:tabs>
        <w:spacing w:after="240"/>
        <w:rPr>
          <w:szCs w:val="24"/>
        </w:rPr>
      </w:pPr>
      <w:r w:rsidRPr="008E3327">
        <w:t>–</w:t>
      </w:r>
      <w:r w:rsidRPr="008E3327">
        <w:tab/>
        <w:t xml:space="preserve">Tendo em conta os artigos </w:t>
      </w:r>
      <w:r w:rsidRPr="001E0D97">
        <w:t>47</w:t>
      </w:r>
      <w:r w:rsidRPr="008E3327">
        <w:t xml:space="preserve">.º e </w:t>
      </w:r>
      <w:r w:rsidRPr="001E0D97">
        <w:t>54</w:t>
      </w:r>
      <w:r w:rsidRPr="008E3327">
        <w:t>.º, do seu Regimento,</w:t>
      </w:r>
    </w:p>
    <w:p w14:paraId="41CB6449" w14:textId="77777777" w:rsidR="00AD487D" w:rsidRPr="008E3327" w:rsidRDefault="00AD487D" w:rsidP="00AD487D">
      <w:pPr>
        <w:pStyle w:val="NormalHanging12a"/>
        <w:rPr>
          <w:szCs w:val="24"/>
        </w:rPr>
      </w:pPr>
      <w:r w:rsidRPr="008E3327">
        <w:t>–</w:t>
      </w:r>
      <w:r w:rsidRPr="008E3327">
        <w:tab/>
        <w:t>Tendo em conta o Fórum Estratégico para a Cooperação C&amp;T Internacional,</w:t>
      </w:r>
    </w:p>
    <w:p w14:paraId="32D314C5" w14:textId="033D0865" w:rsidR="00AD487D" w:rsidRPr="008E3327" w:rsidRDefault="00AD487D" w:rsidP="00AD487D">
      <w:pPr>
        <w:pStyle w:val="NormalHanging12a"/>
      </w:pPr>
      <w:r w:rsidRPr="008E3327">
        <w:t>–</w:t>
      </w:r>
      <w:r w:rsidRPr="008E3327">
        <w:tab/>
        <w:t>Tendo em conta o relatório da Comissão da Indústria, d</w:t>
      </w:r>
      <w:r w:rsidR="00D669D6" w:rsidRPr="008E3327">
        <w:t>a Investigação e da Energia (A</w:t>
      </w:r>
      <w:r w:rsidR="00D669D6" w:rsidRPr="001E0D97">
        <w:t>9</w:t>
      </w:r>
      <w:r w:rsidR="00D669D6" w:rsidRPr="008E3327">
        <w:noBreakHyphen/>
      </w:r>
      <w:r w:rsidRPr="001E0D97">
        <w:t>0393</w:t>
      </w:r>
      <w:r w:rsidRPr="008E3327">
        <w:t>/</w:t>
      </w:r>
      <w:r w:rsidRPr="001E0D97">
        <w:t>2023</w:t>
      </w:r>
      <w:r w:rsidRPr="008E3327">
        <w:t>),</w:t>
      </w:r>
    </w:p>
    <w:p w14:paraId="66D091A5" w14:textId="4A0EC5C1" w:rsidR="00AD487D" w:rsidRPr="008E3327" w:rsidRDefault="00AD487D" w:rsidP="00AD487D">
      <w:pPr>
        <w:pStyle w:val="NormalHanging12a"/>
        <w:rPr>
          <w:szCs w:val="24"/>
        </w:rPr>
      </w:pPr>
      <w:r w:rsidRPr="008E3327">
        <w:t>A.</w:t>
      </w:r>
      <w:r w:rsidRPr="008E3327">
        <w:tab/>
        <w:t>Considerando que a liberdade de investigação científica, que é um elemento fundamental da democracia e um dos elementos constitutivos da liberdade académica, está sob pressão na União e a erodir-se gradualmente</w:t>
      </w:r>
      <w:r w:rsidRPr="008E3327">
        <w:rPr>
          <w:vertAlign w:val="superscript"/>
        </w:rPr>
        <w:footnoteReference w:id="2"/>
      </w:r>
      <w:r w:rsidR="007009ED" w:rsidRPr="008E3327">
        <w:t>, como ilustra o facto de, em </w:t>
      </w:r>
      <w:r w:rsidRPr="001E0D97">
        <w:t>2008</w:t>
      </w:r>
      <w:r w:rsidRPr="008E3327">
        <w:t xml:space="preserve">, todos os Estados-Membros terem obtido uma pontuação de </w:t>
      </w:r>
      <w:r w:rsidRPr="001E0D97">
        <w:t>0</w:t>
      </w:r>
      <w:r w:rsidRPr="008E3327">
        <w:t>,</w:t>
      </w:r>
      <w:r w:rsidRPr="001E0D97">
        <w:t>85</w:t>
      </w:r>
      <w:r w:rsidRPr="008E3327">
        <w:t xml:space="preserve"> no Índice de Liberdade Académica, ao passo que, em </w:t>
      </w:r>
      <w:r w:rsidRPr="001E0D97">
        <w:t>2022</w:t>
      </w:r>
      <w:r w:rsidRPr="008E3327">
        <w:t xml:space="preserve">, alguns Estados-Membros registaram um queda considerável no índice, com a pontuação mais baixa fixada nos </w:t>
      </w:r>
      <w:r w:rsidRPr="001E0D97">
        <w:t>0</w:t>
      </w:r>
      <w:r w:rsidRPr="008E3327">
        <w:t>,</w:t>
      </w:r>
      <w:r w:rsidRPr="001E0D97">
        <w:t>34</w:t>
      </w:r>
      <w:r w:rsidRPr="008E3327">
        <w:t xml:space="preserve"> pontos;</w:t>
      </w:r>
    </w:p>
    <w:p w14:paraId="6A705D1A" w14:textId="77777777" w:rsidR="00AD487D" w:rsidRPr="008E3327" w:rsidRDefault="00AD487D" w:rsidP="00AD487D">
      <w:pPr>
        <w:pStyle w:val="NormalHanging12a"/>
        <w:rPr>
          <w:szCs w:val="24"/>
        </w:rPr>
      </w:pPr>
      <w:r w:rsidRPr="008E3327">
        <w:t>B.</w:t>
      </w:r>
      <w:r w:rsidRPr="008E3327">
        <w:tab/>
        <w:t xml:space="preserve">Considerando que as restrições à liberdade de investigação científica têm um impacto </w:t>
      </w:r>
      <w:r w:rsidRPr="008E3327">
        <w:lastRenderedPageBreak/>
        <w:t>negativo na economia da UE, travando a inovação, atrasando o progresso científico e reduzindo a competitividade global da Europa;</w:t>
      </w:r>
    </w:p>
    <w:p w14:paraId="73B09971" w14:textId="77777777" w:rsidR="00AD487D" w:rsidRPr="008E3327" w:rsidRDefault="00AD487D" w:rsidP="00AD487D">
      <w:pPr>
        <w:pStyle w:val="NormalHanging12a"/>
        <w:rPr>
          <w:szCs w:val="24"/>
        </w:rPr>
      </w:pPr>
      <w:r w:rsidRPr="008E3327">
        <w:t>C.</w:t>
      </w:r>
      <w:r w:rsidRPr="008E3327">
        <w:tab/>
        <w:t>Considerando que a erosão da liberdade de investigação científica contribui para a fuga de cérebros dos melhores investigadores, para a autocensura entre académicos, para uma análise menos crítica sobre questões sociais e políticas, para uma menor colaboração interdisciplinar, para menos debate público;</w:t>
      </w:r>
    </w:p>
    <w:p w14:paraId="58FB6C93" w14:textId="34E7D464" w:rsidR="00AD487D" w:rsidRPr="008E3327" w:rsidRDefault="00AD487D" w:rsidP="00AD487D">
      <w:pPr>
        <w:pStyle w:val="NormalHanging12a"/>
        <w:rPr>
          <w:szCs w:val="24"/>
        </w:rPr>
      </w:pPr>
      <w:r w:rsidRPr="008E3327">
        <w:t>D.</w:t>
      </w:r>
      <w:r w:rsidRPr="008E3327">
        <w:tab/>
        <w:t>Considerando que a precariedade laboral afeta a capacidade dos cidadãos de usufruírem plenamente da liberdade de investigação científica</w:t>
      </w:r>
      <w:r w:rsidR="00D15421" w:rsidRPr="008E3327">
        <w:t>; considerando que</w:t>
      </w:r>
      <w:r w:rsidRPr="008E3327">
        <w:t xml:space="preserve"> milhares de investigadores trabalham com financiamento de projetos de duração limitada, através de bolsas de investigação individuais ou afetas a projetos, de contratos de trabalho a termo certo ou do desempenho de funções específicas em regime de trabalhadores independentes, dispondo de uma segurança e proteção precárias no quadro de relações laborais;</w:t>
      </w:r>
    </w:p>
    <w:p w14:paraId="40812C3A" w14:textId="77777777" w:rsidR="00AD487D" w:rsidRPr="008E3327" w:rsidRDefault="00AD487D" w:rsidP="00AD487D">
      <w:pPr>
        <w:pStyle w:val="NormalHanging12a"/>
        <w:rPr>
          <w:szCs w:val="24"/>
        </w:rPr>
      </w:pPr>
      <w:r w:rsidRPr="008E3327">
        <w:t>E.</w:t>
      </w:r>
      <w:r w:rsidRPr="008E3327">
        <w:tab/>
        <w:t>Considerando que a Declaração de Bona propõe uma definição da liberdade de investigação científica e reconhece a responsabilidade dos governos e dos organismos de investigação na promoção da liberdade da investigação científica;</w:t>
      </w:r>
    </w:p>
    <w:p w14:paraId="368A8B55" w14:textId="77777777" w:rsidR="00AD487D" w:rsidRPr="008E3327" w:rsidRDefault="00AD487D" w:rsidP="00AD487D">
      <w:pPr>
        <w:pStyle w:val="NormalHanging12a"/>
        <w:rPr>
          <w:szCs w:val="24"/>
        </w:rPr>
      </w:pPr>
      <w:r w:rsidRPr="008E3327">
        <w:t>F.</w:t>
      </w:r>
      <w:r w:rsidRPr="008E3327">
        <w:tab/>
        <w:t>Considerando que a defesa da liberdade de investigação científica garante que a investigação científica contribua para o interesse público, para o desenvolvimento, e a melhoria das condições de vida dos povos;</w:t>
      </w:r>
    </w:p>
    <w:p w14:paraId="7C1002AF" w14:textId="77777777" w:rsidR="00AD487D" w:rsidRPr="008E3327" w:rsidRDefault="00AD487D" w:rsidP="00AD487D">
      <w:pPr>
        <w:pStyle w:val="NormalHanging12a"/>
        <w:rPr>
          <w:szCs w:val="24"/>
        </w:rPr>
      </w:pPr>
      <w:r w:rsidRPr="008E3327">
        <w:t>G.</w:t>
      </w:r>
      <w:r w:rsidRPr="008E3327">
        <w:tab/>
        <w:t>Considerando que a Declaração de Bona carece de instrumentos de execução a nível europeu;</w:t>
      </w:r>
    </w:p>
    <w:p w14:paraId="0D43E65E" w14:textId="77777777" w:rsidR="00AD487D" w:rsidRPr="008E3327" w:rsidRDefault="00AD487D" w:rsidP="00AD487D">
      <w:pPr>
        <w:pStyle w:val="NormalHanging12a"/>
      </w:pPr>
      <w:r w:rsidRPr="008E3327">
        <w:t>H.</w:t>
      </w:r>
      <w:r w:rsidRPr="008E3327">
        <w:tab/>
        <w:t>Considerando que existe uma extensa jurisprudência do Tribunal Europeu dos Direitos Humanos em matéria de liberdade académica, incluindo a liberdade de investigação científica, que estabelece uma série de normas e princípios jurídicos para a proteção e a promoção da liberdade académica;</w:t>
      </w:r>
    </w:p>
    <w:p w14:paraId="00E9621E" w14:textId="77777777" w:rsidR="00AD487D" w:rsidRPr="008E3327" w:rsidRDefault="00AD487D" w:rsidP="00AD487D">
      <w:pPr>
        <w:pStyle w:val="NormalHanging12a"/>
        <w:rPr>
          <w:szCs w:val="24"/>
        </w:rPr>
      </w:pPr>
      <w:r w:rsidRPr="008E3327">
        <w:t>I.</w:t>
      </w:r>
      <w:r w:rsidRPr="008E3327">
        <w:tab/>
        <w:t xml:space="preserve">Considerando que, no seu acórdão de </w:t>
      </w:r>
      <w:r w:rsidRPr="001E0D97">
        <w:t>6</w:t>
      </w:r>
      <w:r w:rsidRPr="008E3327">
        <w:t xml:space="preserve"> de outubro de </w:t>
      </w:r>
      <w:r w:rsidRPr="001E0D97">
        <w:t>2020</w:t>
      </w:r>
      <w:r w:rsidRPr="008E3327">
        <w:t>, no processo C-</w:t>
      </w:r>
      <w:r w:rsidRPr="001E0D97">
        <w:t>66</w:t>
      </w:r>
      <w:r w:rsidRPr="008E3327">
        <w:t>/</w:t>
      </w:r>
      <w:r w:rsidRPr="001E0D97">
        <w:t>18</w:t>
      </w:r>
      <w:r w:rsidRPr="008E3327">
        <w:rPr>
          <w:rStyle w:val="FootnoteReference"/>
        </w:rPr>
        <w:footnoteReference w:id="3"/>
      </w:r>
      <w:r w:rsidRPr="008E3327">
        <w:t>, o Tribunal de Justiça concluiu que a lei húngara sobre o ensino superior nacional privava os organismos afetados da estrutura organizativa necessária para a realização da sua atividade de investigação académica, o que é ilustrativo da erosão da liberdade académica na Hungria;</w:t>
      </w:r>
    </w:p>
    <w:p w14:paraId="1465D4B2" w14:textId="77777777" w:rsidR="00AD487D" w:rsidRPr="008E3327" w:rsidRDefault="00AD487D" w:rsidP="00AD487D">
      <w:pPr>
        <w:pStyle w:val="NormalHanging12a"/>
        <w:rPr>
          <w:szCs w:val="24"/>
        </w:rPr>
      </w:pPr>
      <w:r w:rsidRPr="008E3327">
        <w:t>J.</w:t>
      </w:r>
      <w:r w:rsidRPr="008E3327">
        <w:tab/>
        <w:t>Considerando que determinados atos legislativos da União limitam a liberdade de investigação científica ao submeter o setor académico a regimes essencialmente concebidos para regular o mercado interno;</w:t>
      </w:r>
    </w:p>
    <w:p w14:paraId="219D6232" w14:textId="77777777" w:rsidR="00AD487D" w:rsidRPr="008E3327" w:rsidRDefault="00AD487D" w:rsidP="00AD487D">
      <w:pPr>
        <w:pStyle w:val="NormalHanging12a"/>
      </w:pPr>
      <w:r w:rsidRPr="008E3327">
        <w:t>K.</w:t>
      </w:r>
      <w:r w:rsidRPr="008E3327">
        <w:tab/>
        <w:t xml:space="preserve">Considerando que, antes da sua confirmação pelo Parlamento, a Presidente da Comissão, Ursula von der Leyen, prometeu, nas «Orientações políticas para a próxima Comissão Europeia </w:t>
      </w:r>
      <w:r w:rsidRPr="001E0D97">
        <w:t>2019</w:t>
      </w:r>
      <w:r w:rsidRPr="008E3327">
        <w:t>-</w:t>
      </w:r>
      <w:r w:rsidRPr="001E0D97">
        <w:t>2024</w:t>
      </w:r>
      <w:r w:rsidRPr="008E3327">
        <w:t>», apoiar o direito de iniciativa do Parlamento e se comprometeu a responder com um ato legislativo sempre que o Parlamento aprove resoluções que solicitem a apresentação de propostas legislativas pela Comissão;</w:t>
      </w:r>
    </w:p>
    <w:p w14:paraId="2DCCD99E" w14:textId="77777777" w:rsidR="00AD487D" w:rsidRPr="008E3327" w:rsidRDefault="00AD487D" w:rsidP="00AD487D">
      <w:pPr>
        <w:pStyle w:val="NormalHanging12a"/>
        <w:rPr>
          <w:szCs w:val="24"/>
        </w:rPr>
      </w:pPr>
      <w:r w:rsidRPr="001E0D97">
        <w:t>1</w:t>
      </w:r>
      <w:r w:rsidRPr="008E3327">
        <w:t>.</w:t>
      </w:r>
      <w:r w:rsidRPr="008E3327">
        <w:rPr>
          <w:b/>
          <w:i/>
        </w:rPr>
        <w:tab/>
      </w:r>
      <w:r w:rsidRPr="008E3327">
        <w:t xml:space="preserve">Reafirma o empenho da União na defesa dos direitos fundamentais, nomeadamente o direito à liberdade de pensamento, de consciência e de religião, à liberdade académica, </w:t>
      </w:r>
      <w:r w:rsidRPr="008E3327">
        <w:lastRenderedPageBreak/>
        <w:t>bem como à liberdade de investigação científica em todos os domínios científicos e artísticos, tal como consagrado na Carta dos Direitos Fundamentais da União Europeia;</w:t>
      </w:r>
    </w:p>
    <w:p w14:paraId="26C53C22" w14:textId="77777777" w:rsidR="00AD487D" w:rsidRPr="008E3327" w:rsidRDefault="00AD487D" w:rsidP="00AD487D">
      <w:pPr>
        <w:pStyle w:val="NormalHanging12a"/>
        <w:rPr>
          <w:szCs w:val="24"/>
        </w:rPr>
      </w:pPr>
      <w:r w:rsidRPr="001E0D97">
        <w:t>2</w:t>
      </w:r>
      <w:r w:rsidRPr="008E3327">
        <w:t>.</w:t>
      </w:r>
      <w:r w:rsidRPr="008E3327">
        <w:tab/>
        <w:t>Reconhece que a liberdade de investigação científica é fundamental para fazer avançar o nosso conhecimento dos fenómenos naturais e sociais, contribuindo, assim, para a promoção da inovação e do progresso social e aumentando o bem-estar geral dos cidadãos na União; recorda que a liberdade de investigação científica é um direito universal e um bem público, que deve ser aplicado a todas as disciplinas científicas; salienta que, no quadro da concorrência internacional em matéria de investigação, desenvolvimento e inovação, a liberdade de investigação científica é uma condição prévia para atrair talentos e incentivar novas ideias competitivas; lamenta, a este respeito, que a Declaração de Bona careça de um plano de execução concreto a nível europeu;</w:t>
      </w:r>
    </w:p>
    <w:p w14:paraId="77A0A93F" w14:textId="77777777" w:rsidR="00AD487D" w:rsidRPr="008E3327" w:rsidRDefault="00AD487D" w:rsidP="00AD487D">
      <w:pPr>
        <w:pStyle w:val="NormalHanging12a"/>
        <w:rPr>
          <w:szCs w:val="24"/>
        </w:rPr>
      </w:pPr>
      <w:r w:rsidRPr="001E0D97">
        <w:t>3</w:t>
      </w:r>
      <w:r w:rsidRPr="008E3327">
        <w:t>.</w:t>
      </w:r>
      <w:r w:rsidRPr="008E3327">
        <w:tab/>
        <w:t>Reconhece o profundo impacto da precariedade, que persiste no setor, na liberdade de investigação científica; defende os direitos laborais dos investigadores científicos, a melhoria das suas carreiras, contratos de trabalho estáveis e o acesso a sistemas de proteção social abrangentes; é de opinião que os investigadores científicos devem ter acesso a empregos de qualidade, condições de trabalho dignas, salários dignos e locais de trabalho saudáveis, nomeadamente no que diz respeito ao bom equilíbrio entre a vida profissional e a vida pessoal;</w:t>
      </w:r>
    </w:p>
    <w:p w14:paraId="6989C39E" w14:textId="77777777" w:rsidR="00AD487D" w:rsidRPr="008E3327" w:rsidRDefault="00AD487D" w:rsidP="00AD487D">
      <w:pPr>
        <w:pStyle w:val="NormalHanging12a"/>
        <w:rPr>
          <w:szCs w:val="24"/>
        </w:rPr>
      </w:pPr>
      <w:r w:rsidRPr="001E0D97">
        <w:t>4</w:t>
      </w:r>
      <w:r w:rsidRPr="008E3327">
        <w:t>.</w:t>
      </w:r>
      <w:r w:rsidRPr="008E3327">
        <w:tab/>
        <w:t>Sublinha que a igualdade de oportunidades, em particular as promovidas pela igualdade de género, é essencial não só para promover a liberdade de investigação científica como para garantir a integração de diferentes perspetivas nas soluções pensadas para os vários desafios inerentes à promoção do desenvolvimento sustentável e equitativo;</w:t>
      </w:r>
    </w:p>
    <w:p w14:paraId="65227204" w14:textId="77777777" w:rsidR="00AD487D" w:rsidRPr="008E3327" w:rsidRDefault="00AD487D" w:rsidP="00AD487D">
      <w:pPr>
        <w:pStyle w:val="NormalHanging12a"/>
        <w:rPr>
          <w:szCs w:val="24"/>
        </w:rPr>
      </w:pPr>
      <w:r w:rsidRPr="001E0D97">
        <w:t>5</w:t>
      </w:r>
      <w:r w:rsidRPr="008E3327">
        <w:t>.</w:t>
      </w:r>
      <w:r w:rsidRPr="008E3327">
        <w:tab/>
        <w:t>Chama a atenção para a situação de particular precariedade dos investigadores em início de carreira e frisa que, para aumentar o número de novos investigadores, é necessário criar oportunidades de carreira mais bem definidas e estruturadas; salienta que, para esse fim, também é preciso promover processos de recrutamento transparentes, sem qualquer tipo de preconceitos, e prestar uma cobertura adequada em matéria de segurança social a todos os investigadores, incluindo os doutorandos que exerçam atividades de investigação remuneradas;</w:t>
      </w:r>
    </w:p>
    <w:p w14:paraId="757CF9B0" w14:textId="77777777" w:rsidR="00AD487D" w:rsidRPr="008E3327" w:rsidRDefault="00AD487D" w:rsidP="00AD487D">
      <w:pPr>
        <w:pStyle w:val="NormalHanging12a"/>
        <w:rPr>
          <w:szCs w:val="24"/>
        </w:rPr>
      </w:pPr>
      <w:r w:rsidRPr="001E0D97">
        <w:t>6</w:t>
      </w:r>
      <w:r w:rsidRPr="008E3327">
        <w:t>.</w:t>
      </w:r>
      <w:r w:rsidRPr="008E3327">
        <w:tab/>
        <w:t>Faz notar que é ao nível dos órgãos de gestão dos organismos de investigação que se definem as prioridades de investigação científica dessas instituições; está ciente de que os casos de erosão da democracia nos organismos de investigação científica comprometem a liberdade da investigação científica; frisa, pois, a importância da autonomia académica, que deve incluir o direito de os investigadores científicos se pronunciarem sobre a governação da instituição científica a que estão vinculados, designadamente no que respeita às condições de trabalho na instituição; sublinha que aos investigadores científicos assistem todos os direitos consagrados no artigo </w:t>
      </w:r>
      <w:r w:rsidRPr="001E0D97">
        <w:t>12</w:t>
      </w:r>
      <w:r w:rsidRPr="008E3327">
        <w:t>.º da Carta dos Direitos Fundamentais da União Europeia;</w:t>
      </w:r>
    </w:p>
    <w:p w14:paraId="5683C6E7" w14:textId="77777777" w:rsidR="00AD487D" w:rsidRPr="008E3327" w:rsidRDefault="00AD487D" w:rsidP="00AD487D">
      <w:pPr>
        <w:pStyle w:val="NormalHanging12a"/>
        <w:rPr>
          <w:szCs w:val="24"/>
        </w:rPr>
      </w:pPr>
      <w:r w:rsidRPr="001E0D97">
        <w:t>7</w:t>
      </w:r>
      <w:r w:rsidRPr="008E3327">
        <w:t>.</w:t>
      </w:r>
      <w:r w:rsidRPr="008E3327">
        <w:tab/>
        <w:t>Considera que os organismos de investigação científica devem ser incentivados a participar, reservando a sua plena autonomia institucional, em ações de cooperação internacional para reforçar as relações bilaterais e multilaterais, a fim de continuar a desenvolver uma forte componente de diplomacia científica centrada na liberdade de investigação científica e nas eventuais consequências em caso de violação;</w:t>
      </w:r>
    </w:p>
    <w:p w14:paraId="18727066" w14:textId="77777777" w:rsidR="00AD487D" w:rsidRPr="008E3327" w:rsidRDefault="00AD487D" w:rsidP="00AD487D">
      <w:pPr>
        <w:pStyle w:val="NormalHanging12a"/>
        <w:rPr>
          <w:szCs w:val="24"/>
        </w:rPr>
      </w:pPr>
      <w:r w:rsidRPr="001E0D97">
        <w:t>8</w:t>
      </w:r>
      <w:r w:rsidRPr="008E3327">
        <w:t>.</w:t>
      </w:r>
      <w:r w:rsidRPr="008E3327">
        <w:tab/>
        <w:t xml:space="preserve">Insiste em que a União deve ser um porto seguro para todos os investigadores em </w:t>
      </w:r>
      <w:r w:rsidRPr="008E3327">
        <w:lastRenderedPageBreak/>
        <w:t>situação de risco e que deve criar um sistema europeu de bolsas de estudo para investigadores em risco, que preste apoio financeiro para a colocação urgente de investigadores em risco em organismos de investigação europeias; considera que este sistema também deve servir de mecanismo de solidariedade para apoiar os investigadores europeus cuja liberdade de investigação científica seja violada;</w:t>
      </w:r>
    </w:p>
    <w:p w14:paraId="794EC2C8" w14:textId="77777777" w:rsidR="00AD487D" w:rsidRPr="008E3327" w:rsidRDefault="00AD487D" w:rsidP="00AD487D">
      <w:pPr>
        <w:pStyle w:val="NormalHanging12a"/>
        <w:rPr>
          <w:szCs w:val="24"/>
        </w:rPr>
      </w:pPr>
      <w:r w:rsidRPr="001E0D97">
        <w:t>9</w:t>
      </w:r>
      <w:r w:rsidRPr="008E3327">
        <w:t>.</w:t>
      </w:r>
      <w:r w:rsidRPr="008E3327">
        <w:tab/>
        <w:t>Reconhece, em conformidade com a Declaração de Bona, que a liberdade de investigação científica é sinónimo de abertura, intercâmbio, excelência, internacionalismo, diversidade, igualdade, integridade, curiosidade, responsabilidade e reflexividade, constituindo-se, por isso, como um dos pilares de qualquer democracia.</w:t>
      </w:r>
    </w:p>
    <w:p w14:paraId="5D9368AB" w14:textId="77777777" w:rsidR="00AD487D" w:rsidRPr="008E3327" w:rsidRDefault="00AD487D" w:rsidP="00AD487D">
      <w:pPr>
        <w:pStyle w:val="NormalHanging12a"/>
        <w:rPr>
          <w:szCs w:val="24"/>
        </w:rPr>
      </w:pPr>
      <w:r w:rsidRPr="001E0D97">
        <w:t>10</w:t>
      </w:r>
      <w:r w:rsidRPr="008E3327">
        <w:t>.</w:t>
      </w:r>
      <w:r w:rsidRPr="008E3327">
        <w:tab/>
        <w:t>Regista a definição de liberdade de investigação científi</w:t>
      </w:r>
      <w:r w:rsidR="00D15421" w:rsidRPr="008E3327">
        <w:t>ca constante do Anexo II, ponto </w:t>
      </w:r>
      <w:r w:rsidRPr="001E0D97">
        <w:t>2</w:t>
      </w:r>
      <w:r w:rsidRPr="008E3327">
        <w:t>, da proposta da Comissão de recomendação</w:t>
      </w:r>
      <w:r w:rsidR="00D15421" w:rsidRPr="008E3327">
        <w:t xml:space="preserve"> do Conselho, de </w:t>
      </w:r>
      <w:r w:rsidR="00D15421" w:rsidRPr="001E0D97">
        <w:t>13</w:t>
      </w:r>
      <w:r w:rsidR="00D15421" w:rsidRPr="008E3327">
        <w:t xml:space="preserve"> de julho de </w:t>
      </w:r>
      <w:r w:rsidRPr="001E0D97">
        <w:t>2023</w:t>
      </w:r>
      <w:r w:rsidRPr="008E3327">
        <w:t>, relativa a um quadro europeu</w:t>
      </w:r>
      <w:r w:rsidRPr="008E3327">
        <w:rPr>
          <w:rStyle w:val="FootnoteReference"/>
        </w:rPr>
        <w:footnoteReference w:id="4"/>
      </w:r>
      <w:r w:rsidRPr="008E3327">
        <w:t xml:space="preserve"> para atrair e reter talentos no domínio da investigação, da inovação e do empreendedorismo na Europa;</w:t>
      </w:r>
    </w:p>
    <w:p w14:paraId="7B234541" w14:textId="77777777" w:rsidR="00AD487D" w:rsidRPr="008E3327" w:rsidRDefault="00AD487D" w:rsidP="00AD487D">
      <w:pPr>
        <w:pStyle w:val="NormalHanging12a"/>
        <w:rPr>
          <w:szCs w:val="24"/>
        </w:rPr>
      </w:pPr>
      <w:r w:rsidRPr="001E0D97">
        <w:t>11</w:t>
      </w:r>
      <w:r w:rsidRPr="008E3327">
        <w:t>.</w:t>
      </w:r>
      <w:r w:rsidRPr="008E3327">
        <w:tab/>
        <w:t>Considera que a liberdade de investigação científica deve vir acompanhada da responsabilidade de cumprir os mais elevados padrões éticos e de integridade na investigação científica e contribuir para a ciência aberta; frisa que, para garantir a integridade das atividades de investigação científica, o financiamento deve ser transparente e que a liberdade de investigação científica pressupõe a responsabilidade da sociedade de velar por essa transparência; apoia convictamente, nesse sentido, a prática corrente da comunicação transparente sobre as fontes de financiamento das atividades de investigação e insta o setor científico a honrar esta prática;</w:t>
      </w:r>
    </w:p>
    <w:p w14:paraId="1324C65A" w14:textId="77777777" w:rsidR="00AD487D" w:rsidRPr="008E3327" w:rsidRDefault="00AD487D" w:rsidP="00AD487D">
      <w:pPr>
        <w:pStyle w:val="NormalHanging12a"/>
        <w:rPr>
          <w:szCs w:val="24"/>
        </w:rPr>
      </w:pPr>
      <w:r w:rsidRPr="001E0D97">
        <w:t>12</w:t>
      </w:r>
      <w:r w:rsidRPr="008E3327">
        <w:t>.</w:t>
      </w:r>
      <w:r w:rsidRPr="008E3327">
        <w:tab/>
        <w:t>Salienta o papel decisivo de um quadro bem concebido e implementado que permita proteger e promover eficazmente a liberdade de investigação científica em toda a União, tendo na máxima conta o apoio público disponível para facilitar a produção, a partilha e a difusão do conhecimento, enquanto bem público, e para evitar qualquer risco de interferência ou de comprometimento da independência da investigação científica;</w:t>
      </w:r>
    </w:p>
    <w:p w14:paraId="04DA285E" w14:textId="3CCBC749" w:rsidR="00AD487D" w:rsidRPr="008E3327" w:rsidRDefault="00AD487D" w:rsidP="00AD487D">
      <w:pPr>
        <w:pStyle w:val="NormalHanging12a"/>
        <w:rPr>
          <w:szCs w:val="24"/>
        </w:rPr>
      </w:pPr>
      <w:r w:rsidRPr="001E0D97">
        <w:t>13</w:t>
      </w:r>
      <w:r w:rsidRPr="008E3327">
        <w:t>.</w:t>
      </w:r>
      <w:r w:rsidRPr="008E3327">
        <w:tab/>
        <w:t>Insiste na importância do conhecimento aberto para garantir a liberdade de investigação científica; preconiza uma criação eficiente e transparente de conhecimentos, sem barreiras artificiais que impeçam o acesso à informação e a sua divulgação; considera que a partilha dos resultados da investigação científica para fins não comerciais deve ser protegida pelo direito da União e ativamente promovida; salienta que os resultados científicos financiados com fundos públicos devem ser publicados em revistas académicas de acesso livre e que os resultados devem ser acessíveis a todos;</w:t>
      </w:r>
    </w:p>
    <w:p w14:paraId="404B3E11" w14:textId="77777777" w:rsidR="00AD487D" w:rsidRPr="008E3327" w:rsidRDefault="00AD487D" w:rsidP="00AD487D">
      <w:pPr>
        <w:pStyle w:val="NormalHanging12a"/>
        <w:rPr>
          <w:szCs w:val="24"/>
        </w:rPr>
      </w:pPr>
      <w:r w:rsidRPr="001E0D97">
        <w:t>14</w:t>
      </w:r>
      <w:r w:rsidRPr="008E3327">
        <w:t>.</w:t>
      </w:r>
      <w:r w:rsidRPr="008E3327">
        <w:tab/>
        <w:t>Manifesta preocupação com o recente retrocesso deste direito fundamental na União, que é essencial para a liberdade política e a participação social e ameaça comprometer o desenvolvimento de um Espaço Europeu da Investigação (EEI) funcional e competitivo;</w:t>
      </w:r>
    </w:p>
    <w:p w14:paraId="2198FA8E" w14:textId="77777777" w:rsidR="00AD487D" w:rsidRPr="008E3327" w:rsidRDefault="00AD487D" w:rsidP="00AD487D">
      <w:pPr>
        <w:pStyle w:val="NormalHanging12a"/>
        <w:rPr>
          <w:szCs w:val="24"/>
        </w:rPr>
      </w:pPr>
      <w:r w:rsidRPr="001E0D97">
        <w:t>15</w:t>
      </w:r>
      <w:r w:rsidRPr="008E3327">
        <w:t>.</w:t>
      </w:r>
      <w:r w:rsidRPr="008E3327">
        <w:tab/>
        <w:t xml:space="preserve">Observa que a Comunicação da Comissão, de </w:t>
      </w:r>
      <w:r w:rsidRPr="001E0D97">
        <w:t>30</w:t>
      </w:r>
      <w:r w:rsidRPr="008E3327">
        <w:t xml:space="preserve"> de setembro de </w:t>
      </w:r>
      <w:r w:rsidRPr="001E0D97">
        <w:t>2020</w:t>
      </w:r>
      <w:r w:rsidRPr="008E3327">
        <w:t>, intitulada «Um novo EEI para a Inovação na Investigação», confirma que a realização do EEI exige o pleno respeito da liberdade de investigação científica, o que inclui, nomeadamente, a não interferência nos programas de investigação, a autonomia institucional e o financiamento adequado, bem como os meios necessários para divulgar os resultados da investigação;</w:t>
      </w:r>
    </w:p>
    <w:p w14:paraId="04D0CE0A" w14:textId="77777777" w:rsidR="00AD487D" w:rsidRPr="008E3327" w:rsidRDefault="00AD487D" w:rsidP="00AD487D">
      <w:pPr>
        <w:pStyle w:val="NormalHanging12a"/>
        <w:rPr>
          <w:szCs w:val="24"/>
        </w:rPr>
      </w:pPr>
      <w:r w:rsidRPr="001E0D97">
        <w:lastRenderedPageBreak/>
        <w:t>16</w:t>
      </w:r>
      <w:r w:rsidRPr="008E3327">
        <w:t>.</w:t>
      </w:r>
      <w:r w:rsidRPr="008E3327">
        <w:tab/>
        <w:t>Manifesta profunda preocupação pelo facto de a Comissão, apesar da mensagem forte que transmite nessa comunicação, não estar a utilizar a sua autoridade jurídica para proteger esta liberdade na União; reafirma o empenho da União na defesa dos direitos fundamentais, nomeadamente o direito à liberdade de pensamento, de consciência e de religião, à liberdade académica, bem como à liberdade de investigação científica e das artes, tal como consagrado na Carta dos Direitos Fundamentais da União Europeia. mostra-se extremamente apreensivo com o facto de a liberdade de investigação estar sob pressão devido a reservas morais e políticas;</w:t>
      </w:r>
    </w:p>
    <w:p w14:paraId="597D0ECD" w14:textId="77777777" w:rsidR="00AD487D" w:rsidRPr="008E3327" w:rsidRDefault="00AD487D" w:rsidP="00AD487D">
      <w:pPr>
        <w:pStyle w:val="NormalHanging12a"/>
        <w:rPr>
          <w:szCs w:val="24"/>
        </w:rPr>
      </w:pPr>
      <w:r w:rsidRPr="001E0D97">
        <w:t>17</w:t>
      </w:r>
      <w:r w:rsidRPr="008E3327">
        <w:t>.</w:t>
      </w:r>
      <w:r w:rsidRPr="008E3327">
        <w:tab/>
        <w:t>Insta a Comissão a tomar todas as medidas ao seu alcance para proteger e promover a liberdade de investigação científica na União e garantir que a ética e a integridade da investigação não sejam comprometidas, recorrendo à sua autoridade jurídica para evitar novos retrocessos no que diz respeito a este direito fundamental; exorta a Comissão a promover e financiar ativamente o pluralismo científico, apoiando projetos em todo o leque de domínios de investigação científica;</w:t>
      </w:r>
    </w:p>
    <w:p w14:paraId="2DADBF04" w14:textId="77777777" w:rsidR="00AD487D" w:rsidRPr="008E3327" w:rsidRDefault="00AD487D" w:rsidP="00AD487D">
      <w:pPr>
        <w:pStyle w:val="NormalHanging12a"/>
        <w:rPr>
          <w:szCs w:val="24"/>
        </w:rPr>
      </w:pPr>
      <w:r w:rsidRPr="001E0D97">
        <w:t>18</w:t>
      </w:r>
      <w:r w:rsidRPr="008E3327">
        <w:t>.</w:t>
      </w:r>
      <w:r w:rsidRPr="008E3327">
        <w:tab/>
        <w:t>Insta os Estados-Membros a respeitarem e defenderem plenamente a liberdade de investigação científica e a garantirem que todas as medidas tomadas em nome do interesse público, por exemplo, a bem da segurança nacional, da integridade territorial ou da segurança pública, da defesa da ordem e da prevenção do crime, da proteção da saúde ou da moral, da proteção da reputação ou dos direitos de outrem, para impedir a divulgação de informações confidenciais, ou para garantir a autoridade e a imparcialidade do poder judicial, não restringem indevidamente a liberdade de investigação científica;</w:t>
      </w:r>
    </w:p>
    <w:p w14:paraId="7D85CF8C" w14:textId="77777777" w:rsidR="00AD487D" w:rsidRPr="008E3327" w:rsidRDefault="00AD487D" w:rsidP="00AD487D">
      <w:pPr>
        <w:pStyle w:val="NormalHanging12a"/>
        <w:rPr>
          <w:szCs w:val="24"/>
        </w:rPr>
      </w:pPr>
      <w:r w:rsidRPr="001E0D97">
        <w:t>19</w:t>
      </w:r>
      <w:r w:rsidRPr="008E3327">
        <w:t>.</w:t>
      </w:r>
      <w:r w:rsidRPr="008E3327">
        <w:tab/>
        <w:t>Salienta que a conclusão do EEI exige o devido respeito e a promoção ativa da liberdade de investigação científica em toda a União e considera que qualquer tentativa no sentido de comprometer ou não promover ativamente esta liberdade tem um impacto negativo no desenvolvimento de um EEI competitivo e inovador; insta os Estados-Membros e a Comissão a conferirem à comunidade de investigação científica uma maior margem de manobra no que se refere ao acesso, à utilização e à divulgação de todas as informações pertinentes para a sua atividade, nomeadamente através da mobilização de ferramentas digitais de fonte aberta;</w:t>
      </w:r>
    </w:p>
    <w:p w14:paraId="1178188F" w14:textId="77777777" w:rsidR="00AD487D" w:rsidRPr="008E3327" w:rsidRDefault="00AD487D" w:rsidP="00AD487D">
      <w:pPr>
        <w:pStyle w:val="NormalHanging12a"/>
        <w:rPr>
          <w:szCs w:val="24"/>
        </w:rPr>
      </w:pPr>
      <w:r w:rsidRPr="001E0D97">
        <w:t>20</w:t>
      </w:r>
      <w:r w:rsidRPr="008E3327">
        <w:t>.</w:t>
      </w:r>
      <w:r w:rsidRPr="008E3327">
        <w:tab/>
        <w:t>Manifesta preocupação com o facto de a Comissão não ter utilizado a sua autoridade jurídica ao abrigo dos Tratados para proteger a liberdade de investigação científica, como um dos direitos fundamentais dos cidadãos da UE, eximindo-se gravemente à sua responsabilidade de fazer cumprir o Estado de direito na União, e insta a Comissão a tomar medidas imediatas para corrigir esta situação;</w:t>
      </w:r>
    </w:p>
    <w:p w14:paraId="4752F29A" w14:textId="77777777" w:rsidR="00AD487D" w:rsidRPr="008E3327" w:rsidRDefault="00AD487D" w:rsidP="00AD487D">
      <w:pPr>
        <w:pStyle w:val="NormalHanging12a"/>
        <w:rPr>
          <w:szCs w:val="24"/>
        </w:rPr>
      </w:pPr>
      <w:r w:rsidRPr="001E0D97">
        <w:t>21</w:t>
      </w:r>
      <w:r w:rsidRPr="008E3327">
        <w:t>.</w:t>
      </w:r>
      <w:r w:rsidRPr="008E3327">
        <w:tab/>
        <w:t>Insta o Conselho Europeu a apoiar a proteção e a promoção da liberdade de investigação científica e a assegurar que este direito fundamental seja devidamente respeitado em todos os Estados-Membros;</w:t>
      </w:r>
    </w:p>
    <w:p w14:paraId="5431D0D1" w14:textId="77777777" w:rsidR="00AD487D" w:rsidRPr="008E3327" w:rsidRDefault="00AD487D" w:rsidP="00AD487D">
      <w:pPr>
        <w:pStyle w:val="NormalHanging12a"/>
        <w:rPr>
          <w:szCs w:val="24"/>
        </w:rPr>
      </w:pPr>
      <w:r w:rsidRPr="001E0D97">
        <w:t>22</w:t>
      </w:r>
      <w:r w:rsidRPr="008E3327">
        <w:t>.</w:t>
      </w:r>
      <w:r w:rsidRPr="008E3327">
        <w:tab/>
        <w:t>Frisa que é necessário mobilizar fundos públicos suplementares para financiar a investigação científica independente, evitando ingerências indevidas que possam orientá-la para fins próprios ou influenciar os seus métodos ou resultados;</w:t>
      </w:r>
    </w:p>
    <w:p w14:paraId="1624B7B9" w14:textId="77777777" w:rsidR="00AD487D" w:rsidRPr="008E3327" w:rsidRDefault="00AD487D" w:rsidP="00AD487D">
      <w:pPr>
        <w:pStyle w:val="NormalHanging12a"/>
        <w:rPr>
          <w:szCs w:val="24"/>
        </w:rPr>
      </w:pPr>
      <w:r w:rsidRPr="001E0D97">
        <w:t>23</w:t>
      </w:r>
      <w:r w:rsidRPr="008E3327">
        <w:t>.</w:t>
      </w:r>
      <w:r w:rsidRPr="008E3327">
        <w:tab/>
        <w:t>Insta a Comissão e os Estados-Membros a sensibilizar a opinião pública para a importância da liberdade de investigação científica através da educação, da sensibilização do público e do apoio ao jornalismo científico;</w:t>
      </w:r>
    </w:p>
    <w:p w14:paraId="19A8E6DC" w14:textId="21B95B31" w:rsidR="00AD487D" w:rsidRPr="008E3327" w:rsidRDefault="00AD487D" w:rsidP="00AD487D">
      <w:pPr>
        <w:pStyle w:val="NormalHanging12a"/>
        <w:rPr>
          <w:szCs w:val="24"/>
        </w:rPr>
      </w:pPr>
      <w:r w:rsidRPr="001E0D97">
        <w:lastRenderedPageBreak/>
        <w:t>24</w:t>
      </w:r>
      <w:r w:rsidRPr="008E3327">
        <w:t>.</w:t>
      </w:r>
      <w:r w:rsidRPr="008E3327">
        <w:tab/>
        <w:t xml:space="preserve">Solicita à Comissão que apresente, com base no artigo </w:t>
      </w:r>
      <w:r w:rsidRPr="001E0D97">
        <w:t>182</w:t>
      </w:r>
      <w:r w:rsidRPr="008E3327">
        <w:t xml:space="preserve">.º, n.º </w:t>
      </w:r>
      <w:r w:rsidRPr="001E0D97">
        <w:t>5</w:t>
      </w:r>
      <w:r w:rsidRPr="008E3327">
        <w:t xml:space="preserve">, em conjugação com o artigo </w:t>
      </w:r>
      <w:r w:rsidRPr="001E0D97">
        <w:t>179</w:t>
      </w:r>
      <w:r w:rsidRPr="008E3327">
        <w:t xml:space="preserve">.º, n.º </w:t>
      </w:r>
      <w:r w:rsidRPr="001E0D97">
        <w:t>1</w:t>
      </w:r>
      <w:r w:rsidRPr="008E3327">
        <w:t xml:space="preserve">, do Tratado sobre o Funcionamento da União Europeia, uma proposta de regulamento em matéria de liberdade de investigação científica, seguindo </w:t>
      </w:r>
      <w:r w:rsidR="00D15421" w:rsidRPr="008E3327">
        <w:t>as recomendações</w:t>
      </w:r>
      <w:r w:rsidRPr="008E3327">
        <w:t xml:space="preserve"> que constam do anexo, a fim de garantir, proteger e promover esta liberdade a nível dos organismos de investigação e dos investigadores ao longo de toda a sua carreira;</w:t>
      </w:r>
    </w:p>
    <w:p w14:paraId="7FAD57AA" w14:textId="5EEC236B" w:rsidR="00AD487D" w:rsidRPr="008E3327" w:rsidRDefault="00AD487D" w:rsidP="00AD487D">
      <w:pPr>
        <w:pStyle w:val="NormalHanging12a"/>
      </w:pPr>
      <w:r w:rsidRPr="001E0D97">
        <w:t>25</w:t>
      </w:r>
      <w:r w:rsidRPr="008E3327">
        <w:t>.</w:t>
      </w:r>
      <w:r w:rsidRPr="008E3327">
        <w:tab/>
        <w:t>Encarrega a sua Presidente de transmitir a presente resolução e as recomendações</w:t>
      </w:r>
      <w:r w:rsidR="00107025" w:rsidRPr="008E3327">
        <w:t xml:space="preserve"> </w:t>
      </w:r>
      <w:r w:rsidRPr="008E3327">
        <w:t>que figuram em anexo à Comissão, ao Conselho e aos parlamentos nacionais.</w:t>
      </w:r>
    </w:p>
    <w:p w14:paraId="38091B7B" w14:textId="77777777" w:rsidR="00D15421" w:rsidRPr="008E3327" w:rsidRDefault="00D15421" w:rsidP="00AD487D">
      <w:pPr>
        <w:pStyle w:val="NormalHanging12a"/>
      </w:pPr>
    </w:p>
    <w:p w14:paraId="507007F0" w14:textId="77777777" w:rsidR="00AD487D" w:rsidRPr="008E3327" w:rsidRDefault="00AD487D" w:rsidP="00AD487D">
      <w:pPr>
        <w:sectPr w:rsidR="00AD487D" w:rsidRPr="008E3327" w:rsidSect="00FF61B5">
          <w:footerReference w:type="even" r:id="rId9"/>
          <w:footerReference w:type="default" r:id="rId10"/>
          <w:footerReference w:type="first" r:id="rId11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74ED5C40" w14:textId="241797B0" w:rsidR="00AD487D" w:rsidRPr="008E3327" w:rsidRDefault="00AD487D" w:rsidP="00AD487D">
      <w:pPr>
        <w:pStyle w:val="PageHeading"/>
      </w:pPr>
      <w:bookmarkStart w:id="9" w:name="_Toc155626873"/>
      <w:r w:rsidRPr="008E3327">
        <w:lastRenderedPageBreak/>
        <w:t>ANEXO À RESOLUÇÃO:</w:t>
      </w:r>
      <w:r w:rsidRPr="008E3327">
        <w:br/>
        <w:t>RECOMENDAÇÕES QUANTO AO CONTEÚDO DA PROPOSTA REQUERIDA</w:t>
      </w:r>
      <w:bookmarkEnd w:id="9"/>
    </w:p>
    <w:p w14:paraId="50F8E9D3" w14:textId="77777777" w:rsidR="00AD487D" w:rsidRPr="008E3327" w:rsidRDefault="00AD487D" w:rsidP="00AD487D">
      <w:pPr>
        <w:pStyle w:val="NormalHanging12a"/>
        <w:rPr>
          <w:b/>
        </w:rPr>
      </w:pPr>
      <w:r w:rsidRPr="008E3327">
        <w:rPr>
          <w:b/>
        </w:rPr>
        <w:t>Definição da liberdade de investigação científica</w:t>
      </w:r>
    </w:p>
    <w:p w14:paraId="782F371D" w14:textId="77777777" w:rsidR="00AD487D" w:rsidRPr="008E3327" w:rsidRDefault="00AD487D" w:rsidP="00AD487D">
      <w:pPr>
        <w:pStyle w:val="NormalHanging12a"/>
        <w:rPr>
          <w:szCs w:val="24"/>
        </w:rPr>
      </w:pPr>
      <w:r w:rsidRPr="001E0D97">
        <w:t>1</w:t>
      </w:r>
      <w:r w:rsidRPr="008E3327">
        <w:t>.</w:t>
      </w:r>
      <w:r w:rsidRPr="008E3327">
        <w:tab/>
        <w:t>A liberdade de investigação científica é um elemento constitutivo da liberdade académica e da integridade científica na Europa, tendo simultaneamente um valor autónomo, como exemplificado pela referência específica constante do artigo </w:t>
      </w:r>
      <w:r w:rsidRPr="001E0D97">
        <w:t>13</w:t>
      </w:r>
      <w:r w:rsidRPr="008E3327">
        <w:t>.º da Carta dos Direitos Fundamentais da União Europeia.</w:t>
      </w:r>
    </w:p>
    <w:p w14:paraId="46625037" w14:textId="77777777" w:rsidR="00AD487D" w:rsidRPr="008E3327" w:rsidRDefault="00AD487D" w:rsidP="00AD487D">
      <w:pPr>
        <w:pStyle w:val="NormalHanging12a"/>
      </w:pPr>
      <w:r w:rsidRPr="001E0D97">
        <w:t>2</w:t>
      </w:r>
      <w:r w:rsidRPr="008E3327">
        <w:t>.</w:t>
      </w:r>
      <w:r w:rsidRPr="008E3327">
        <w:tab/>
        <w:t>A liberdade de investigação científica confere direitos a investigadores científicos individuais e cria direitos e obrigações para organismos de investigação científica e obrigações para autoridades públicas.</w:t>
      </w:r>
    </w:p>
    <w:p w14:paraId="44AC3169" w14:textId="77777777" w:rsidR="00AD487D" w:rsidRPr="008E3327" w:rsidRDefault="00AD487D" w:rsidP="00AD487D">
      <w:pPr>
        <w:pStyle w:val="NormalHanging12a"/>
        <w:rPr>
          <w:szCs w:val="24"/>
        </w:rPr>
      </w:pPr>
      <w:r w:rsidRPr="001E0D97">
        <w:t>3</w:t>
      </w:r>
      <w:r w:rsidRPr="008E3327">
        <w:t>.</w:t>
      </w:r>
      <w:r w:rsidRPr="008E3327">
        <w:tab/>
        <w:t>O exercício da liberdade de investigação científica, porquanto implica deveres e responsabilidades, pode ser submetido a certas formalidades, condições, restrições ou sanções, previstas pela lei, que constituam providências necessárias, numa sociedade democrática, para a segurança nacional, a integridade territorial ou a segurança pública, a defesa da ordem e a prevenção do crime, a proteção da saúde ou da moral, a proteção da honra ou dos direitos de outrem, para impedir a divulgação de informações confidenciais, ou para garantir a autoridade e a imparcialidade do poder judicial.</w:t>
      </w:r>
    </w:p>
    <w:p w14:paraId="1CF06469" w14:textId="77777777" w:rsidR="00AD487D" w:rsidRPr="008E3327" w:rsidRDefault="00AD487D" w:rsidP="00AD487D">
      <w:pPr>
        <w:pStyle w:val="NormalHanging12a"/>
        <w:ind w:firstLine="0"/>
        <w:rPr>
          <w:szCs w:val="24"/>
        </w:rPr>
      </w:pPr>
      <w:r w:rsidRPr="008E3327">
        <w:t>Também pode acontecer que a liberdade de investigação científica seja condicionada por circunstâncias específicas de investigação ou outras limitações operacionais. Deve existir um equilíbrio cuidado entre a liberdade de investigação científica e outros interesses legítimos, como a obtenção de vantagens competitivas legítimas e a proteção da propriedade intelectual. Todavia, essas limitações não devem contrariar práticas e princípios éticos reconhecidos, aos quais os investigadores devem aderir.</w:t>
      </w:r>
    </w:p>
    <w:p w14:paraId="4D48CCC3" w14:textId="77777777" w:rsidR="00AD487D" w:rsidRPr="008E3327" w:rsidRDefault="00AD487D" w:rsidP="00AD487D">
      <w:pPr>
        <w:pStyle w:val="NormalHanging12a"/>
        <w:rPr>
          <w:szCs w:val="24"/>
        </w:rPr>
      </w:pPr>
      <w:r w:rsidRPr="001E0D97">
        <w:t>4</w:t>
      </w:r>
      <w:r w:rsidRPr="008E3327">
        <w:t>.</w:t>
      </w:r>
      <w:r w:rsidRPr="008E3327">
        <w:tab/>
        <w:t xml:space="preserve">A proposta deve basear-se na definição do conceito de liberdade de investigação científica estabelecida na Declaração de Bona e no ponto </w:t>
      </w:r>
      <w:r w:rsidRPr="001E0D97">
        <w:t>2</w:t>
      </w:r>
      <w:r w:rsidRPr="008E3327">
        <w:t xml:space="preserve"> do anexo II, da proposta de recomendação do Conselho relativa a um quadro europeu para atrair e reter talentos no domínio da investigação, da inovação e do empreendedorismo na Europa.</w:t>
      </w:r>
    </w:p>
    <w:p w14:paraId="7CE42CA7" w14:textId="77777777" w:rsidR="00AD487D" w:rsidRPr="008E3327" w:rsidRDefault="00AD487D" w:rsidP="00AD487D">
      <w:pPr>
        <w:pStyle w:val="NormalHanging12a"/>
        <w:rPr>
          <w:b/>
        </w:rPr>
      </w:pPr>
      <w:r w:rsidRPr="008E3327">
        <w:rPr>
          <w:b/>
        </w:rPr>
        <w:t>Liberdade dos investigadores científicos</w:t>
      </w:r>
    </w:p>
    <w:p w14:paraId="5891FE60" w14:textId="77777777" w:rsidR="00AD487D" w:rsidRPr="008E3327" w:rsidRDefault="00AD487D" w:rsidP="00AD487D">
      <w:pPr>
        <w:pStyle w:val="NormalHanging12a"/>
        <w:rPr>
          <w:szCs w:val="24"/>
        </w:rPr>
      </w:pPr>
      <w:r w:rsidRPr="001E0D97">
        <w:t>5</w:t>
      </w:r>
      <w:r w:rsidRPr="008E3327">
        <w:t>.</w:t>
      </w:r>
      <w:r w:rsidRPr="008E3327">
        <w:tab/>
        <w:t>O conceito de investigadores científicos deve ser definido de forma ampla, em conformidade com a proposta de recomendação do Conselho relativa a um quadro europeu para atrair e reter talentos no domínio da investigação, da inovação e do empreendedorismo na Europa.</w:t>
      </w:r>
    </w:p>
    <w:p w14:paraId="73D87E84" w14:textId="77777777" w:rsidR="00AD487D" w:rsidRPr="008E3327" w:rsidRDefault="00AD487D" w:rsidP="00AD487D">
      <w:pPr>
        <w:pStyle w:val="NormalHanging12a"/>
        <w:rPr>
          <w:szCs w:val="24"/>
        </w:rPr>
      </w:pPr>
      <w:r w:rsidRPr="001E0D97">
        <w:t>6</w:t>
      </w:r>
      <w:r w:rsidRPr="008E3327">
        <w:t>.</w:t>
      </w:r>
      <w:r w:rsidRPr="008E3327">
        <w:tab/>
        <w:t>A liberdade de investigação científica compreende o direito dos investigadores individuais de definir livremente as questões que são objeto de investigação, de escolher e formular hipóteses, de reunir dados empíricos, de utilizar métodos de investigação científica rigorosos, de manter a integridade científica, de combater ideias recebidas, de publicar e comunicar livremente e de propor novas ideias e hipóteses e de as divulgar livremente;</w:t>
      </w:r>
    </w:p>
    <w:p w14:paraId="537A7F65" w14:textId="77777777" w:rsidR="00AD487D" w:rsidRPr="008E3327" w:rsidRDefault="00AD487D" w:rsidP="00AD487D">
      <w:pPr>
        <w:pStyle w:val="NormalHanging12a"/>
      </w:pPr>
      <w:r w:rsidRPr="001E0D97">
        <w:t>7</w:t>
      </w:r>
      <w:r w:rsidRPr="008E3327">
        <w:t>.</w:t>
      </w:r>
      <w:r w:rsidRPr="008E3327">
        <w:tab/>
        <w:t>Os direitos dos investigadores individuais abrangem, pelo menos:</w:t>
      </w:r>
    </w:p>
    <w:p w14:paraId="1D761FD5" w14:textId="77777777" w:rsidR="00AD487D" w:rsidRPr="008E3327" w:rsidRDefault="00AD487D" w:rsidP="00AD487D">
      <w:pPr>
        <w:pStyle w:val="NormalHanging12a"/>
        <w:ind w:left="1437" w:hanging="870"/>
      </w:pPr>
      <w:r w:rsidRPr="008E3327">
        <w:t>a)</w:t>
      </w:r>
      <w:r w:rsidRPr="008E3327">
        <w:tab/>
        <w:t xml:space="preserve">o direito de associação a organizações profissionais ou académicas </w:t>
      </w:r>
      <w:r w:rsidRPr="008E3327">
        <w:lastRenderedPageBreak/>
        <w:t>representativas;</w:t>
      </w:r>
    </w:p>
    <w:p w14:paraId="57AFF58F" w14:textId="77777777" w:rsidR="00AD487D" w:rsidRPr="008E3327" w:rsidRDefault="00AD487D" w:rsidP="00AD487D">
      <w:pPr>
        <w:pStyle w:val="NormalHanging12a"/>
        <w:ind w:left="1437" w:hanging="870"/>
        <w:rPr>
          <w:szCs w:val="24"/>
        </w:rPr>
      </w:pPr>
      <w:r w:rsidRPr="008E3327">
        <w:t>b)</w:t>
      </w:r>
      <w:r w:rsidRPr="008E3327">
        <w:tab/>
        <w:t>o direito de acesso livre às informações públicas e o direito de acesso às informações privadas necessárias para fins científicos, que deve ser contrabalançado com os direitos dos detentores das informações e a natureza e o grau de confidencialidade das informações;</w:t>
      </w:r>
    </w:p>
    <w:p w14:paraId="146C5E39" w14:textId="77777777" w:rsidR="00AD487D" w:rsidRPr="008E3327" w:rsidRDefault="00AD487D" w:rsidP="00AD487D">
      <w:pPr>
        <w:pStyle w:val="NormalHanging12a"/>
        <w:ind w:left="1437" w:hanging="870"/>
      </w:pPr>
      <w:r w:rsidRPr="008E3327">
        <w:t>c)</w:t>
      </w:r>
      <w:r w:rsidRPr="008E3327">
        <w:tab/>
        <w:t>o direito de manter confidenciais informações ou dados específicos, bem como as respetivas fontes, com vista a respeitar normas éticas e científicas, a fim de alcançar objetivos científicos ou outros objetivos legítimos;</w:t>
      </w:r>
    </w:p>
    <w:p w14:paraId="1C675A12" w14:textId="77777777" w:rsidR="00AD487D" w:rsidRPr="008E3327" w:rsidRDefault="00AD487D" w:rsidP="00AD487D">
      <w:pPr>
        <w:pStyle w:val="NormalHanging12a"/>
        <w:ind w:left="1437" w:hanging="870"/>
        <w:rPr>
          <w:szCs w:val="24"/>
        </w:rPr>
      </w:pPr>
      <w:r w:rsidRPr="008E3327">
        <w:t>d)</w:t>
      </w:r>
      <w:r w:rsidRPr="008E3327">
        <w:tab/>
        <w:t>o direito de publicar, partilhar, divulgar e comunicar abertamente, tanto a nível interno como externo, o direito de falar abertamente, inclusive de forma crítica, sobre o trabalho e a política das instituições de investigação científica e os resultados e os dados da sua investigação, sem receio de represálias;</w:t>
      </w:r>
    </w:p>
    <w:p w14:paraId="43F72235" w14:textId="77777777" w:rsidR="00AD487D" w:rsidRPr="008E3327" w:rsidRDefault="00AD487D" w:rsidP="00AD487D">
      <w:pPr>
        <w:pStyle w:val="NormalHanging12a"/>
        <w:ind w:left="1437" w:hanging="870"/>
        <w:rPr>
          <w:szCs w:val="24"/>
        </w:rPr>
      </w:pPr>
      <w:r w:rsidRPr="008E3327">
        <w:t>e)</w:t>
      </w:r>
      <w:r w:rsidRPr="008E3327">
        <w:tab/>
        <w:t>o direito de definir livremente temas de investigação, de escolher, desenvolver e recolher dados empíricos e de interagir com outros investigadores.</w:t>
      </w:r>
    </w:p>
    <w:p w14:paraId="7AE81189" w14:textId="77777777" w:rsidR="00AD487D" w:rsidRPr="008E3327" w:rsidRDefault="00AD487D" w:rsidP="00AD487D">
      <w:pPr>
        <w:pStyle w:val="NormalHanging12a"/>
        <w:rPr>
          <w:szCs w:val="24"/>
        </w:rPr>
      </w:pPr>
      <w:r w:rsidRPr="001E0D97">
        <w:t>8</w:t>
      </w:r>
      <w:r w:rsidRPr="008E3327">
        <w:t>.</w:t>
      </w:r>
      <w:r w:rsidRPr="008E3327">
        <w:tab/>
        <w:t>Os investigadores individuais devem poder usufruir desses direitos individuais sem receio de represálias.</w:t>
      </w:r>
    </w:p>
    <w:p w14:paraId="33F59D25" w14:textId="77777777" w:rsidR="00AD487D" w:rsidRPr="008E3327" w:rsidRDefault="00AD487D" w:rsidP="00AD487D">
      <w:pPr>
        <w:pStyle w:val="NormalHanging12a"/>
        <w:rPr>
          <w:b/>
        </w:rPr>
      </w:pPr>
      <w:r w:rsidRPr="008E3327">
        <w:rPr>
          <w:b/>
        </w:rPr>
        <w:t>Direitos e obrigações dos organismos de investigação científica</w:t>
      </w:r>
    </w:p>
    <w:p w14:paraId="709A6F54" w14:textId="77777777" w:rsidR="00AD487D" w:rsidRPr="008E3327" w:rsidRDefault="00AD487D" w:rsidP="00AD487D">
      <w:pPr>
        <w:pStyle w:val="NormalHanging12a"/>
        <w:rPr>
          <w:szCs w:val="24"/>
        </w:rPr>
      </w:pPr>
      <w:r w:rsidRPr="001E0D97">
        <w:t>9</w:t>
      </w:r>
      <w:r w:rsidRPr="008E3327">
        <w:t>.</w:t>
      </w:r>
      <w:r w:rsidRPr="008E3327">
        <w:tab/>
        <w:t>A fim de garantir aos investigadores científicos a liberdade da investigação científica, os organismos de investigação científica devem gozar de uma autonomia institucional efetiva. Embora a autonomia institucional seja uma condição prévia para a liberdade de investigação científica dos investigadores científicos e para a natureza autónoma da investigação, não está, por definição, subordinada aos direitos dos investigadores individuais. Para além do seu papel na proteção da liberdade da investigação científica, é necessária autonomia institucional para o bom funcionamento do setor científico. Por conseguinte, a proposta deve encontrar um equilíbrio cuidadoso, a fim de harmonizar os direitos individuais com a autonomia institucional.</w:t>
      </w:r>
    </w:p>
    <w:p w14:paraId="6FADD004" w14:textId="77777777" w:rsidR="00AD487D" w:rsidRPr="008E3327" w:rsidRDefault="00AD487D" w:rsidP="00AD487D">
      <w:pPr>
        <w:pStyle w:val="NormalHanging12a"/>
        <w:rPr>
          <w:szCs w:val="24"/>
        </w:rPr>
      </w:pPr>
      <w:r w:rsidRPr="001E0D97">
        <w:t>10</w:t>
      </w:r>
      <w:r w:rsidRPr="008E3327">
        <w:t>.</w:t>
      </w:r>
      <w:r w:rsidRPr="008E3327">
        <w:tab/>
        <w:t>Os organismos de investigação científica devem ter a liberdade de participar em ações de colaboração internacional.</w:t>
      </w:r>
    </w:p>
    <w:p w14:paraId="7A1215DF" w14:textId="77777777" w:rsidR="00AD487D" w:rsidRPr="008E3327" w:rsidRDefault="00AD487D" w:rsidP="00AD487D">
      <w:pPr>
        <w:pStyle w:val="NormalHanging12a"/>
        <w:rPr>
          <w:szCs w:val="24"/>
        </w:rPr>
      </w:pPr>
      <w:r w:rsidRPr="001E0D97">
        <w:t>11</w:t>
      </w:r>
      <w:r w:rsidRPr="008E3327">
        <w:t>.</w:t>
      </w:r>
      <w:r w:rsidRPr="008E3327">
        <w:tab/>
        <w:t>No âmbito da sua autonomia institucional, os organismos de investigação têm de garantir processos transparentes, justos e baseados na excelência para as carreiras de investigação.</w:t>
      </w:r>
    </w:p>
    <w:p w14:paraId="22DE05EC" w14:textId="77777777" w:rsidR="00AD487D" w:rsidRPr="008E3327" w:rsidRDefault="00AD487D" w:rsidP="00AD487D">
      <w:pPr>
        <w:pStyle w:val="NormalHanging12a"/>
      </w:pPr>
      <w:r w:rsidRPr="001E0D97">
        <w:t>12</w:t>
      </w:r>
      <w:r w:rsidRPr="008E3327">
        <w:t>.</w:t>
      </w:r>
      <w:r w:rsidRPr="008E3327">
        <w:tab/>
        <w:t>Os aspetos a ter em conta para criar uma autonomia institucional englobam a autonomia organizacional, a autonomia financeira, a autonomia do pessoal e a autonomia científica.</w:t>
      </w:r>
    </w:p>
    <w:p w14:paraId="3A95F697" w14:textId="77777777" w:rsidR="00AD487D" w:rsidRPr="008E3327" w:rsidRDefault="00AD487D" w:rsidP="00AD487D">
      <w:pPr>
        <w:pStyle w:val="NormalHanging12a"/>
        <w:rPr>
          <w:szCs w:val="24"/>
        </w:rPr>
      </w:pPr>
      <w:r w:rsidRPr="001E0D97">
        <w:t>13</w:t>
      </w:r>
      <w:r w:rsidRPr="008E3327">
        <w:t>.</w:t>
      </w:r>
      <w:r w:rsidRPr="008E3327">
        <w:tab/>
        <w:t xml:space="preserve">A autonomia institucional é altamente contextual e pode ser alcançada de muitas formas diversas, com diferentes combinações de autonomia. Para que exista uma autonomia institucional efetiva, não é necessário que estejam presentes, de forma uniforme, todos estes diferentes aspetos da autonomia institucional. Por conseguinte, a definição de autonomia institucional na proposta não deve ser estática, mas sim permitir a adaptação a diferentes contextos nacionais, regionais e institucionais, em particular, permitindo a mudança de ênfase entre diferentes aspetos da autonomia institucional, incorporando </w:t>
      </w:r>
      <w:r w:rsidRPr="008E3327">
        <w:lastRenderedPageBreak/>
        <w:t>uma apreciação gradual, em vez de binária, dos diferentes aspetos.</w:t>
      </w:r>
    </w:p>
    <w:p w14:paraId="2621E01D" w14:textId="77777777" w:rsidR="00AD487D" w:rsidRPr="008E3327" w:rsidRDefault="00AD487D" w:rsidP="00AD487D">
      <w:pPr>
        <w:pStyle w:val="NormalHanging12a"/>
        <w:rPr>
          <w:szCs w:val="24"/>
        </w:rPr>
      </w:pPr>
      <w:r w:rsidRPr="001E0D97">
        <w:t>14</w:t>
      </w:r>
      <w:r w:rsidRPr="008E3327">
        <w:t>.</w:t>
      </w:r>
      <w:r w:rsidRPr="008E3327">
        <w:tab/>
        <w:t>A autonomia institucional deve pressupor a obrigação de os organismos de investigação garantirem que os investigadores científicos participem de alguma forma na tomada de decisões.</w:t>
      </w:r>
    </w:p>
    <w:p w14:paraId="7C9F8987" w14:textId="77777777" w:rsidR="00AD487D" w:rsidRPr="008E3327" w:rsidRDefault="00AD487D" w:rsidP="00AD487D">
      <w:pPr>
        <w:pStyle w:val="NormalHanging12a"/>
        <w:rPr>
          <w:szCs w:val="24"/>
        </w:rPr>
      </w:pPr>
      <w:r w:rsidRPr="001E0D97">
        <w:t>15</w:t>
      </w:r>
      <w:r w:rsidRPr="008E3327">
        <w:t>.</w:t>
      </w:r>
      <w:r w:rsidRPr="008E3327">
        <w:tab/>
        <w:t xml:space="preserve">Tal inclui o direito de comentar publicamente a governação do organismo e do sistema sem receio de represálias. Inclui também a responsabilidade dos organismos de investigação de criarem uma cultura de debate aberto. Inclui ainda a existência de procedimentos eficazes para denunciar casos de conduta ilícita e proteger, em conformidade com as normas estabelecidas na Diretiva (UE) </w:t>
      </w:r>
      <w:r w:rsidRPr="001E0D97">
        <w:t>2019</w:t>
      </w:r>
      <w:r w:rsidRPr="008E3327">
        <w:t>/</w:t>
      </w:r>
      <w:r w:rsidRPr="001E0D97">
        <w:t>1937</w:t>
      </w:r>
      <w:r w:rsidRPr="008E3327">
        <w:t xml:space="preserve"> do Parlamento Europeu e do Conselho</w:t>
      </w:r>
      <w:r w:rsidRPr="008E3327">
        <w:rPr>
          <w:vertAlign w:val="superscript"/>
        </w:rPr>
        <w:footnoteReference w:id="5"/>
      </w:r>
      <w:r w:rsidRPr="008E3327">
        <w:t>, as pessoas que denunciam casos de conduta ilícita e violações de normas académicas ou de normas éticas, bem como procedimentos discretos, baseados na proteção da privacidade e na presunção de inocência, para tratar as denúncias de conduta ilícita.</w:t>
      </w:r>
    </w:p>
    <w:p w14:paraId="0F6C0DD0" w14:textId="77777777" w:rsidR="00AD487D" w:rsidRPr="008E3327" w:rsidRDefault="00AD487D" w:rsidP="00AD487D">
      <w:pPr>
        <w:pStyle w:val="NormalHanging12a"/>
        <w:rPr>
          <w:b/>
        </w:rPr>
      </w:pPr>
      <w:r w:rsidRPr="008E3327">
        <w:rPr>
          <w:b/>
        </w:rPr>
        <w:t>Obrigações governamentais</w:t>
      </w:r>
    </w:p>
    <w:p w14:paraId="3F5A8B27" w14:textId="77777777" w:rsidR="00AD487D" w:rsidRPr="008E3327" w:rsidRDefault="00AD487D" w:rsidP="00AD487D">
      <w:pPr>
        <w:pStyle w:val="NormalHanging12a"/>
        <w:rPr>
          <w:szCs w:val="24"/>
        </w:rPr>
      </w:pPr>
      <w:r w:rsidRPr="001E0D97">
        <w:t>16</w:t>
      </w:r>
      <w:r w:rsidRPr="008E3327">
        <w:t>.</w:t>
      </w:r>
      <w:r w:rsidRPr="008E3327">
        <w:tab/>
        <w:t>Os organismos governamentais dos Estados-Membros, a todos os níveis de governo, incluindo as instituições, órgãos e organismos europeus, devem ter a obrigação de respeitar, proteger, promover e garantir a liberdade da investigação científica, nomeadamente a autonomia institucional.</w:t>
      </w:r>
    </w:p>
    <w:p w14:paraId="0F991F8D" w14:textId="77777777" w:rsidR="00AD487D" w:rsidRPr="008E3327" w:rsidRDefault="00AD487D" w:rsidP="00AD487D">
      <w:pPr>
        <w:pStyle w:val="NormalHanging12a"/>
        <w:rPr>
          <w:szCs w:val="24"/>
        </w:rPr>
      </w:pPr>
      <w:r w:rsidRPr="001E0D97">
        <w:t>17</w:t>
      </w:r>
      <w:r w:rsidRPr="008E3327">
        <w:t>.</w:t>
      </w:r>
      <w:r w:rsidRPr="008E3327">
        <w:tab/>
        <w:t>Respeitar a liberdade de investigação científica significa que os organismos governamentais se abstêm de ingerências arbitrárias e de impor restrições indevidas à liberdade de investigação científica, bem como de participar ativamente ou de ser cúmplice em violações do direito.</w:t>
      </w:r>
    </w:p>
    <w:p w14:paraId="005C2989" w14:textId="77777777" w:rsidR="00AD487D" w:rsidRPr="008E3327" w:rsidRDefault="00AD487D" w:rsidP="00AD487D">
      <w:pPr>
        <w:pStyle w:val="NormalHanging12a"/>
      </w:pPr>
      <w:r w:rsidRPr="001E0D97">
        <w:t>18</w:t>
      </w:r>
      <w:r w:rsidRPr="008E3327">
        <w:t>.</w:t>
      </w:r>
      <w:r w:rsidRPr="008E3327">
        <w:tab/>
        <w:t>Proteger a liberdade de investigação científica significa que os organismos governamentais têm a obrigação de tomar medidas ativas de proteção contra terceiros que interfiram indevidamente com qualquer dimensão da liberdade de investigação científica.</w:t>
      </w:r>
    </w:p>
    <w:p w14:paraId="6AB220EB" w14:textId="77777777" w:rsidR="00AD487D" w:rsidRPr="008E3327" w:rsidRDefault="00AD487D" w:rsidP="00AD487D">
      <w:pPr>
        <w:pStyle w:val="NormalHanging12a"/>
        <w:rPr>
          <w:szCs w:val="24"/>
        </w:rPr>
      </w:pPr>
      <w:r w:rsidRPr="001E0D97">
        <w:t>19</w:t>
      </w:r>
      <w:r w:rsidRPr="008E3327">
        <w:t>.</w:t>
      </w:r>
      <w:r w:rsidRPr="008E3327">
        <w:tab/>
        <w:t>Garantir a liberdade da investigação científica significa que os organismos governamentais devem criar ativamente todas as condições prévias necessárias para o exercício de todos os aspetos da liberdade, incluindo a autonomia institucional. Tal inclui políticas para carreiras de investigação sustentáveis que prevejam empregos de qualidade em todas as fases da carreira, bem como um financiamento institucional a longo prazo, fiável e estável.</w:t>
      </w:r>
    </w:p>
    <w:p w14:paraId="4EA5C165" w14:textId="77777777" w:rsidR="00AD487D" w:rsidRPr="008E3327" w:rsidRDefault="00AD487D" w:rsidP="00AD487D">
      <w:pPr>
        <w:pStyle w:val="NormalHanging12a"/>
        <w:rPr>
          <w:szCs w:val="24"/>
        </w:rPr>
      </w:pPr>
      <w:r w:rsidRPr="001E0D97">
        <w:t>20</w:t>
      </w:r>
      <w:r w:rsidRPr="008E3327">
        <w:t>.</w:t>
      </w:r>
      <w:r w:rsidRPr="008E3327">
        <w:tab/>
        <w:t>Promover a liberdade de investigação científica significa que os organismos governamentais têm de colaborar ativamente com terceiros para defender o respeito, a proteção e a garantia da liberdade da investigação científica e, potencialmente, dissociar-se da cooperação com terceiros que não respeitem o mesmo conjunto de princípios e valores.</w:t>
      </w:r>
    </w:p>
    <w:p w14:paraId="47F928BE" w14:textId="77777777" w:rsidR="00AD487D" w:rsidRPr="008E3327" w:rsidRDefault="00AD487D" w:rsidP="00AD487D">
      <w:pPr>
        <w:pStyle w:val="NormalHanging12a"/>
        <w:rPr>
          <w:b/>
        </w:rPr>
      </w:pPr>
      <w:r w:rsidRPr="008E3327">
        <w:rPr>
          <w:b/>
        </w:rPr>
        <w:t>Considerações gerais</w:t>
      </w:r>
    </w:p>
    <w:p w14:paraId="3C9CCDD3" w14:textId="77777777" w:rsidR="00AD487D" w:rsidRPr="008E3327" w:rsidRDefault="00AD487D" w:rsidP="00AD487D">
      <w:pPr>
        <w:pStyle w:val="NormalHanging12a"/>
        <w:rPr>
          <w:szCs w:val="24"/>
        </w:rPr>
      </w:pPr>
      <w:r w:rsidRPr="001E0D97">
        <w:lastRenderedPageBreak/>
        <w:t>21</w:t>
      </w:r>
      <w:r w:rsidRPr="008E3327">
        <w:t>.</w:t>
      </w:r>
      <w:r w:rsidRPr="008E3327">
        <w:tab/>
        <w:t>A proposta legislativa deve ter em conta que a liberdade de investigação científica tem de ser entendida de forma abrangente, no sentido da ausência de ingerências e da garantia da existência de condições-quadro favoráveis. A investigação científica deve ser livre de ingerências governamentais indevidas e deve existir uma comunidade científica forte, bem como um organismo cívico recetivo ao conhecimento científico para o exercício da liberdade de investigação científica.</w:t>
      </w:r>
    </w:p>
    <w:p w14:paraId="6690F875" w14:textId="77777777" w:rsidR="00AD487D" w:rsidRPr="008E3327" w:rsidRDefault="00AD487D" w:rsidP="00AD487D">
      <w:pPr>
        <w:pStyle w:val="NormalHanging12a"/>
        <w:ind w:firstLine="0"/>
        <w:rPr>
          <w:szCs w:val="24"/>
        </w:rPr>
      </w:pPr>
      <w:r w:rsidRPr="008E3327">
        <w:t>As autoridades públicas devem ter a responsabilidade de investigar as alegadas violações da liberdade de investigação científica e de responsabilizar os seus autores.</w:t>
      </w:r>
    </w:p>
    <w:p w14:paraId="6298946B" w14:textId="77777777" w:rsidR="00AD487D" w:rsidRPr="008E3327" w:rsidRDefault="00AD487D" w:rsidP="00AD487D">
      <w:pPr>
        <w:pStyle w:val="NormalHanging12a"/>
        <w:rPr>
          <w:szCs w:val="24"/>
        </w:rPr>
      </w:pPr>
      <w:r w:rsidRPr="001E0D97">
        <w:t>22</w:t>
      </w:r>
      <w:r w:rsidRPr="008E3327">
        <w:t>.</w:t>
      </w:r>
      <w:r w:rsidRPr="008E3327">
        <w:tab/>
        <w:t>A proposta legislativa deve incluir a criação de um sistema de monitorização para a comunicação de infrações à investigação científica, uma vez identificadas.</w:t>
      </w:r>
    </w:p>
    <w:p w14:paraId="1282A6A3" w14:textId="77777777" w:rsidR="00AD487D" w:rsidRPr="008E3327" w:rsidRDefault="00AD487D" w:rsidP="00AD487D">
      <w:pPr>
        <w:pStyle w:val="NormalHanging12a"/>
        <w:rPr>
          <w:szCs w:val="24"/>
        </w:rPr>
      </w:pPr>
      <w:r w:rsidRPr="001E0D97">
        <w:t>23</w:t>
      </w:r>
      <w:r w:rsidRPr="008E3327">
        <w:t>.</w:t>
      </w:r>
      <w:r w:rsidRPr="008E3327">
        <w:tab/>
        <w:t>A proposta legislativa deve reconhecer que, embora a liberdade de investigação científica tenha o seu valor independente, no quadro das universidades modernas, a liberdade de investigação científica é indissociável da liberdade de ensinar. Tal significa que, tendo em conta a base jurídica da proposta e as competências essenciais da União em matéria de investigação, e no devido respeito das competências limitadas da União para legislar em matéria de educação, a proposta deve ter por objetivo proteger o âmbito mais amplo possível da divulgação interna.</w:t>
      </w:r>
    </w:p>
    <w:p w14:paraId="393F85EB" w14:textId="77777777" w:rsidR="00AD487D" w:rsidRPr="008E3327" w:rsidRDefault="00AD487D" w:rsidP="00AD487D">
      <w:pPr>
        <w:pStyle w:val="NormalHanging12a"/>
      </w:pPr>
      <w:r w:rsidRPr="001E0D97">
        <w:t>24</w:t>
      </w:r>
      <w:r w:rsidRPr="008E3327">
        <w:t>.</w:t>
      </w:r>
      <w:r w:rsidRPr="008E3327">
        <w:tab/>
        <w:t>O regulamento proposto deve ser juridicamente vinculativo em toda a União. A proposta deve visar a criação de um quadro jurídico que ofereça flexibilidade suficiente para equilibrar os direitos e as obrigações numa base casuística e que possa ser aplicado em toda a União, apesar da grande diversidade dos sistemas nacionais e regionais de investigação científica. Deve criar um ponto de partida para o desenvolvimento de normas jurídicas mínimas para a liberdade de investigação científica através da jurisprudência dos tribunais europeus, incluindo do Tribunal de Justiça da União Europeia.</w:t>
      </w:r>
    </w:p>
    <w:p w14:paraId="550165E1" w14:textId="77777777" w:rsidR="00E365E1" w:rsidRPr="008E3327" w:rsidRDefault="00E365E1" w:rsidP="00727FF5">
      <w:bookmarkStart w:id="10" w:name="TextBodyEnd"/>
      <w:bookmarkEnd w:id="10"/>
    </w:p>
    <w:sectPr w:rsidR="00E365E1" w:rsidRPr="008E3327" w:rsidSect="00FF61B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C977B3" w14:textId="77777777" w:rsidR="00727FF5" w:rsidRPr="00FF61B5" w:rsidRDefault="00727FF5">
      <w:r w:rsidRPr="00FF61B5">
        <w:separator/>
      </w:r>
    </w:p>
  </w:endnote>
  <w:endnote w:type="continuationSeparator" w:id="0">
    <w:p w14:paraId="638D1A43" w14:textId="77777777" w:rsidR="00727FF5" w:rsidRPr="00FF61B5" w:rsidRDefault="00727FF5">
      <w:r w:rsidRPr="00FF61B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5CD02D" w14:textId="77777777" w:rsidR="00AD487D" w:rsidRPr="00FF61B5" w:rsidRDefault="00AD487D" w:rsidP="005D36AB">
    <w:pPr>
      <w:pStyle w:val="EPFooter"/>
    </w:pPr>
    <w:r w:rsidRPr="00FF61B5">
      <w:t>PE</w:t>
    </w:r>
    <w:r w:rsidRPr="00FF61B5">
      <w:rPr>
        <w:rStyle w:val="HideTWBExt"/>
      </w:rPr>
      <w:t>&lt;NoPE&gt;</w:t>
    </w:r>
    <w:r w:rsidRPr="00FF61B5">
      <w:t>751.835</w:t>
    </w:r>
    <w:r w:rsidRPr="00FF61B5">
      <w:rPr>
        <w:rStyle w:val="HideTWBExt"/>
      </w:rPr>
      <w:t>&lt;/NoPE&gt;&lt;Version&gt;</w:t>
    </w:r>
    <w:r w:rsidRPr="00FF61B5">
      <w:t>v02-00</w:t>
    </w:r>
    <w:r w:rsidRPr="00FF61B5">
      <w:rPr>
        <w:rStyle w:val="HideTWBExt"/>
      </w:rPr>
      <w:t>&lt;/Version&gt;</w:t>
    </w:r>
    <w:r w:rsidRPr="00FF61B5">
      <w:tab/>
    </w:r>
    <w:r w:rsidRPr="00FF61B5">
      <w:fldChar w:fldCharType="begin"/>
    </w:r>
    <w:r w:rsidRPr="00FF61B5">
      <w:instrText xml:space="preserve"> PAGE  \* MERGEFORMAT </w:instrText>
    </w:r>
    <w:r w:rsidRPr="00FF61B5">
      <w:fldChar w:fldCharType="separate"/>
    </w:r>
    <w:r w:rsidR="00FF61B5" w:rsidRPr="00FF61B5">
      <w:rPr>
        <w:noProof/>
      </w:rPr>
      <w:t>2</w:t>
    </w:r>
    <w:r w:rsidRPr="00FF61B5">
      <w:fldChar w:fldCharType="end"/>
    </w:r>
    <w:r w:rsidRPr="00FF61B5">
      <w:t>/</w:t>
    </w:r>
    <w:r w:rsidR="001E0D97">
      <w:fldChar w:fldCharType="begin"/>
    </w:r>
    <w:r w:rsidR="001E0D97">
      <w:instrText xml:space="preserve"> NUMPAGES  \* MERGEFORMAT </w:instrText>
    </w:r>
    <w:r w:rsidR="001E0D97">
      <w:fldChar w:fldCharType="separate"/>
    </w:r>
    <w:r w:rsidR="00FF61B5" w:rsidRPr="00FF61B5">
      <w:rPr>
        <w:noProof/>
      </w:rPr>
      <w:t>4</w:t>
    </w:r>
    <w:r w:rsidR="001E0D97">
      <w:rPr>
        <w:noProof/>
      </w:rPr>
      <w:fldChar w:fldCharType="end"/>
    </w:r>
    <w:r w:rsidRPr="00FF61B5">
      <w:tab/>
    </w:r>
    <w:r w:rsidRPr="00FF61B5">
      <w:rPr>
        <w:rStyle w:val="HideTWBExt"/>
      </w:rPr>
      <w:t>&lt;PathFdR&gt;</w:t>
    </w:r>
    <w:r w:rsidRPr="00FF61B5">
      <w:t>RR\1292100PT.docx</w:t>
    </w:r>
    <w:r w:rsidRPr="00FF61B5">
      <w:rPr>
        <w:rStyle w:val="HideTWBExt"/>
      </w:rPr>
      <w:t>&lt;/PathFdR&gt;</w:t>
    </w:r>
  </w:p>
  <w:p w14:paraId="5EAAFE60" w14:textId="77777777" w:rsidR="00AD487D" w:rsidRPr="00FF61B5" w:rsidRDefault="00AD487D" w:rsidP="005D36AB">
    <w:pPr>
      <w:pStyle w:val="EPFooter2"/>
    </w:pPr>
    <w:r w:rsidRPr="00FF61B5">
      <w:t>PT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37BB93" w14:textId="77777777" w:rsidR="00AD487D" w:rsidRPr="00D15421" w:rsidRDefault="00AD487D" w:rsidP="00D15421">
    <w:pPr>
      <w:pStyle w:val="EPFooter2"/>
      <w:ind w:left="0"/>
      <w:rPr>
        <w:rFonts w:ascii="Times New Roman" w:hAnsi="Times New Roman" w:cs="Times New Roman"/>
        <w:b w:val="0"/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A5FDFC" w14:textId="77777777" w:rsidR="00AD487D" w:rsidRPr="00FF61B5" w:rsidRDefault="00AD487D" w:rsidP="005D36AB">
    <w:pPr>
      <w:pStyle w:val="EPFooter"/>
    </w:pPr>
    <w:r w:rsidRPr="00FF61B5">
      <w:rPr>
        <w:rStyle w:val="HideTWBExt"/>
      </w:rPr>
      <w:t>&lt;PathFdR&gt;</w:t>
    </w:r>
    <w:r w:rsidRPr="00FF61B5">
      <w:t>RR\1292100PT.docx</w:t>
    </w:r>
    <w:r w:rsidRPr="00FF61B5">
      <w:rPr>
        <w:rStyle w:val="HideTWBExt"/>
      </w:rPr>
      <w:t>&lt;/PathFdR&gt;</w:t>
    </w:r>
    <w:r w:rsidRPr="00FF61B5">
      <w:tab/>
    </w:r>
    <w:r w:rsidRPr="00FF61B5">
      <w:tab/>
      <w:t>PE</w:t>
    </w:r>
    <w:r w:rsidRPr="00FF61B5">
      <w:rPr>
        <w:rStyle w:val="HideTWBExt"/>
      </w:rPr>
      <w:t>&lt;NoPE&gt;</w:t>
    </w:r>
    <w:r w:rsidRPr="00FF61B5">
      <w:t>751.835</w:t>
    </w:r>
    <w:r w:rsidRPr="00FF61B5">
      <w:rPr>
        <w:rStyle w:val="HideTWBExt"/>
      </w:rPr>
      <w:t>&lt;/NoPE&gt;&lt;Version&gt;</w:t>
    </w:r>
    <w:r w:rsidRPr="00FF61B5">
      <w:t>v02-00</w:t>
    </w:r>
    <w:r w:rsidRPr="00FF61B5">
      <w:rPr>
        <w:rStyle w:val="HideTWBExt"/>
      </w:rPr>
      <w:t>&lt;/Version&gt;</w:t>
    </w:r>
  </w:p>
  <w:p w14:paraId="650D93A5" w14:textId="77777777" w:rsidR="00AD487D" w:rsidRPr="00FF61B5" w:rsidRDefault="00AD487D" w:rsidP="005D36AB">
    <w:pPr>
      <w:pStyle w:val="EPFooter2"/>
    </w:pPr>
    <w:r w:rsidRPr="00FF61B5">
      <w:t>PT</w:t>
    </w:r>
    <w:r w:rsidRPr="00FF61B5">
      <w:tab/>
    </w:r>
    <w:r w:rsidRPr="00FF61B5">
      <w:rPr>
        <w:b w:val="0"/>
        <w:i/>
        <w:color w:val="C0C0C0"/>
        <w:sz w:val="22"/>
      </w:rPr>
      <w:t>Unida na diversidade</w:t>
    </w:r>
    <w:r w:rsidRPr="00FF61B5">
      <w:tab/>
      <w:t>PT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1D7354" w14:textId="77777777" w:rsidR="00064002" w:rsidRPr="00FF61B5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DC1CCA" w14:textId="77777777" w:rsidR="00064002" w:rsidRPr="00FF61B5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408293" w14:textId="77777777" w:rsidR="00064002" w:rsidRPr="00FF61B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5BFF11" w14:textId="77777777" w:rsidR="00727FF5" w:rsidRPr="00FF61B5" w:rsidRDefault="00727FF5">
      <w:r w:rsidRPr="00FF61B5">
        <w:separator/>
      </w:r>
    </w:p>
  </w:footnote>
  <w:footnote w:type="continuationSeparator" w:id="0">
    <w:p w14:paraId="45FF7C57" w14:textId="77777777" w:rsidR="00727FF5" w:rsidRPr="00FF61B5" w:rsidRDefault="00727FF5">
      <w:r w:rsidRPr="00FF61B5">
        <w:continuationSeparator/>
      </w:r>
    </w:p>
  </w:footnote>
  <w:footnote w:id="1">
    <w:p w14:paraId="281D8A72" w14:textId="77777777" w:rsidR="00AD487D" w:rsidRPr="00FF61B5" w:rsidRDefault="00AD487D" w:rsidP="00FF61B5">
      <w:pPr>
        <w:pStyle w:val="FootnoteText"/>
        <w:ind w:left="567" w:hanging="567"/>
        <w:rPr>
          <w:sz w:val="24"/>
          <w:lang w:val="pt-PT"/>
        </w:rPr>
      </w:pPr>
      <w:r w:rsidRPr="00FF61B5">
        <w:rPr>
          <w:rStyle w:val="FootnoteReference"/>
          <w:sz w:val="24"/>
          <w:lang w:val="pt-PT"/>
        </w:rPr>
        <w:footnoteRef/>
      </w:r>
      <w:r w:rsidR="00FF61B5" w:rsidRPr="00FF61B5">
        <w:rPr>
          <w:sz w:val="24"/>
          <w:lang w:val="pt-PT"/>
        </w:rPr>
        <w:t xml:space="preserve"> </w:t>
      </w:r>
      <w:r w:rsidR="00FF61B5" w:rsidRPr="00FF61B5">
        <w:rPr>
          <w:sz w:val="24"/>
          <w:lang w:val="pt-PT"/>
        </w:rPr>
        <w:tab/>
      </w:r>
      <w:r w:rsidRPr="00FF61B5">
        <w:rPr>
          <w:sz w:val="24"/>
          <w:lang w:val="pt-PT"/>
        </w:rPr>
        <w:t>Regulamento (UE) </w:t>
      </w:r>
      <w:r w:rsidRPr="001E0D97">
        <w:rPr>
          <w:sz w:val="24"/>
          <w:lang w:val="pt-PT"/>
        </w:rPr>
        <w:t>2021</w:t>
      </w:r>
      <w:r w:rsidRPr="00FF61B5">
        <w:rPr>
          <w:sz w:val="24"/>
          <w:lang w:val="pt-PT"/>
        </w:rPr>
        <w:t>/</w:t>
      </w:r>
      <w:r w:rsidRPr="001E0D97">
        <w:rPr>
          <w:sz w:val="24"/>
          <w:lang w:val="pt-PT"/>
        </w:rPr>
        <w:t>695</w:t>
      </w:r>
      <w:r w:rsidRPr="00FF61B5">
        <w:rPr>
          <w:sz w:val="24"/>
          <w:lang w:val="pt-PT"/>
        </w:rPr>
        <w:t xml:space="preserve"> do Parlamento Europeu e</w:t>
      </w:r>
      <w:r w:rsidR="00D15421">
        <w:rPr>
          <w:sz w:val="24"/>
          <w:lang w:val="pt-PT"/>
        </w:rPr>
        <w:t xml:space="preserve"> do Conselho, de </w:t>
      </w:r>
      <w:r w:rsidR="00D15421" w:rsidRPr="001E0D97">
        <w:rPr>
          <w:sz w:val="24"/>
          <w:lang w:val="pt-PT"/>
        </w:rPr>
        <w:t>28</w:t>
      </w:r>
      <w:r w:rsidR="00D15421">
        <w:rPr>
          <w:sz w:val="24"/>
          <w:lang w:val="pt-PT"/>
        </w:rPr>
        <w:t xml:space="preserve"> de abril de </w:t>
      </w:r>
      <w:r w:rsidRPr="001E0D97">
        <w:rPr>
          <w:sz w:val="24"/>
          <w:lang w:val="pt-PT"/>
        </w:rPr>
        <w:t>2021</w:t>
      </w:r>
      <w:r w:rsidRPr="00FF61B5">
        <w:rPr>
          <w:sz w:val="24"/>
          <w:lang w:val="pt-PT"/>
        </w:rPr>
        <w:t>, que estabelece o Horizonte Europa – Programa-Quadro de Investigação e Inovação, que define as suas regras de participação e difusão, e que revoga os Regulamentos (UE) n.º </w:t>
      </w:r>
      <w:r w:rsidRPr="001E0D97">
        <w:rPr>
          <w:sz w:val="24"/>
          <w:lang w:val="pt-PT"/>
        </w:rPr>
        <w:t>1290</w:t>
      </w:r>
      <w:r w:rsidRPr="00FF61B5">
        <w:rPr>
          <w:sz w:val="24"/>
          <w:lang w:val="pt-PT"/>
        </w:rPr>
        <w:t>/</w:t>
      </w:r>
      <w:r w:rsidRPr="001E0D97">
        <w:rPr>
          <w:sz w:val="24"/>
          <w:lang w:val="pt-PT"/>
        </w:rPr>
        <w:t>2013</w:t>
      </w:r>
      <w:r w:rsidRPr="00FF61B5">
        <w:rPr>
          <w:sz w:val="24"/>
          <w:lang w:val="pt-PT"/>
        </w:rPr>
        <w:t xml:space="preserve"> e (UE) n.º </w:t>
      </w:r>
      <w:r w:rsidRPr="001E0D97">
        <w:rPr>
          <w:sz w:val="24"/>
          <w:lang w:val="pt-PT"/>
        </w:rPr>
        <w:t>1291</w:t>
      </w:r>
      <w:r w:rsidRPr="00FF61B5">
        <w:rPr>
          <w:sz w:val="24"/>
          <w:lang w:val="pt-PT"/>
        </w:rPr>
        <w:t>/</w:t>
      </w:r>
      <w:r w:rsidRPr="001E0D97">
        <w:rPr>
          <w:sz w:val="24"/>
          <w:lang w:val="pt-PT"/>
        </w:rPr>
        <w:t>2013</w:t>
      </w:r>
      <w:r w:rsidRPr="00FF61B5">
        <w:rPr>
          <w:sz w:val="24"/>
          <w:lang w:val="pt-PT"/>
        </w:rPr>
        <w:t xml:space="preserve"> (JO L </w:t>
      </w:r>
      <w:r w:rsidRPr="001E0D97">
        <w:rPr>
          <w:sz w:val="24"/>
          <w:lang w:val="pt-PT"/>
        </w:rPr>
        <w:t>170</w:t>
      </w:r>
      <w:r w:rsidRPr="00FF61B5">
        <w:rPr>
          <w:sz w:val="24"/>
          <w:lang w:val="pt-PT"/>
        </w:rPr>
        <w:t xml:space="preserve"> de </w:t>
      </w:r>
      <w:r w:rsidRPr="001E0D97">
        <w:rPr>
          <w:sz w:val="24"/>
          <w:lang w:val="pt-PT"/>
        </w:rPr>
        <w:t>12</w:t>
      </w:r>
      <w:r w:rsidRPr="00FF61B5">
        <w:rPr>
          <w:sz w:val="24"/>
          <w:lang w:val="pt-PT"/>
        </w:rPr>
        <w:t>.</w:t>
      </w:r>
      <w:r w:rsidRPr="001E0D97">
        <w:rPr>
          <w:sz w:val="24"/>
          <w:lang w:val="pt-PT"/>
        </w:rPr>
        <w:t>5</w:t>
      </w:r>
      <w:r w:rsidRPr="00FF61B5">
        <w:rPr>
          <w:sz w:val="24"/>
          <w:lang w:val="pt-PT"/>
        </w:rPr>
        <w:t>.</w:t>
      </w:r>
      <w:r w:rsidRPr="001E0D97">
        <w:rPr>
          <w:sz w:val="24"/>
          <w:lang w:val="pt-PT"/>
        </w:rPr>
        <w:t>2021</w:t>
      </w:r>
      <w:r w:rsidRPr="00FF61B5">
        <w:rPr>
          <w:sz w:val="24"/>
          <w:lang w:val="pt-PT"/>
        </w:rPr>
        <w:t>, p. </w:t>
      </w:r>
      <w:r w:rsidRPr="001E0D97">
        <w:rPr>
          <w:sz w:val="24"/>
          <w:lang w:val="pt-PT"/>
        </w:rPr>
        <w:t>1</w:t>
      </w:r>
      <w:r w:rsidRPr="00FF61B5">
        <w:rPr>
          <w:sz w:val="24"/>
          <w:lang w:val="pt-PT"/>
        </w:rPr>
        <w:t>).</w:t>
      </w:r>
    </w:p>
  </w:footnote>
  <w:footnote w:id="2">
    <w:p w14:paraId="1054FB01" w14:textId="77777777" w:rsidR="00AD487D" w:rsidRPr="006D5181" w:rsidRDefault="00AD487D" w:rsidP="00FF61B5">
      <w:pPr>
        <w:pStyle w:val="FootnoteText"/>
        <w:ind w:left="567" w:hanging="567"/>
        <w:rPr>
          <w:sz w:val="24"/>
          <w:lang w:val="en-GB"/>
        </w:rPr>
      </w:pPr>
      <w:r w:rsidRPr="00FF61B5">
        <w:rPr>
          <w:rStyle w:val="FootnoteReference"/>
          <w:sz w:val="24"/>
          <w:lang w:val="pt-PT"/>
        </w:rPr>
        <w:footnoteRef/>
      </w:r>
      <w:r w:rsidR="00FF61B5" w:rsidRPr="006D5181">
        <w:rPr>
          <w:sz w:val="24"/>
          <w:lang w:val="en-GB"/>
        </w:rPr>
        <w:t xml:space="preserve"> </w:t>
      </w:r>
      <w:r w:rsidR="00FF61B5" w:rsidRPr="006D5181">
        <w:rPr>
          <w:sz w:val="24"/>
          <w:lang w:val="en-GB"/>
        </w:rPr>
        <w:tab/>
      </w:r>
      <w:r w:rsidRPr="006D5181">
        <w:rPr>
          <w:sz w:val="24"/>
          <w:lang w:val="en-GB"/>
        </w:rPr>
        <w:t>Estudo do STOA: State of play of academic freedom in the EU member states: Overview of de facto trends and developments</w:t>
      </w:r>
      <w:r w:rsidR="00D15421" w:rsidRPr="006D5181">
        <w:rPr>
          <w:sz w:val="24"/>
          <w:lang w:val="en-GB"/>
        </w:rPr>
        <w:t>.</w:t>
      </w:r>
    </w:p>
  </w:footnote>
  <w:footnote w:id="3">
    <w:p w14:paraId="272E02B2" w14:textId="77777777" w:rsidR="00AD487D" w:rsidRPr="00FF61B5" w:rsidRDefault="00AD487D" w:rsidP="00FF61B5">
      <w:pPr>
        <w:pStyle w:val="FootnoteText"/>
        <w:ind w:left="567" w:hanging="567"/>
        <w:rPr>
          <w:sz w:val="24"/>
          <w:lang w:val="pt-PT"/>
        </w:rPr>
      </w:pPr>
      <w:r w:rsidRPr="00FF61B5">
        <w:rPr>
          <w:rStyle w:val="FootnoteReference"/>
          <w:sz w:val="24"/>
          <w:lang w:val="pt-PT"/>
        </w:rPr>
        <w:footnoteRef/>
      </w:r>
      <w:r w:rsidR="00FF61B5" w:rsidRPr="00FF61B5">
        <w:rPr>
          <w:sz w:val="24"/>
          <w:lang w:val="pt-PT"/>
        </w:rPr>
        <w:t xml:space="preserve"> </w:t>
      </w:r>
      <w:r w:rsidR="00FF61B5" w:rsidRPr="00FF61B5">
        <w:rPr>
          <w:sz w:val="24"/>
          <w:lang w:val="pt-PT"/>
        </w:rPr>
        <w:tab/>
      </w:r>
      <w:r w:rsidRPr="00FF61B5">
        <w:rPr>
          <w:sz w:val="24"/>
          <w:lang w:val="pt-PT"/>
        </w:rPr>
        <w:t xml:space="preserve">Acórdão do Tribunal de Justiça de </w:t>
      </w:r>
      <w:r w:rsidRPr="001E0D97">
        <w:rPr>
          <w:sz w:val="24"/>
          <w:lang w:val="pt-PT"/>
        </w:rPr>
        <w:t>6</w:t>
      </w:r>
      <w:r w:rsidRPr="00FF61B5">
        <w:rPr>
          <w:sz w:val="24"/>
          <w:lang w:val="pt-PT"/>
        </w:rPr>
        <w:t xml:space="preserve"> de outubro de </w:t>
      </w:r>
      <w:r w:rsidRPr="001E0D97">
        <w:rPr>
          <w:sz w:val="24"/>
          <w:lang w:val="pt-PT"/>
        </w:rPr>
        <w:t>2020</w:t>
      </w:r>
      <w:r w:rsidRPr="00FF61B5">
        <w:rPr>
          <w:sz w:val="24"/>
          <w:lang w:val="pt-PT"/>
        </w:rPr>
        <w:t>, Comissão/Hungria, C-</w:t>
      </w:r>
      <w:r w:rsidRPr="001E0D97">
        <w:rPr>
          <w:sz w:val="24"/>
          <w:lang w:val="pt-PT"/>
        </w:rPr>
        <w:t>66</w:t>
      </w:r>
      <w:r w:rsidRPr="00FF61B5">
        <w:rPr>
          <w:sz w:val="24"/>
          <w:lang w:val="pt-PT"/>
        </w:rPr>
        <w:t>/</w:t>
      </w:r>
      <w:r w:rsidRPr="001E0D97">
        <w:rPr>
          <w:sz w:val="24"/>
          <w:lang w:val="pt-PT"/>
        </w:rPr>
        <w:t>18</w:t>
      </w:r>
      <w:r w:rsidRPr="00FF61B5">
        <w:rPr>
          <w:sz w:val="24"/>
          <w:lang w:val="pt-PT"/>
        </w:rPr>
        <w:t>, ECLI:EU:C:</w:t>
      </w:r>
      <w:r w:rsidRPr="001E0D97">
        <w:rPr>
          <w:sz w:val="24"/>
          <w:lang w:val="pt-PT"/>
        </w:rPr>
        <w:t>2020</w:t>
      </w:r>
      <w:r w:rsidRPr="00FF61B5">
        <w:rPr>
          <w:sz w:val="24"/>
          <w:lang w:val="pt-PT"/>
        </w:rPr>
        <w:t>:</w:t>
      </w:r>
      <w:r w:rsidRPr="001E0D97">
        <w:rPr>
          <w:sz w:val="24"/>
          <w:lang w:val="pt-PT"/>
        </w:rPr>
        <w:t>792</w:t>
      </w:r>
      <w:r w:rsidRPr="00FF61B5">
        <w:rPr>
          <w:sz w:val="24"/>
          <w:lang w:val="pt-PT"/>
        </w:rPr>
        <w:t>.</w:t>
      </w:r>
    </w:p>
  </w:footnote>
  <w:footnote w:id="4">
    <w:p w14:paraId="2B2A3C62" w14:textId="77777777" w:rsidR="00AD487D" w:rsidRPr="00FF61B5" w:rsidRDefault="00AD487D" w:rsidP="00FF61B5">
      <w:pPr>
        <w:pStyle w:val="FootnoteText"/>
        <w:ind w:left="567" w:hanging="567"/>
        <w:rPr>
          <w:sz w:val="24"/>
          <w:lang w:val="pt-PT"/>
        </w:rPr>
      </w:pPr>
      <w:r w:rsidRPr="00FF61B5">
        <w:rPr>
          <w:rStyle w:val="FootnoteReference"/>
          <w:sz w:val="24"/>
          <w:lang w:val="pt-PT"/>
        </w:rPr>
        <w:footnoteRef/>
      </w:r>
      <w:r w:rsidR="00FF61B5" w:rsidRPr="00FF61B5">
        <w:rPr>
          <w:sz w:val="24"/>
          <w:lang w:val="pt-PT"/>
        </w:rPr>
        <w:t xml:space="preserve"> </w:t>
      </w:r>
      <w:r w:rsidR="00FF61B5" w:rsidRPr="00FF61B5">
        <w:rPr>
          <w:sz w:val="24"/>
          <w:lang w:val="pt-PT"/>
        </w:rPr>
        <w:tab/>
      </w:r>
      <w:r w:rsidRPr="00FF61B5">
        <w:rPr>
          <w:sz w:val="24"/>
          <w:lang w:val="pt-PT"/>
        </w:rPr>
        <w:t>COM(</w:t>
      </w:r>
      <w:r w:rsidRPr="001E0D97">
        <w:rPr>
          <w:sz w:val="24"/>
          <w:lang w:val="pt-PT"/>
        </w:rPr>
        <w:t>2023</w:t>
      </w:r>
      <w:r w:rsidRPr="00FF61B5">
        <w:rPr>
          <w:sz w:val="24"/>
          <w:lang w:val="pt-PT"/>
        </w:rPr>
        <w:t>)</w:t>
      </w:r>
      <w:r w:rsidRPr="001E0D97">
        <w:rPr>
          <w:sz w:val="24"/>
          <w:lang w:val="pt-PT"/>
        </w:rPr>
        <w:t>0436</w:t>
      </w:r>
      <w:r w:rsidR="00D15421">
        <w:rPr>
          <w:sz w:val="24"/>
          <w:lang w:val="pt-PT"/>
        </w:rPr>
        <w:t>.</w:t>
      </w:r>
    </w:p>
  </w:footnote>
  <w:footnote w:id="5">
    <w:p w14:paraId="0E5B4DA7" w14:textId="71C51288" w:rsidR="00AD487D" w:rsidRPr="00FF61B5" w:rsidRDefault="00AD487D" w:rsidP="00FF61B5">
      <w:pPr>
        <w:pStyle w:val="FootnoteText"/>
        <w:ind w:left="567" w:hanging="567"/>
        <w:rPr>
          <w:sz w:val="24"/>
          <w:lang w:val="pt-PT"/>
        </w:rPr>
      </w:pPr>
      <w:r w:rsidRPr="00FF61B5">
        <w:rPr>
          <w:rStyle w:val="FootnoteReference"/>
          <w:sz w:val="24"/>
          <w:lang w:val="pt-PT"/>
        </w:rPr>
        <w:footnoteRef/>
      </w:r>
      <w:r w:rsidR="00FF61B5" w:rsidRPr="00FF61B5">
        <w:rPr>
          <w:sz w:val="24"/>
          <w:lang w:val="pt-PT"/>
        </w:rPr>
        <w:t xml:space="preserve"> </w:t>
      </w:r>
      <w:r w:rsidR="00FF61B5" w:rsidRPr="00FF61B5">
        <w:rPr>
          <w:sz w:val="24"/>
          <w:lang w:val="pt-PT"/>
        </w:rPr>
        <w:tab/>
      </w:r>
      <w:r w:rsidRPr="00FF61B5">
        <w:rPr>
          <w:sz w:val="24"/>
          <w:lang w:val="pt-PT"/>
        </w:rPr>
        <w:t>Diretiva (UE) </w:t>
      </w:r>
      <w:r w:rsidRPr="001E0D97">
        <w:rPr>
          <w:sz w:val="24"/>
          <w:lang w:val="pt-PT"/>
        </w:rPr>
        <w:t>2019</w:t>
      </w:r>
      <w:r w:rsidRPr="00FF61B5">
        <w:rPr>
          <w:sz w:val="24"/>
          <w:lang w:val="pt-PT"/>
        </w:rPr>
        <w:t>/</w:t>
      </w:r>
      <w:r w:rsidRPr="001E0D97">
        <w:rPr>
          <w:sz w:val="24"/>
          <w:lang w:val="pt-PT"/>
        </w:rPr>
        <w:t>1937</w:t>
      </w:r>
      <w:r w:rsidRPr="00FF61B5">
        <w:rPr>
          <w:sz w:val="24"/>
          <w:lang w:val="pt-PT"/>
        </w:rPr>
        <w:t xml:space="preserve"> do Parlamento Europeu e d</w:t>
      </w:r>
      <w:r w:rsidR="00D669D6">
        <w:rPr>
          <w:sz w:val="24"/>
          <w:lang w:val="pt-PT"/>
        </w:rPr>
        <w:t xml:space="preserve">o Conselho, de </w:t>
      </w:r>
      <w:r w:rsidR="00D669D6" w:rsidRPr="001E0D97">
        <w:rPr>
          <w:sz w:val="24"/>
          <w:lang w:val="pt-PT"/>
        </w:rPr>
        <w:t>23</w:t>
      </w:r>
      <w:r w:rsidR="00D669D6">
        <w:rPr>
          <w:sz w:val="24"/>
          <w:lang w:val="pt-PT"/>
        </w:rPr>
        <w:t xml:space="preserve"> de outubro de </w:t>
      </w:r>
      <w:r w:rsidRPr="001E0D97">
        <w:rPr>
          <w:sz w:val="24"/>
          <w:lang w:val="pt-PT"/>
        </w:rPr>
        <w:t>2019</w:t>
      </w:r>
      <w:r w:rsidRPr="00FF61B5">
        <w:rPr>
          <w:sz w:val="24"/>
          <w:lang w:val="pt-PT"/>
        </w:rPr>
        <w:t>, relativa à proteção das pessoas que denunciam violações do direito da União (JO L </w:t>
      </w:r>
      <w:r w:rsidRPr="001E0D97">
        <w:rPr>
          <w:sz w:val="24"/>
          <w:lang w:val="pt-PT"/>
        </w:rPr>
        <w:t>305</w:t>
      </w:r>
      <w:r w:rsidRPr="00FF61B5">
        <w:rPr>
          <w:sz w:val="24"/>
          <w:lang w:val="pt-PT"/>
        </w:rPr>
        <w:t xml:space="preserve"> de </w:t>
      </w:r>
      <w:r w:rsidRPr="001E0D97">
        <w:rPr>
          <w:sz w:val="24"/>
          <w:lang w:val="pt-PT"/>
        </w:rPr>
        <w:t>26</w:t>
      </w:r>
      <w:r w:rsidRPr="00FF61B5">
        <w:rPr>
          <w:sz w:val="24"/>
          <w:lang w:val="pt-PT"/>
        </w:rPr>
        <w:t>.</w:t>
      </w:r>
      <w:r w:rsidRPr="001E0D97">
        <w:rPr>
          <w:sz w:val="24"/>
          <w:lang w:val="pt-PT"/>
        </w:rPr>
        <w:t>11</w:t>
      </w:r>
      <w:r w:rsidRPr="00FF61B5">
        <w:rPr>
          <w:sz w:val="24"/>
          <w:lang w:val="pt-PT"/>
        </w:rPr>
        <w:t>.</w:t>
      </w:r>
      <w:r w:rsidRPr="001E0D97">
        <w:rPr>
          <w:sz w:val="24"/>
          <w:lang w:val="pt-PT"/>
        </w:rPr>
        <w:t>2019</w:t>
      </w:r>
      <w:r w:rsidRPr="00FF61B5">
        <w:rPr>
          <w:sz w:val="24"/>
          <w:lang w:val="pt-PT"/>
        </w:rPr>
        <w:t>, p. </w:t>
      </w:r>
      <w:r w:rsidRPr="001E0D97">
        <w:rPr>
          <w:sz w:val="24"/>
          <w:lang w:val="pt-PT"/>
        </w:rPr>
        <w:t>17</w:t>
      </w:r>
      <w:r w:rsidRPr="00FF61B5">
        <w:rPr>
          <w:sz w:val="24"/>
          <w:lang w:val="pt-PT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365E41" w14:textId="77777777" w:rsidR="00064002" w:rsidRPr="00FF61B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85C2D5" w14:textId="77777777" w:rsidR="00064002" w:rsidRPr="00FF61B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A8C3E6" w14:textId="77777777" w:rsidR="00064002" w:rsidRPr="00FF61B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93/2023"/>
    <w:docVar w:name="dvlangue" w:val="PT"/>
    <w:docVar w:name="dvnumam" w:val="0"/>
    <w:docVar w:name="dvpe" w:val="751.835"/>
    <w:docVar w:name="dvrapporteur" w:val="Relator: "/>
    <w:docVar w:name="dvtitre" w:val="Resolução do Parlamento Europeu, de ... de ... de 2024,_x000d__x000a_ que contém recomendações à Comissão sobre a promoção da liberdade de investigação científica na UE(2023/2184(INL))"/>
  </w:docVars>
  <w:rsids>
    <w:rsidRoot w:val="00727FF5"/>
    <w:rsid w:val="00002272"/>
    <w:rsid w:val="00064002"/>
    <w:rsid w:val="000677B9"/>
    <w:rsid w:val="000831BA"/>
    <w:rsid w:val="000A42CC"/>
    <w:rsid w:val="000E7DD9"/>
    <w:rsid w:val="0010095E"/>
    <w:rsid w:val="00107025"/>
    <w:rsid w:val="00125B37"/>
    <w:rsid w:val="00187494"/>
    <w:rsid w:val="001E0D97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D5181"/>
    <w:rsid w:val="006F74FA"/>
    <w:rsid w:val="007009ED"/>
    <w:rsid w:val="00727FF5"/>
    <w:rsid w:val="00731ADD"/>
    <w:rsid w:val="00734777"/>
    <w:rsid w:val="00747932"/>
    <w:rsid w:val="00751A4A"/>
    <w:rsid w:val="00756632"/>
    <w:rsid w:val="00760D3C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E3327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D487D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E4075"/>
    <w:rsid w:val="00CF071A"/>
    <w:rsid w:val="00D058B8"/>
    <w:rsid w:val="00D15421"/>
    <w:rsid w:val="00D56C11"/>
    <w:rsid w:val="00D669D6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5147D"/>
    <w:rsid w:val="00F74202"/>
    <w:rsid w:val="00F87713"/>
    <w:rsid w:val="00FB4360"/>
    <w:rsid w:val="00FD0C70"/>
    <w:rsid w:val="00FF6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D899B8"/>
  <w15:chartTrackingRefBased/>
  <w15:docId w15:val="{2324F6BE-E3FD-4353-92DE-B4ABE7A7E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AD487D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AD487D"/>
    <w:pPr>
      <w:spacing w:before="480" w:after="240"/>
    </w:pPr>
  </w:style>
  <w:style w:type="paragraph" w:customStyle="1" w:styleId="PageHeading">
    <w:name w:val="PageHeading"/>
    <w:basedOn w:val="Normal"/>
    <w:rsid w:val="00AD487D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link w:val="NormalHanging12aChar"/>
    <w:rsid w:val="00AD487D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AD487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AD487D"/>
    <w:rPr>
      <w:sz w:val="24"/>
      <w:lang w:val="pt-PT"/>
    </w:rPr>
  </w:style>
  <w:style w:type="paragraph" w:customStyle="1" w:styleId="EPFooter">
    <w:name w:val="EPFooter"/>
    <w:basedOn w:val="Normal"/>
    <w:rsid w:val="00AD487D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NormalHanging12aChar">
    <w:name w:val="NormalHanging12a Char"/>
    <w:basedOn w:val="DefaultParagraphFont"/>
    <w:link w:val="NormalHanging12a"/>
    <w:rsid w:val="00AD487D"/>
    <w:rPr>
      <w:sz w:val="24"/>
      <w:lang w:val="pt-PT"/>
    </w:rPr>
  </w:style>
  <w:style w:type="character" w:styleId="CommentReference">
    <w:name w:val="annotation reference"/>
    <w:basedOn w:val="DefaultParagraphFont"/>
    <w:rsid w:val="006D5181"/>
    <w:rPr>
      <w:sz w:val="16"/>
      <w:szCs w:val="16"/>
    </w:rPr>
  </w:style>
  <w:style w:type="paragraph" w:styleId="CommentText">
    <w:name w:val="annotation text"/>
    <w:basedOn w:val="Normal"/>
    <w:link w:val="CommentTextChar"/>
    <w:rsid w:val="006D518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6D5181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6D518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D5181"/>
    <w:rPr>
      <w:b/>
      <w:bCs/>
      <w:lang w:val="pt-PT"/>
    </w:rPr>
  </w:style>
  <w:style w:type="paragraph" w:styleId="BalloonText">
    <w:name w:val="Balloon Text"/>
    <w:basedOn w:val="Normal"/>
    <w:link w:val="BalloonTextChar"/>
    <w:rsid w:val="006D518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D5181"/>
    <w:rPr>
      <w:rFonts w:ascii="Segoe UI" w:hAnsi="Segoe UI" w:cs="Segoe UI"/>
      <w:sz w:val="18"/>
      <w:szCs w:val="18"/>
      <w:lang w:val="pt-PT"/>
    </w:rPr>
  </w:style>
  <w:style w:type="paragraph" w:styleId="Revision">
    <w:name w:val="Revision"/>
    <w:hidden/>
    <w:uiPriority w:val="99"/>
    <w:semiHidden/>
    <w:rsid w:val="006D5181"/>
    <w:rPr>
      <w:sz w:val="24"/>
      <w:lang w:val="pt-PT"/>
    </w:rPr>
  </w:style>
  <w:style w:type="character" w:styleId="Hyperlink">
    <w:name w:val="Hyperlink"/>
    <w:basedOn w:val="DefaultParagraphFont"/>
    <w:rsid w:val="006D5181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F5147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6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footer" Target="footer5.xml"/><Relationship Id="rId10" Type="http://schemas.openxmlformats.org/officeDocument/2006/relationships/footer" Target="foot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BF83E1-6523-4996-B9F5-C3C6C5A255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11</Pages>
  <Words>4159</Words>
  <Characters>24131</Characters>
  <Application>Microsoft Office Word</Application>
  <DocSecurity>0</DocSecurity>
  <Lines>201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</dc:creator>
  <cp:keywords/>
  <cp:lastModifiedBy>LUKSITE Marija</cp:lastModifiedBy>
  <cp:revision>3</cp:revision>
  <cp:lastPrinted>2004-11-19T15:42:00Z</cp:lastPrinted>
  <dcterms:created xsi:type="dcterms:W3CDTF">2024-01-17T11:43:00Z</dcterms:created>
  <dcterms:modified xsi:type="dcterms:W3CDTF">2024-01-18T11:45:00Z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A9-0393/2023</vt:lpwstr>
  </property>
  <property fmtid="{D5CDD505-2E9C-101B-9397-08002B2CF9AE}" pid="4" name="&lt;Type&gt;">
    <vt:lpwstr>RR</vt:lpwstr>
  </property>
</Properties>
</file>