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D0E2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D0E2C" w:rsidRDefault="00496320" w:rsidP="0010095E">
            <w:pPr>
              <w:pStyle w:val="EPName"/>
            </w:pPr>
            <w:r w:rsidRPr="00AD0E2C">
              <w:t>Evropský parlament</w:t>
            </w:r>
          </w:p>
          <w:p w:rsidR="00751A4A" w:rsidRPr="00AD0E2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0E2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D0E2C" w:rsidRDefault="00187494" w:rsidP="0010095E">
            <w:pPr>
              <w:pStyle w:val="EPLogo"/>
            </w:pPr>
            <w:r w:rsidRPr="00AD0E2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D0E2C" w:rsidRDefault="00D058B8" w:rsidP="004C5D52">
      <w:pPr>
        <w:pStyle w:val="LineTop"/>
      </w:pPr>
    </w:p>
    <w:p w:rsidR="00680577" w:rsidRPr="00AD0E2C" w:rsidRDefault="00496320" w:rsidP="00680577">
      <w:pPr>
        <w:pStyle w:val="EPBodyTA1"/>
      </w:pPr>
      <w:r w:rsidRPr="00AD0E2C">
        <w:t>PŘIJATÉ TEXTY</w:t>
      </w:r>
    </w:p>
    <w:p w:rsidR="00D058B8" w:rsidRPr="00AD0E2C" w:rsidRDefault="00D058B8" w:rsidP="00D058B8">
      <w:pPr>
        <w:pStyle w:val="LineBottom"/>
      </w:pPr>
    </w:p>
    <w:p w:rsidR="00496320" w:rsidRPr="00AD0E2C" w:rsidRDefault="00496320" w:rsidP="00496320">
      <w:pPr>
        <w:pStyle w:val="ATHeading1"/>
      </w:pPr>
      <w:bookmarkStart w:id="0" w:name="TANumber"/>
      <w:r w:rsidRPr="00AD0E2C">
        <w:t>P9_TA(2024)00</w:t>
      </w:r>
      <w:bookmarkEnd w:id="0"/>
      <w:r w:rsidR="00352945">
        <w:t>23</w:t>
      </w:r>
    </w:p>
    <w:p w:rsidR="00496320" w:rsidRPr="00AD0E2C" w:rsidRDefault="00496320" w:rsidP="00496320">
      <w:pPr>
        <w:pStyle w:val="ATHeading2"/>
      </w:pPr>
      <w:bookmarkStart w:id="1" w:name="title"/>
      <w:r w:rsidRPr="00AD0E2C">
        <w:t>Provádění ustanovení Smlouvy o vnitrostátních parlamentech</w:t>
      </w:r>
      <w:bookmarkEnd w:id="1"/>
    </w:p>
    <w:p w:rsidR="00496320" w:rsidRPr="00AD0E2C" w:rsidRDefault="00496320" w:rsidP="00496320">
      <w:pPr>
        <w:rPr>
          <w:i/>
          <w:vanish/>
        </w:rPr>
      </w:pPr>
      <w:r w:rsidRPr="00AD0E2C">
        <w:rPr>
          <w:i/>
        </w:rPr>
        <w:fldChar w:fldCharType="begin"/>
      </w:r>
      <w:r w:rsidRPr="00AD0E2C">
        <w:rPr>
          <w:i/>
        </w:rPr>
        <w:instrText xml:space="preserve"> TC"(</w:instrText>
      </w:r>
      <w:bookmarkStart w:id="2" w:name="DocNumber"/>
      <w:r w:rsidRPr="00AD0E2C">
        <w:rPr>
          <w:i/>
        </w:rPr>
        <w:instrText>A9-0429/2023</w:instrText>
      </w:r>
      <w:bookmarkEnd w:id="2"/>
      <w:r w:rsidRPr="00AD0E2C">
        <w:rPr>
          <w:i/>
        </w:rPr>
        <w:instrText xml:space="preserve"> - Zpravodaj: Paulo </w:instrText>
      </w:r>
      <w:proofErr w:type="spellStart"/>
      <w:r w:rsidRPr="00AD0E2C">
        <w:rPr>
          <w:i/>
        </w:rPr>
        <w:instrText>Rangel</w:instrText>
      </w:r>
      <w:proofErr w:type="spellEnd"/>
      <w:r w:rsidRPr="00AD0E2C">
        <w:rPr>
          <w:i/>
        </w:rPr>
        <w:instrText xml:space="preserve">)"\l3 \n&gt; \* MERGEFORMAT </w:instrText>
      </w:r>
      <w:r w:rsidRPr="00AD0E2C">
        <w:rPr>
          <w:i/>
        </w:rPr>
        <w:fldChar w:fldCharType="end"/>
      </w:r>
    </w:p>
    <w:p w:rsidR="00496320" w:rsidRPr="00AD0E2C" w:rsidRDefault="00496320" w:rsidP="00496320">
      <w:pPr>
        <w:rPr>
          <w:vanish/>
        </w:rPr>
      </w:pPr>
      <w:bookmarkStart w:id="3" w:name="Commission"/>
      <w:r w:rsidRPr="00AD0E2C">
        <w:rPr>
          <w:vanish/>
        </w:rPr>
        <w:t>Výbor pro ústavní záležitosti</w:t>
      </w:r>
      <w:bookmarkEnd w:id="3"/>
    </w:p>
    <w:p w:rsidR="00496320" w:rsidRPr="00AD0E2C" w:rsidRDefault="00496320" w:rsidP="00496320">
      <w:pPr>
        <w:rPr>
          <w:vanish/>
        </w:rPr>
      </w:pPr>
      <w:bookmarkStart w:id="4" w:name="PE"/>
      <w:r w:rsidRPr="00AD0E2C">
        <w:rPr>
          <w:vanish/>
        </w:rPr>
        <w:t>PE752.837</w:t>
      </w:r>
      <w:bookmarkEnd w:id="4"/>
    </w:p>
    <w:p w:rsidR="00496320" w:rsidRPr="00AD0E2C" w:rsidRDefault="00496320" w:rsidP="00496320">
      <w:pPr>
        <w:pStyle w:val="ATHeading3"/>
      </w:pPr>
      <w:bookmarkStart w:id="5" w:name="Sujet"/>
      <w:r w:rsidRPr="00AD0E2C">
        <w:t xml:space="preserve">Usnesení </w:t>
      </w:r>
      <w:r w:rsidR="00352945">
        <w:t>Evropského parlamentu ze dne 17</w:t>
      </w:r>
      <w:bookmarkStart w:id="6" w:name="_GoBack"/>
      <w:bookmarkEnd w:id="6"/>
      <w:r w:rsidR="00FD6EAC">
        <w:t>. ledna</w:t>
      </w:r>
      <w:r w:rsidRPr="00AD0E2C">
        <w:t xml:space="preserve"> 2024 o provádění ustanovení Smlouvy o vnitrostátních parlamentech</w:t>
      </w:r>
      <w:bookmarkEnd w:id="5"/>
      <w:r w:rsidRPr="00AD0E2C">
        <w:t xml:space="preserve"> </w:t>
      </w:r>
      <w:bookmarkStart w:id="7" w:name="References"/>
      <w:r w:rsidRPr="00AD0E2C">
        <w:t>(2023/2084(INI))</w:t>
      </w:r>
      <w:bookmarkEnd w:id="7"/>
    </w:p>
    <w:p w:rsidR="00E90C38" w:rsidRPr="00AD0E2C" w:rsidRDefault="00E90C38" w:rsidP="00E90C38">
      <w:pPr>
        <w:pStyle w:val="EPComma"/>
      </w:pPr>
      <w:bookmarkStart w:id="8" w:name="TextBodyBegin"/>
      <w:bookmarkEnd w:id="8"/>
      <w:r w:rsidRPr="00AD0E2C">
        <w:rPr>
          <w:i/>
        </w:rPr>
        <w:t>Evropský parlament</w:t>
      </w:r>
      <w:r w:rsidRPr="00AD0E2C">
        <w:t>,</w:t>
      </w:r>
    </w:p>
    <w:p w:rsidR="00E90C38" w:rsidRPr="00AD0E2C" w:rsidRDefault="00E90C38" w:rsidP="00E90C38">
      <w:pPr>
        <w:pStyle w:val="NormalHanging12a"/>
      </w:pPr>
      <w:r w:rsidRPr="00AD0E2C">
        <w:t>–</w:t>
      </w:r>
      <w:r w:rsidRPr="00AD0E2C">
        <w:tab/>
        <w:t>s ohledem na Smlouvu o Evropské unii (SEU), zejména na její článek 5 o svěření pravomocí a subsidiaritě, čl. 10 odst. 1 o zastupitelské demokracii, čl. 10 odst. 2 o zastoupení občanů EU, čl. 10 odst. 3 o právu občanů EU podílet se na demokratickém životě Unie, čl. 10 odst. 4 o úloze evropských politických stran, článek 11 o participativní demokracii, článek 12 o úloze vnitrostátních parlamentů, čl. 48 odst. 3 o řádném postupu pro přijímání změn a čl. 48 odst. 7 (překlenovací ustanovení),</w:t>
      </w:r>
    </w:p>
    <w:p w:rsidR="00E90C38" w:rsidRPr="00AD0E2C" w:rsidRDefault="00E90C38" w:rsidP="00E90C38">
      <w:pPr>
        <w:pStyle w:val="NormalHanging12a"/>
      </w:pPr>
      <w:proofErr w:type="gramStart"/>
      <w:r w:rsidRPr="00AD0E2C">
        <w:t>–</w:t>
      </w:r>
      <w:r w:rsidRPr="00AD0E2C">
        <w:tab/>
        <w:t>s ohledem</w:t>
      </w:r>
      <w:proofErr w:type="gramEnd"/>
      <w:r w:rsidRPr="00AD0E2C">
        <w:t xml:space="preserve"> na protokol č. 1 o úloze vnitrostátních parlamentů v Evropské unii</w:t>
      </w:r>
      <w:r w:rsidRPr="00AD0E2C">
        <w:rPr>
          <w:rStyle w:val="FootnoteReference"/>
        </w:rPr>
        <w:footnoteReference w:id="1"/>
      </w:r>
      <w:r w:rsidRPr="00AD0E2C">
        <w:t xml:space="preserve">, </w:t>
      </w:r>
      <w:proofErr w:type="gramStart"/>
      <w:r w:rsidRPr="00AD0E2C">
        <w:t>který</w:t>
      </w:r>
      <w:proofErr w:type="gramEnd"/>
      <w:r w:rsidRPr="00AD0E2C">
        <w:t xml:space="preserve"> tvoří přílohu Amsterodamské smlouvy, a na protokol č. 2 o používání zásad subsidiarity a proporcionality</w:t>
      </w:r>
      <w:r w:rsidRPr="00AD0E2C">
        <w:rPr>
          <w:rStyle w:val="FootnoteReference"/>
        </w:rPr>
        <w:footnoteReference w:id="2"/>
      </w:r>
      <w:r w:rsidRPr="00AD0E2C">
        <w:t>, který tvoří přílohu Lisabonské smlouvy,</w:t>
      </w:r>
    </w:p>
    <w:p w:rsidR="00E90C38" w:rsidRPr="00AD0E2C" w:rsidRDefault="00E90C38" w:rsidP="00E90C38">
      <w:pPr>
        <w:pStyle w:val="NormalHanging12a"/>
      </w:pPr>
      <w:r w:rsidRPr="00AD0E2C">
        <w:t>–</w:t>
      </w:r>
      <w:r w:rsidRPr="00AD0E2C">
        <w:tab/>
        <w:t>s ohledem na článek 15 Smlouvy o fungování Evropské unie (SFEU) a články 41 a 42 Listiny základních práv Evropské unie,</w:t>
      </w:r>
    </w:p>
    <w:p w:rsidR="00E90C38" w:rsidRPr="00AD0E2C" w:rsidRDefault="00E90C38" w:rsidP="00E90C38">
      <w:pPr>
        <w:pStyle w:val="NormalHanging12a"/>
      </w:pPr>
      <w:r w:rsidRPr="00AD0E2C">
        <w:t>–</w:t>
      </w:r>
      <w:r w:rsidRPr="00AD0E2C">
        <w:tab/>
        <w:t>s ohledem na svá usnesení ze dne 7. května 2009 o vývoji vztahů mezi Evropským parlamentem a vnitrostátními parlamenty v rámci Lisabonské smlouvy</w:t>
      </w:r>
      <w:r w:rsidRPr="00AD0E2C">
        <w:rPr>
          <w:vertAlign w:val="superscript"/>
        </w:rPr>
        <w:footnoteReference w:id="3"/>
      </w:r>
      <w:r w:rsidRPr="00AD0E2C">
        <w:t>, ze dne 16. dubna 2014 o vztazích mezi Evropským parlamentem a vnitrostátními parlamenty</w:t>
      </w:r>
      <w:r w:rsidRPr="00AD0E2C">
        <w:rPr>
          <w:vertAlign w:val="superscript"/>
        </w:rPr>
        <w:footnoteReference w:id="4"/>
      </w:r>
      <w:r w:rsidRPr="00AD0E2C">
        <w:t xml:space="preserve"> a ze dne 19. dubna 2018 o provádění ustanovení Smlouvy týkajících se vnitrostátních parlamentů</w:t>
      </w:r>
      <w:r w:rsidRPr="00AD0E2C">
        <w:rPr>
          <w:vertAlign w:val="superscript"/>
        </w:rPr>
        <w:footnoteReference w:id="5"/>
      </w:r>
      <w:r w:rsidRPr="00AD0E2C">
        <w:t xml:space="preserve">, </w:t>
      </w:r>
    </w:p>
    <w:p w:rsidR="00E90C38" w:rsidRPr="00AD0E2C" w:rsidRDefault="00E90C38" w:rsidP="00E90C38">
      <w:pPr>
        <w:pStyle w:val="NormalHanging12a"/>
      </w:pPr>
      <w:r w:rsidRPr="00AD0E2C">
        <w:t>–</w:t>
      </w:r>
      <w:r w:rsidRPr="00AD0E2C">
        <w:tab/>
        <w:t>s ohledem na návrh nařízení Evropského parlamentu a Rady o statutu a financování evropských politických stran a evropských politických nadací (</w:t>
      </w:r>
      <w:proofErr w:type="gramStart"/>
      <w:r w:rsidRPr="00AD0E2C">
        <w:t>COM(2021</w:t>
      </w:r>
      <w:proofErr w:type="gramEnd"/>
      <w:r w:rsidRPr="00AD0E2C">
        <w:t>)0734),</w:t>
      </w:r>
    </w:p>
    <w:p w:rsidR="00E90C38" w:rsidRPr="00AD0E2C" w:rsidRDefault="00E90C38" w:rsidP="00E90C38">
      <w:pPr>
        <w:pStyle w:val="NormalHanging12a"/>
      </w:pPr>
      <w:r w:rsidRPr="00AD0E2C">
        <w:t>–</w:t>
      </w:r>
      <w:r w:rsidRPr="00AD0E2C">
        <w:tab/>
        <w:t xml:space="preserve">s ohledem na výroční zprávu Komise o používání zásad subsidiarity a proporcionality a </w:t>
      </w:r>
      <w:r w:rsidRPr="00AD0E2C">
        <w:lastRenderedPageBreak/>
        <w:t>o vztazích s vnitrostátními parlamenty za rok 2018 ze dne 11. července 2019 (</w:t>
      </w:r>
      <w:proofErr w:type="gramStart"/>
      <w:r w:rsidRPr="00AD0E2C">
        <w:t>COM(2019</w:t>
      </w:r>
      <w:proofErr w:type="gramEnd"/>
      <w:r w:rsidRPr="00AD0E2C">
        <w:t>)0333), za rok 2019 ze dne 30. června 2020 (COM(2020)0272), za rok 2020 ze dne 23. července 2021 (COM(2021)0417) a za rok 2021 ze dne 1. srpna 2022 (COM(2022)0366),</w:t>
      </w:r>
    </w:p>
    <w:p w:rsidR="00E90C38" w:rsidRPr="00AD0E2C" w:rsidRDefault="00E90C38" w:rsidP="00E90C38">
      <w:pPr>
        <w:pStyle w:val="NormalHanging12a"/>
      </w:pPr>
      <w:r w:rsidRPr="00AD0E2C">
        <w:t>–</w:t>
      </w:r>
      <w:r w:rsidRPr="00AD0E2C">
        <w:tab/>
        <w:t>s ohledem na výroční zprávy ředitelství Evropského parlamentu pro vztahy s vnitrostátními parlamenty, zejména na zprávu z roku 2022 o vztazích mezi Evropským parlamentem a vnitrostátními parlamenty v EU,</w:t>
      </w:r>
    </w:p>
    <w:p w:rsidR="00E90C38" w:rsidRPr="00AD0E2C" w:rsidRDefault="00E90C38" w:rsidP="00E90C38">
      <w:pPr>
        <w:pStyle w:val="NormalHanging12a"/>
      </w:pPr>
      <w:r w:rsidRPr="00AD0E2C">
        <w:t>–</w:t>
      </w:r>
      <w:r w:rsidRPr="00AD0E2C">
        <w:tab/>
        <w:t>s ohledem na své usnesení ze dne 20. ledna 2021 o kontrole uplatňování práva EU v letech 2017, 2018 a 2019</w:t>
      </w:r>
      <w:r w:rsidRPr="00AD0E2C">
        <w:rPr>
          <w:vertAlign w:val="superscript"/>
        </w:rPr>
        <w:footnoteReference w:id="6"/>
      </w:r>
      <w:r w:rsidRPr="00AD0E2C">
        <w:t xml:space="preserve"> a ze dne 19. května 2022 o zprávě Komise o právním státu za rok 2021</w:t>
      </w:r>
      <w:r w:rsidRPr="00AD0E2C">
        <w:rPr>
          <w:vertAlign w:val="superscript"/>
        </w:rPr>
        <w:footnoteReference w:id="7"/>
      </w:r>
      <w:r w:rsidRPr="00AD0E2C">
        <w:t>,</w:t>
      </w:r>
    </w:p>
    <w:p w:rsidR="00E90C38" w:rsidRPr="00AD0E2C" w:rsidRDefault="00E90C38" w:rsidP="00E90C38">
      <w:pPr>
        <w:pStyle w:val="NormalHanging12a"/>
      </w:pPr>
      <w:r w:rsidRPr="00AD0E2C">
        <w:t>–</w:t>
      </w:r>
      <w:r w:rsidRPr="00AD0E2C">
        <w:tab/>
        <w:t>s ohledem na své usnesení ze dne 24. června 2021 o účelnosti a subsidiaritě a proporcionalitě právních předpisů Evropské unie – zpráva o zdokonalení tvorby právních předpisů za roky 2017, 2018 a 2019</w:t>
      </w:r>
      <w:r w:rsidRPr="00AD0E2C">
        <w:rPr>
          <w:vertAlign w:val="superscript"/>
        </w:rPr>
        <w:footnoteReference w:id="8"/>
      </w:r>
      <w:r w:rsidRPr="00AD0E2C">
        <w:t>,</w:t>
      </w:r>
    </w:p>
    <w:p w:rsidR="00E90C38" w:rsidRPr="00AD0E2C" w:rsidRDefault="00E90C38" w:rsidP="00E90C38">
      <w:pPr>
        <w:pStyle w:val="NormalHanging12a"/>
      </w:pPr>
      <w:r w:rsidRPr="00AD0E2C">
        <w:t>–</w:t>
      </w:r>
      <w:r w:rsidRPr="00AD0E2C">
        <w:tab/>
        <w:t>s ohledem na zprávu pracovní skupiny pro subsidiaritu, proporcionalitu a scénář „Méně, zato efektivněji“ ze dne 10. července 2018 nazvanou „Aktivní subsidiarita – nový způsob práce“</w:t>
      </w:r>
      <w:r w:rsidRPr="00AD0E2C">
        <w:rPr>
          <w:vertAlign w:val="superscript"/>
        </w:rPr>
        <w:footnoteReference w:id="9"/>
      </w:r>
      <w:r w:rsidRPr="00AD0E2C">
        <w:t>,</w:t>
      </w:r>
    </w:p>
    <w:p w:rsidR="00E90C38" w:rsidRPr="00AD0E2C" w:rsidRDefault="00E90C38" w:rsidP="00E90C38">
      <w:pPr>
        <w:pStyle w:val="NormalHanging12a"/>
      </w:pPr>
      <w:r w:rsidRPr="00AD0E2C">
        <w:t>–</w:t>
      </w:r>
      <w:r w:rsidRPr="00AD0E2C">
        <w:tab/>
        <w:t>s ohledem na své usnesení ze dne 15. ledna 2020 o postoji Evropského parlamentu ke konferenci o budoucnosti Evropy</w:t>
      </w:r>
      <w:r w:rsidRPr="00AD0E2C">
        <w:rPr>
          <w:vertAlign w:val="superscript"/>
        </w:rPr>
        <w:footnoteReference w:id="10"/>
      </w:r>
      <w:r w:rsidRPr="00AD0E2C">
        <w:t xml:space="preserve"> a ze dne 4. května 2022 o opatřeních v návaznosti na Konferenci o budoucnosti Evropy</w:t>
      </w:r>
      <w:r w:rsidRPr="00AD0E2C">
        <w:rPr>
          <w:vertAlign w:val="superscript"/>
        </w:rPr>
        <w:footnoteReference w:id="11"/>
      </w:r>
      <w:r w:rsidRPr="00AD0E2C">
        <w:t>,</w:t>
      </w:r>
    </w:p>
    <w:p w:rsidR="00E90C38" w:rsidRPr="00AD0E2C" w:rsidRDefault="00E90C38" w:rsidP="00E90C38">
      <w:pPr>
        <w:pStyle w:val="NormalHanging12a"/>
      </w:pPr>
      <w:r w:rsidRPr="00AD0E2C">
        <w:t>–</w:t>
      </w:r>
      <w:r w:rsidRPr="00AD0E2C">
        <w:tab/>
        <w:t>s ohledem na své usnesení ze dne 9. června 2022 o výzvě ke svolání konventu k revizi Smluv</w:t>
      </w:r>
      <w:r w:rsidRPr="00AD0E2C">
        <w:rPr>
          <w:vertAlign w:val="superscript"/>
        </w:rPr>
        <w:footnoteReference w:id="12"/>
      </w:r>
      <w:r w:rsidRPr="00AD0E2C">
        <w:t>,</w:t>
      </w:r>
    </w:p>
    <w:p w:rsidR="00E90C38" w:rsidRPr="00AD0E2C" w:rsidRDefault="00E90C38" w:rsidP="00E90C38">
      <w:pPr>
        <w:pStyle w:val="NormalHanging12a"/>
      </w:pPr>
      <w:r w:rsidRPr="00AD0E2C">
        <w:t>–</w:t>
      </w:r>
      <w:r w:rsidRPr="00AD0E2C">
        <w:tab/>
        <w:t>s ohledem své usnesení ze dne 22. listopadu 2023 o návrzích Evropského parlamentu na změnu Smluv</w:t>
      </w:r>
      <w:r w:rsidRPr="00AD0E2C">
        <w:rPr>
          <w:rStyle w:val="FootnoteReference"/>
        </w:rPr>
        <w:footnoteReference w:id="13"/>
      </w:r>
      <w:r w:rsidRPr="00AD0E2C">
        <w:t>,</w:t>
      </w:r>
    </w:p>
    <w:p w:rsidR="00E90C38" w:rsidRPr="00AD0E2C" w:rsidRDefault="00E90C38" w:rsidP="00E90C38">
      <w:pPr>
        <w:pStyle w:val="NormalHanging12a"/>
      </w:pPr>
      <w:r w:rsidRPr="00AD0E2C">
        <w:t>–</w:t>
      </w:r>
      <w:r w:rsidRPr="00AD0E2C">
        <w:tab/>
        <w:t>s ohledem na článek 13 Smlouvy o stabilitě, koordinaci a správě v hospodářské a měnové unii, který zakotvuje pořádání meziparlamentních konferencí za účelem projednání rozpočtových politik a dalších otázek, na něž se vztahuje Smlouva,</w:t>
      </w:r>
    </w:p>
    <w:p w:rsidR="00E90C38" w:rsidRPr="00AD0E2C" w:rsidRDefault="00E90C38" w:rsidP="00E90C38">
      <w:pPr>
        <w:pStyle w:val="NormalHanging12a"/>
      </w:pPr>
      <w:r w:rsidRPr="00AD0E2C">
        <w:t>–</w:t>
      </w:r>
      <w:r w:rsidRPr="00AD0E2C">
        <w:tab/>
        <w:t>s ohledem na své usnesení ze dne 15. března 2023 o evropském semestru pro koordinaci hospodářských politik 2023</w:t>
      </w:r>
      <w:r w:rsidRPr="00AD0E2C">
        <w:rPr>
          <w:vertAlign w:val="superscript"/>
        </w:rPr>
        <w:footnoteReference w:id="14"/>
      </w:r>
      <w:r w:rsidRPr="00AD0E2C">
        <w:t>,</w:t>
      </w:r>
    </w:p>
    <w:p w:rsidR="00E90C38" w:rsidRPr="00AD0E2C" w:rsidRDefault="00E90C38" w:rsidP="00E90C38">
      <w:pPr>
        <w:pStyle w:val="NormalHanging12a"/>
      </w:pPr>
      <w:r w:rsidRPr="00AD0E2C">
        <w:t>–</w:t>
      </w:r>
      <w:r w:rsidRPr="00AD0E2C">
        <w:tab/>
        <w:t xml:space="preserve">s ohledem na závěry předsednictví v návaznosti na Konferenci předsedů parlamentů </w:t>
      </w:r>
      <w:r w:rsidRPr="00AD0E2C">
        <w:lastRenderedPageBreak/>
        <w:t>Evropské unie, která se konala v Praze ve dnech 24. a 25. dubna 2023</w:t>
      </w:r>
      <w:r w:rsidRPr="00AD0E2C">
        <w:rPr>
          <w:vertAlign w:val="superscript"/>
        </w:rPr>
        <w:footnoteReference w:id="15"/>
      </w:r>
      <w:r w:rsidRPr="00AD0E2C">
        <w:t>,</w:t>
      </w:r>
    </w:p>
    <w:p w:rsidR="00E90C38" w:rsidRPr="00AD0E2C" w:rsidRDefault="00E90C38" w:rsidP="00E90C38">
      <w:pPr>
        <w:pStyle w:val="NormalHanging12a"/>
      </w:pPr>
      <w:r w:rsidRPr="00AD0E2C">
        <w:t>–</w:t>
      </w:r>
      <w:r w:rsidRPr="00AD0E2C">
        <w:tab/>
        <w:t xml:space="preserve">s ohledem na závěry plenárního zasedání LXIX. Konference výborů pro evropské záležitosti (COSAC), která se konala ve Stockholmu ve dnech </w:t>
      </w:r>
      <w:proofErr w:type="gramStart"/>
      <w:r w:rsidRPr="00AD0E2C">
        <w:t>14.–16</w:t>
      </w:r>
      <w:proofErr w:type="gramEnd"/>
      <w:r w:rsidRPr="00AD0E2C">
        <w:t>. května 2023</w:t>
      </w:r>
      <w:r w:rsidRPr="00AD0E2C">
        <w:rPr>
          <w:vertAlign w:val="superscript"/>
        </w:rPr>
        <w:footnoteReference w:id="16"/>
      </w:r>
      <w:r w:rsidRPr="00AD0E2C">
        <w:t>,</w:t>
      </w:r>
    </w:p>
    <w:p w:rsidR="00E90C38" w:rsidRPr="00AD0E2C" w:rsidRDefault="00E90C38" w:rsidP="00E90C38">
      <w:pPr>
        <w:pStyle w:val="NormalHanging12a"/>
        <w:rPr>
          <w:i/>
        </w:rPr>
      </w:pPr>
      <w:r w:rsidRPr="00AD0E2C">
        <w:t>–</w:t>
      </w:r>
      <w:r w:rsidRPr="00AD0E2C">
        <w:tab/>
        <w:t xml:space="preserve">s ohledem na prohlášení z Leónu o parlamentarismu přijaté na Konferenci připomínající mezinárodní den parlamentarismu – posílení parlamentů za účelem zlepšení demokracie, která se konala v </w:t>
      </w:r>
      <w:proofErr w:type="spellStart"/>
      <w:r w:rsidRPr="00AD0E2C">
        <w:t>Léonu</w:t>
      </w:r>
      <w:proofErr w:type="spellEnd"/>
      <w:r w:rsidRPr="00AD0E2C">
        <w:t xml:space="preserve"> ve dnech 30. června a 1. července 2023</w:t>
      </w:r>
      <w:r w:rsidRPr="00AD0E2C">
        <w:rPr>
          <w:vertAlign w:val="superscript"/>
        </w:rPr>
        <w:footnoteReference w:id="17"/>
      </w:r>
      <w:r w:rsidRPr="00AD0E2C">
        <w:t>,</w:t>
      </w:r>
    </w:p>
    <w:p w:rsidR="00E90C38" w:rsidRPr="00AD0E2C" w:rsidRDefault="00E90C38" w:rsidP="00E90C38">
      <w:pPr>
        <w:pStyle w:val="NormalHanging12a"/>
      </w:pPr>
      <w:r w:rsidRPr="00AD0E2C">
        <w:t>–</w:t>
      </w:r>
      <w:r w:rsidRPr="00AD0E2C">
        <w:tab/>
        <w:t>s ohledem na článek 54 jednacího řádu a čl. 1 odst. 1 písm. e) a přílohu 3 rozhodnutí Konference předsedů ze dne 12. prosince 2002 o postupu udělování svolení k vypracování zpráv z vlastního podnětu,</w:t>
      </w:r>
    </w:p>
    <w:p w:rsidR="00E90C38" w:rsidRPr="00AD0E2C" w:rsidRDefault="00E90C38" w:rsidP="00E90C38">
      <w:pPr>
        <w:pStyle w:val="NormalHanging12a"/>
      </w:pPr>
      <w:r w:rsidRPr="00AD0E2C">
        <w:t>–</w:t>
      </w:r>
      <w:r w:rsidRPr="00AD0E2C">
        <w:tab/>
        <w:t>s ohledem na zprávu Výboru pro ústavní záležitosti (A9-0429/2023),</w:t>
      </w:r>
    </w:p>
    <w:p w:rsidR="00E90C38" w:rsidRPr="00AD0E2C" w:rsidRDefault="00E90C38" w:rsidP="00E90C38">
      <w:pPr>
        <w:pStyle w:val="NormalHanging12a"/>
      </w:pPr>
      <w:r w:rsidRPr="00AD0E2C">
        <w:t>A.</w:t>
      </w:r>
      <w:r w:rsidRPr="00AD0E2C">
        <w:tab/>
        <w:t>vzhledem k tomu, že aktivní účast vnitrostátních parlamentů na evropských záležitostech a zesílená kontrola vnitrostátních vlád vnitrostátními parlamenty mají zásadní význam pro zajištění demokratické odpovědnosti a legitimity institucionálního systému EU;</w:t>
      </w:r>
    </w:p>
    <w:p w:rsidR="00E90C38" w:rsidRPr="00AD0E2C" w:rsidRDefault="00E90C38" w:rsidP="00E90C38">
      <w:pPr>
        <w:pStyle w:val="NormalHanging12a"/>
      </w:pPr>
      <w:r w:rsidRPr="00AD0E2C">
        <w:t>B.</w:t>
      </w:r>
      <w:r w:rsidRPr="00AD0E2C">
        <w:tab/>
        <w:t>vzhledem k tomu, že vnitrostátní parlamenty „aktivně přispívají k řádnému fungování Unie“ (článek 12 SEU) a společně s Evropským parlamentem hrají zásadní úlohu při posilování demokratické legitimity projektu EU, posilují důvěru občanů a přispívají k udržitelnosti a odolnosti evropského projektu;</w:t>
      </w:r>
    </w:p>
    <w:p w:rsidR="00E90C38" w:rsidRPr="00AD0E2C" w:rsidRDefault="00E90C38" w:rsidP="00E90C38">
      <w:pPr>
        <w:pStyle w:val="NormalHanging12a"/>
      </w:pPr>
      <w:r w:rsidRPr="00AD0E2C">
        <w:t>C.</w:t>
      </w:r>
      <w:r w:rsidRPr="00AD0E2C">
        <w:tab/>
        <w:t>vzhledem k tomu, že stávající nástroje pro účast vnitrostátních parlamentů na evropských záležitostech jsou z velké části neznámé, a to jak mezi činiteli s rozhodovací pravomocí, tak mezi širokou veřejností; vzhledem k tomu, že je zapotřebí zvýšit povědomí o těchto nástrojích;</w:t>
      </w:r>
    </w:p>
    <w:p w:rsidR="00E90C38" w:rsidRPr="00AD0E2C" w:rsidRDefault="00E90C38" w:rsidP="00E90C38">
      <w:pPr>
        <w:pStyle w:val="NormalHanging12a"/>
      </w:pPr>
      <w:r w:rsidRPr="00AD0E2C">
        <w:t>D.</w:t>
      </w:r>
      <w:r w:rsidRPr="00AD0E2C">
        <w:tab/>
        <w:t xml:space="preserve">vzhledem k tomu, že odpovědnost a kontrola vlád jednotlivých členských států vůči parlamentům v rámci evropských záležitostí, která se odvíjí od zvláštních vnitrostátních postupů, je základním kamenem úlohy vnitrostátních parlamentů ve stávajícím rámci evropských Smluv; </w:t>
      </w:r>
    </w:p>
    <w:p w:rsidR="00E90C38" w:rsidRPr="00AD0E2C" w:rsidRDefault="00E90C38" w:rsidP="00E90C38">
      <w:pPr>
        <w:pStyle w:val="NormalHanging12a"/>
      </w:pPr>
      <w:r w:rsidRPr="00AD0E2C">
        <w:t>E.</w:t>
      </w:r>
      <w:r w:rsidRPr="00AD0E2C">
        <w:tab/>
        <w:t>vzhledem k tomu, že tuto odpovědnost a kontrolu lze usnadnit větší transparentností v Radě, zejména pokud jde o záznamy hlasování a postoje členských států; vzhledem k tomu, že vnitrostátní parlamenty a Evropský parlament by měly zvýšit tlak na Radu, aby v průběhu legislativního procesu jednala transparentněji a byla odpovědnější; vzhledem k tomu, že dále přístup k dokumentům ostatních unijních orgánů umožňuje vnitrostátním parlamentům náležitě vykonávat kontrolu;</w:t>
      </w:r>
    </w:p>
    <w:p w:rsidR="00E90C38" w:rsidRPr="00AD0E2C" w:rsidRDefault="00E90C38" w:rsidP="00E90C38">
      <w:pPr>
        <w:pStyle w:val="NormalHanging12a"/>
      </w:pPr>
      <w:r w:rsidRPr="00AD0E2C">
        <w:t>F.</w:t>
      </w:r>
      <w:r w:rsidRPr="00AD0E2C">
        <w:tab/>
        <w:t xml:space="preserve">vzhledem k tomu, že nedostatečná transparentnost legislativních a rozhodovacích </w:t>
      </w:r>
      <w:r w:rsidRPr="00AD0E2C">
        <w:lastRenderedPageBreak/>
        <w:t>procesů EU může ohrozit jak výsady vnitrostátních parlamentů podle Smluv a příslušných protokolů, tak zejména jejich úlohu při kontrole vnitrostátních vlád zastoupených v Radě;</w:t>
      </w:r>
    </w:p>
    <w:p w:rsidR="00E90C38" w:rsidRPr="00AD0E2C" w:rsidRDefault="00E90C38" w:rsidP="00E90C38">
      <w:pPr>
        <w:pStyle w:val="NormalHanging12a"/>
      </w:pPr>
      <w:r w:rsidRPr="00AD0E2C">
        <w:t>G.</w:t>
      </w:r>
      <w:r w:rsidRPr="00AD0E2C">
        <w:tab/>
        <w:t>vzhledem k tomu, že pluralita obohacuje debatu na evropské úrovni, a je tudíž velmi přínosná pro Unii a zastoupení parlamentní opozice v evropských záležitostech a zároveň napomáhá vyvážit většiny v každém parlamentu při jejich plném respektování a v souladu s jejich poměrným zastoupením; vzhledem k tomu, že postoje a zastoupení vnitrostátní parlamentní opozice by měly být zohledněny na úrovni EU a mohly by se ukázat jako užitečné mimo jiné při procesu budoucí revize Smluv EU, a to při respektování pravomocí vnitrostátních parlamentů, pokud jde o jejich zastoupení;</w:t>
      </w:r>
    </w:p>
    <w:p w:rsidR="00E90C38" w:rsidRPr="00AD0E2C" w:rsidRDefault="00E90C38" w:rsidP="00E90C38">
      <w:pPr>
        <w:pStyle w:val="NormalHanging12a"/>
      </w:pPr>
      <w:r w:rsidRPr="00AD0E2C">
        <w:t>H.</w:t>
      </w:r>
      <w:r w:rsidRPr="00AD0E2C">
        <w:tab/>
        <w:t>vzhledem k tomu, že protokol č. 2 (článek 6) uznává, že vnitrostátní parlamenty mohou konzultovat regionální parlamenty s legislativními pravomocemi, avšak úloha regionálních parlamentů z velké části závisí na vnitrostátních ujednáních a velmi často zůstává poradní; vzhledem k tomu, že Komise, Rada, členské státy a jejich vnitrostátní parlamenty by měly vzít v potaz úlohu regionálních parlamentů s legislativními pravomocemi a podporovat jejich zapojení, zejména pokud mohou být dotčeny výlučné regionální pravomoci;</w:t>
      </w:r>
    </w:p>
    <w:p w:rsidR="00E90C38" w:rsidRPr="00AD0E2C" w:rsidRDefault="00E90C38" w:rsidP="00E90C38">
      <w:pPr>
        <w:pStyle w:val="NormalHanging12a"/>
      </w:pPr>
      <w:r w:rsidRPr="00AD0E2C">
        <w:t>I.</w:t>
      </w:r>
      <w:r w:rsidRPr="00AD0E2C">
        <w:tab/>
        <w:t>vzhledem k tomu, že mnoho členů Výboru regionů má regionální volební mandát; vzhledem k tomu, že by se mohla vést diskuse o úloze Výboru regionů co do sbližování regionálních parlamentů s celkovým integračním procesem a posilování evropské demokracie;</w:t>
      </w:r>
    </w:p>
    <w:p w:rsidR="00E90C38" w:rsidRPr="00AD0E2C" w:rsidRDefault="00E90C38" w:rsidP="00E90C38">
      <w:pPr>
        <w:pStyle w:val="NormalHanging12a"/>
      </w:pPr>
      <w:r w:rsidRPr="00AD0E2C">
        <w:t>J.</w:t>
      </w:r>
      <w:r w:rsidRPr="00AD0E2C">
        <w:tab/>
        <w:t>vzhledem k tomu, že vnitrostátními parlamenty a jejich úlohou v institucionálním rámci EU se zabývala řada návrhů obsažených ve zprávě o konečném výsledku Konference o budoucnosti Evropy; vzhledem k tomu, že zkušenosti z Konference o budoucnosti Evropy ukázaly plodnou alianci mezi vnitrostátními parlamenty a Evropským parlamentem;</w:t>
      </w:r>
    </w:p>
    <w:p w:rsidR="00E90C38" w:rsidRPr="00AD0E2C" w:rsidRDefault="00E90C38" w:rsidP="00E90C38">
      <w:pPr>
        <w:pStyle w:val="NormalHanging12a"/>
      </w:pPr>
      <w:r w:rsidRPr="00AD0E2C">
        <w:t>K.</w:t>
      </w:r>
      <w:r w:rsidRPr="00AD0E2C">
        <w:tab/>
        <w:t>vzhledem k tomu, že vnitrostátní parlamenty hrají roli při jakékoli revizi evropských smluv, zejména s cílem posílit parlamentní rozměr a demokratický život EU; vzhledem k tomu, že Evropský parlament ve svém usnesení ze dne 9. června 2022 vyzval ke svolání konventu pro revizi Smluv;</w:t>
      </w:r>
    </w:p>
    <w:p w:rsidR="00E90C38" w:rsidRPr="00AD0E2C" w:rsidRDefault="00E90C38" w:rsidP="00E90C38">
      <w:pPr>
        <w:pStyle w:val="NormalHanging12a"/>
      </w:pPr>
      <w:r w:rsidRPr="00AD0E2C">
        <w:t>L.</w:t>
      </w:r>
      <w:r w:rsidRPr="00AD0E2C">
        <w:tab/>
        <w:t>vzhledem k tomu, že evropská veřejná sféra by mohla být podpořena řadou fór v rámci evropské agendy a tato fóra by mohla být podpořena prostřednictvím společného „Evropského týdne“, v jehož průběhu by členové vnitrostátních a regionálních parlamentních komor souběžně diskutovali o evropských záležitostech s komisaři, poslanci Evropského parlamentu a ministry z úřadujícího předsednictví Rady; vzhledem k tomu, že rozvoji skutečné evropské veřejné sféry by rovněž prospěla větší informovanost občanů, jejich zapojení a dialog s nimi;</w:t>
      </w:r>
    </w:p>
    <w:p w:rsidR="00E90C38" w:rsidRPr="00AD0E2C" w:rsidRDefault="00E90C38" w:rsidP="00E90C38">
      <w:pPr>
        <w:pStyle w:val="NormalHanging12a"/>
      </w:pPr>
      <w:r w:rsidRPr="00AD0E2C">
        <w:t>M.</w:t>
      </w:r>
      <w:r w:rsidRPr="00AD0E2C">
        <w:tab/>
        <w:t>vzhledem k tomu, že zapojení vnitrostátních parlamentů do záležitostí EU by mělo být rovněž posíleno na základě tematického přístupu, přístupu založeného na výboru nebo ad hoc; vzhledem k tomu, že formát meziparlamentních setkání výborů by měl být dále zpřesněn;</w:t>
      </w:r>
    </w:p>
    <w:p w:rsidR="00E90C38" w:rsidRPr="00AD0E2C" w:rsidRDefault="00E90C38" w:rsidP="00E90C38">
      <w:pPr>
        <w:pStyle w:val="NormalHanging12a"/>
      </w:pPr>
      <w:r w:rsidRPr="00AD0E2C">
        <w:t>N.</w:t>
      </w:r>
      <w:r w:rsidRPr="00AD0E2C">
        <w:tab/>
        <w:t xml:space="preserve">vzhledem k tomu, že vnitrostátní parlamenty projevují zájem o větší zapojení do podstaty politik a právních předpisů EU, a nikoli pouze do mechanismu včasného </w:t>
      </w:r>
      <w:r w:rsidRPr="00AD0E2C">
        <w:lastRenderedPageBreak/>
        <w:t>varování (EWS), který se týká výhradně subsidiarity;</w:t>
      </w:r>
    </w:p>
    <w:p w:rsidR="00E90C38" w:rsidRPr="00AD0E2C" w:rsidRDefault="00E90C38" w:rsidP="00E90C38">
      <w:pPr>
        <w:pStyle w:val="NormalHanging12a"/>
      </w:pPr>
      <w:r w:rsidRPr="00AD0E2C">
        <w:t>O.</w:t>
      </w:r>
      <w:r w:rsidRPr="00AD0E2C">
        <w:tab/>
        <w:t>vzhledem k tomu, že uplatňování práva vnitrostátních parlamentů kontrolovat dodržování zásady subsidiarity na základě mechanismu včasného varování posílilo zapojení vnitrostátních parlamentů do rozhodovacího procesu EU;</w:t>
      </w:r>
    </w:p>
    <w:p w:rsidR="00E90C38" w:rsidRPr="00AD0E2C" w:rsidRDefault="00E90C38" w:rsidP="00E90C38">
      <w:pPr>
        <w:pStyle w:val="NormalHanging12a"/>
      </w:pPr>
      <w:r w:rsidRPr="00AD0E2C">
        <w:t>P.</w:t>
      </w:r>
      <w:r w:rsidRPr="00AD0E2C">
        <w:tab/>
        <w:t>vzhledem k tomu, že odůvodněná stanoviska předložená vnitrostátními parlamenty posilují evropský legislativní proces posouzením souladu s principem subsidiarity; vzhledem k tomu, že osmitýdenní lhůta stanovená v článku 4 protokolu č. 1 se ukázala jako nedostatečná pro včasné sledování dodržování zásady subsidiarity a měla by být prodloužena v rámci příští revize Smlouvy;</w:t>
      </w:r>
    </w:p>
    <w:p w:rsidR="00E90C38" w:rsidRPr="00AD0E2C" w:rsidRDefault="00E90C38" w:rsidP="00E90C38">
      <w:pPr>
        <w:pStyle w:val="NormalHanging12a"/>
      </w:pPr>
      <w:r w:rsidRPr="00AD0E2C">
        <w:t>Q.</w:t>
      </w:r>
      <w:r w:rsidRPr="00AD0E2C">
        <w:tab/>
        <w:t>vzhledem k tomu, že evropské politické strany hrají zásadní úlohu při překonávání propasti mezi EU a vnitrostátními parlamenty; vzhledem k tomu, že překážky v právních předpisech brání smysluplnějšímu propojení evropských politických stran a vnitrostátních stran; vzhledem k tomu, že lze zvážit inovativní a silnější nástroje spolupráce mezi vnitrostátními parlamenty a Evropským parlamentem, včetně intenzivnějšího dialogu mezi politickými skupinami;</w:t>
      </w:r>
    </w:p>
    <w:p w:rsidR="00E90C38" w:rsidRPr="00AD0E2C" w:rsidRDefault="00E90C38" w:rsidP="00E90C38">
      <w:pPr>
        <w:pStyle w:val="NormalHanging12a"/>
      </w:pPr>
      <w:r w:rsidRPr="00AD0E2C">
        <w:t>R.</w:t>
      </w:r>
      <w:r w:rsidRPr="00AD0E2C">
        <w:tab/>
        <w:t>vzhledem k tomu, že ve zprávě o provádění z roku 2018 bylo doporučeno, aby vnitrostátní parlamenty měly možnost předložit Komisi konstruktivní návrhy ke zvážení, s náležitým ohledem na právo iniciativy Komise;</w:t>
      </w:r>
    </w:p>
    <w:p w:rsidR="00E90C38" w:rsidRPr="00AD0E2C" w:rsidRDefault="00E90C38" w:rsidP="00E90C38">
      <w:pPr>
        <w:pStyle w:val="NormalHanging12a"/>
      </w:pPr>
      <w:r w:rsidRPr="00AD0E2C">
        <w:t>S.</w:t>
      </w:r>
      <w:r w:rsidRPr="00AD0E2C">
        <w:tab/>
        <w:t>vzhledem k tomu, že Konference o budoucnosti Evropy doporučila, aby vnitrostátním parlamentům a regionálním parlamentům s legislativními pravomocemi „byla poskytnuta možnost navrhnout legislativní iniciativu na evropské úrovni“, tedy nástroj, který by jim umožňoval předkládat Komisi konstruktivní návrhy ke zvážení, a to s náležitým ohledem na právo iniciativy Komise a poté, co by si nejprve zajistily podporu Parlamentu; vzhledem k tomu, že cíl dosáhnout plného práva podnětu pro Evropský parlament byl během stávajícího volebního období při mnoha příležitostech zdůrazněn;</w:t>
      </w:r>
    </w:p>
    <w:p w:rsidR="00E90C38" w:rsidRPr="00AD0E2C" w:rsidRDefault="00E90C38" w:rsidP="00E90C38">
      <w:pPr>
        <w:pStyle w:val="NormalHanging12a"/>
        <w:rPr>
          <w:szCs w:val="24"/>
        </w:rPr>
      </w:pPr>
      <w:r w:rsidRPr="00AD0E2C">
        <w:t>T.</w:t>
      </w:r>
      <w:r w:rsidRPr="00AD0E2C">
        <w:tab/>
        <w:t xml:space="preserve">vzhledem k tomu, že Parlament ve svém usnesení ze dne 9. června 2022 vyzval k zavedení </w:t>
      </w:r>
      <w:r w:rsidRPr="00AD0E2C">
        <w:rPr>
          <w:shd w:val="clear" w:color="auto" w:fill="FFFFFF"/>
        </w:rPr>
        <w:t>obecného přímého práva legislativního podnětu pro Evropský parlament</w:t>
      </w:r>
      <w:r w:rsidRPr="00AD0E2C">
        <w:t>; vzhledem k tomu, že po udělení tohoto práva by měly být postupy „zelené karty“ soustředěny na Parlament;</w:t>
      </w:r>
    </w:p>
    <w:p w:rsidR="00E90C38" w:rsidRPr="00AD0E2C" w:rsidRDefault="00E90C38" w:rsidP="00E90C38">
      <w:pPr>
        <w:pStyle w:val="NormalHanging12a"/>
      </w:pPr>
      <w:r w:rsidRPr="00AD0E2C">
        <w:t>U.</w:t>
      </w:r>
      <w:r w:rsidRPr="00AD0E2C">
        <w:tab/>
        <w:t>vzhledem k tomu, že zavedení postupu „červené karty“ nelze považovat za vhodný a konstruktivní nástroj v rámci cíle zvýšit účast vnitrostátních parlamentů na procesu evropské integrace;</w:t>
      </w:r>
    </w:p>
    <w:p w:rsidR="00E90C38" w:rsidRPr="00AD0E2C" w:rsidRDefault="00E90C38" w:rsidP="00E90C38">
      <w:pPr>
        <w:pStyle w:val="NormalHanging12a"/>
      </w:pPr>
      <w:r w:rsidRPr="00AD0E2C">
        <w:t>V.</w:t>
      </w:r>
      <w:r w:rsidRPr="00AD0E2C">
        <w:tab/>
        <w:t>vzhledem k tomu, že IPEX, platforma pro průběžnou výměnu informací mezi vnitrostátními parlamenty navzájem a mezi vnitrostátními parlamenty a evropskými orgány, by měla být v souladu s její digitální strategií dále rozvíjena; vzhledem k tomu, že Evropský parlament v této oblasti hraje významnou podpůrnou úlohu;</w:t>
      </w:r>
    </w:p>
    <w:p w:rsidR="00E90C38" w:rsidRPr="00AD0E2C" w:rsidRDefault="00E90C38" w:rsidP="00E90C38">
      <w:pPr>
        <w:pStyle w:val="NormalHanging12a"/>
      </w:pPr>
      <w:r w:rsidRPr="00AD0E2C">
        <w:t>W.</w:t>
      </w:r>
      <w:r w:rsidRPr="00AD0E2C">
        <w:tab/>
        <w:t>vzhledem k tomu, že vnitrostátní parlamenty mají příslušné pravomoci v oblasti svobody, bezpečnosti a práva podle článků 70, 85 a 88 SFEU a měly by proto v budoucnu hrát důležitou úlohu, pokud jde o bezpečnostní a obrannou politiku Unie, a to i na základě meziparlamentní konference o společné zahraniční a bezpečnostní politice a společné bezpečnostní a obranné politice (SZBP/SBOP), jak je stanoveno v článku 10 protokolu č. 1;</w:t>
      </w:r>
    </w:p>
    <w:p w:rsidR="00E90C38" w:rsidRPr="00AD0E2C" w:rsidRDefault="00E90C38" w:rsidP="00E90C38">
      <w:pPr>
        <w:pStyle w:val="NormalHanging12a"/>
        <w:rPr>
          <w:b/>
          <w:i/>
        </w:rPr>
      </w:pPr>
      <w:r w:rsidRPr="00AD0E2C">
        <w:rPr>
          <w:b/>
          <w:i/>
        </w:rPr>
        <w:lastRenderedPageBreak/>
        <w:t>Kontrola vládní aktivity v evropských záležitostech</w:t>
      </w:r>
    </w:p>
    <w:p w:rsidR="00E90C38" w:rsidRPr="00AD0E2C" w:rsidRDefault="00E90C38" w:rsidP="00E90C38">
      <w:pPr>
        <w:pStyle w:val="NormalHanging12a"/>
      </w:pPr>
      <w:r w:rsidRPr="00AD0E2C">
        <w:t>1.</w:t>
      </w:r>
      <w:r w:rsidRPr="00AD0E2C">
        <w:tab/>
        <w:t>domnívá se, že provádění práv a povinností vnitrostátních parlamentů vyplývajících z Lisabonské smlouvy posílilo jejich úlohu v evropském ústavním rámci, čímž zajistilo větší pluralismus a demokratickou legitimitu a lepší fungování Unie;</w:t>
      </w:r>
    </w:p>
    <w:p w:rsidR="00E90C38" w:rsidRPr="00AD0E2C" w:rsidRDefault="00E90C38" w:rsidP="00E90C38">
      <w:pPr>
        <w:ind w:left="567" w:hanging="567"/>
      </w:pPr>
      <w:r w:rsidRPr="00AD0E2C">
        <w:t>2.</w:t>
      </w:r>
      <w:r w:rsidRPr="00AD0E2C">
        <w:tab/>
        <w:t>zastává názor, že odpovědnost vnitrostátních vlád vůči vnitrostátním parlamentům, jak je zakotvena v čl. 10 odst. 2 SEU, je základním kamenem úlohy vnitrostátních parlamentních komor v Evropské unii; domnívá se, že vnitrostátní parlamenty jsou partnerem při udržování institucionální rovnováhy EU; vybízí vnitrostátní parlamenty, aby vykonávaly své evropské funkce v plném rozsahu a využívaly je k přímému ovlivňování a kontrole obsahu evropských politik, zejména prostřednictvím sledování svých vnitrostátních vlád, když jednají jako členové Evropské rady; vyzývá poslance vnitrostátních a regionálních parlamentů, aby při rozhodování podporovali „evropské svědomí“ a uznali přímý dopad politik EU na jejich voliče; oceňuje dobré zkušenosti se spoluprací mezi vnitrostátními parlamenty a Evropským parlamentem a domnívá se, že vnitrostátní parlamenty a Evropský parlament mají potenciál stát se přirozenými spojenci, pokud jde o vytvoření silnějšího parlamentního rozměru EU;</w:t>
      </w:r>
    </w:p>
    <w:p w:rsidR="00E90C38" w:rsidRPr="00AD0E2C" w:rsidRDefault="00E90C38" w:rsidP="00E90C38">
      <w:pPr>
        <w:ind w:left="567" w:hanging="567"/>
      </w:pPr>
      <w:r w:rsidRPr="00AD0E2C">
        <w:t>3.</w:t>
      </w:r>
      <w:r w:rsidRPr="00AD0E2C">
        <w:tab/>
        <w:t>vyzývá členské státy, aby zajistily, že vnitrostátním parlamentům bude poskytnut dostatek času, kapacity, zdrojů a nezbytného přístupu k informacím, aby mohly plnit svou ústavní úlohu kontroly, a tím legitimizovat činnost vnitrostátních vlád, když tyto vlády jednají na evropské úrovni; připomíná význam přístupu k informacím a uznává, že Rada musí přijmout nezbytné záruky bezpečnosti dokumentů a zároveň zajistit, aby vnitrostátní parlamenty mohly vykonávat demokratickou kontrolu nad svými vládami, mimo jiné prostřednictvím přístupu k legislativní databázi Rady, a to zároveň při plném respektování důvěrnosti;</w:t>
      </w:r>
    </w:p>
    <w:p w:rsidR="00E90C38" w:rsidRPr="00AD0E2C" w:rsidRDefault="00E90C38" w:rsidP="00E90C38">
      <w:pPr>
        <w:pStyle w:val="NormalHanging12a"/>
      </w:pPr>
      <w:r w:rsidRPr="00AD0E2C">
        <w:t>4.</w:t>
      </w:r>
      <w:r w:rsidRPr="00AD0E2C">
        <w:tab/>
        <w:t>domnívá se, že transparentnost pracovních metod a rozhodovacích procesů orgánů EU je předpokladem pro to, aby vnitrostátní parlamenty mohly účinně plnit svou institucionální úlohu vyplývající ze Smluv; vyzývá proto ke zveřejnění záznamů o hlasování a postojích členských států v Radě; dále vyzývá vnitrostátní parlamenty, aby plně využívaly svých příslušných pravomocí, mimo jiné tak, že upraví svou vnitřní organizaci, harmonogramy a jednací řády tak, aby to bylo možné; vybízí vnitrostátní parlamenty, aby zavedly inovativnější a silnější nástroje spolupráce na politické a správní úrovni, včetně intenzivnějších forem výměny a dialogu s evropskými politickými skupinami, a k témuž se sám zavazuje;</w:t>
      </w:r>
    </w:p>
    <w:p w:rsidR="00E90C38" w:rsidRPr="00AD0E2C" w:rsidRDefault="00E90C38" w:rsidP="00E90C38">
      <w:pPr>
        <w:pStyle w:val="NormalHanging12a"/>
      </w:pPr>
      <w:r w:rsidRPr="00AD0E2C">
        <w:t>5.</w:t>
      </w:r>
      <w:r w:rsidRPr="00AD0E2C">
        <w:tab/>
        <w:t xml:space="preserve">podporuje posílený politický dialog mezi evropskými orgány a vnitrostátními parlamenty a připomíná, že rozhodnutí musí být přijímána v souladu s ústavními pravomocemi, Smlouvami EU a </w:t>
      </w:r>
      <w:proofErr w:type="spellStart"/>
      <w:r w:rsidRPr="00AD0E2C">
        <w:rPr>
          <w:i/>
        </w:rPr>
        <w:t>acquis</w:t>
      </w:r>
      <w:proofErr w:type="spellEnd"/>
      <w:r w:rsidRPr="00AD0E2C">
        <w:t xml:space="preserve"> EU a s přihlédnutím k jasnému vymezení příslušných rozhodovacích pravomocí vnitrostátních, místních, regionálních a evropských orgánů;</w:t>
      </w:r>
    </w:p>
    <w:p w:rsidR="00E90C38" w:rsidRPr="00AD0E2C" w:rsidRDefault="00E90C38" w:rsidP="00E90C38">
      <w:pPr>
        <w:pStyle w:val="NormalHanging12a"/>
      </w:pPr>
      <w:r w:rsidRPr="00AD0E2C">
        <w:t>6.</w:t>
      </w:r>
      <w:r w:rsidRPr="00AD0E2C">
        <w:tab/>
        <w:t>konstatuje, že sladění evropského semestru s programy vnitrostátních parlamentů by mohlo dále přispět ke koordinaci hospodářských politik, přičemž zdůrazňuje, že toto sladění by nemělo opomíjet pravomoci v oblasti samosprávy a příslušný jednací řád každé parlamentní komory;</w:t>
      </w:r>
    </w:p>
    <w:p w:rsidR="00E90C38" w:rsidRPr="00AD0E2C" w:rsidRDefault="00E90C38" w:rsidP="00E90C38">
      <w:pPr>
        <w:pStyle w:val="NormalHanging12a"/>
      </w:pPr>
      <w:r w:rsidRPr="00AD0E2C">
        <w:t>7.</w:t>
      </w:r>
      <w:r w:rsidRPr="00AD0E2C">
        <w:tab/>
        <w:t>vyzývá proto, aby vnitrostátní parlamenty měly posílenou úlohu při zavádění vnitrostátní lhůty pro dialog o rozpočtu a ekonomické politice, během níž by vnitrostátní parlamenty mohly spolupracovat, projednat evropský semestr a zapojit se do něj tím, že svým vládám poskytnou mandát pro jejich jednání s Komisí a Radou;</w:t>
      </w:r>
    </w:p>
    <w:p w:rsidR="00E90C38" w:rsidRPr="00AD0E2C" w:rsidRDefault="00E90C38" w:rsidP="00E90C38">
      <w:pPr>
        <w:pStyle w:val="NormalHanging12a"/>
        <w:rPr>
          <w:b/>
          <w:i/>
        </w:rPr>
      </w:pPr>
      <w:r w:rsidRPr="00AD0E2C">
        <w:rPr>
          <w:b/>
          <w:i/>
        </w:rPr>
        <w:lastRenderedPageBreak/>
        <w:t>Rozvoj evropské veřejné sféry</w:t>
      </w:r>
    </w:p>
    <w:p w:rsidR="00E90C38" w:rsidRPr="00AD0E2C" w:rsidRDefault="00E90C38" w:rsidP="00E90C38">
      <w:pPr>
        <w:pStyle w:val="NormalHanging12a"/>
      </w:pPr>
      <w:r w:rsidRPr="00AD0E2C">
        <w:t>8.</w:t>
      </w:r>
      <w:r w:rsidRPr="00AD0E2C">
        <w:tab/>
        <w:t>zdůrazňuje v tomto ohledu význam zásady poměrného zastoupení členů různých politických stran; doporučuje tedy, aby delegace vnitrostátních parlamentů, které působí u orgánů EU, odrážely politickou rozmanitost;</w:t>
      </w:r>
    </w:p>
    <w:p w:rsidR="00E90C38" w:rsidRPr="00AD0E2C" w:rsidRDefault="00E90C38" w:rsidP="00E90C38">
      <w:pPr>
        <w:pStyle w:val="NormalHanging12a"/>
      </w:pPr>
      <w:r w:rsidRPr="00AD0E2C">
        <w:t>9.</w:t>
      </w:r>
      <w:r w:rsidRPr="00AD0E2C">
        <w:tab/>
        <w:t>bere na vědomí, že závazná vůle parlamentních většin by mohla být vyjádřena v podobě stanovisek vydaných vnitrostátními parlamenty v rámci nebo mimo rámec mechanismu včasného varování; podporuje však myšlenku, aby politické menšiny ve vnitrostátních parlamentech měly příležitost vyjádřit nesouhlasný postoj, který by pak mohl být uveden v příloze těchto stanovisek;</w:t>
      </w:r>
    </w:p>
    <w:p w:rsidR="00E90C38" w:rsidRPr="00AD0E2C" w:rsidRDefault="00E90C38" w:rsidP="00E90C38">
      <w:pPr>
        <w:pStyle w:val="NormalHanging12a"/>
      </w:pPr>
      <w:r w:rsidRPr="00AD0E2C">
        <w:t>10.</w:t>
      </w:r>
      <w:r w:rsidRPr="00AD0E2C">
        <w:tab/>
        <w:t>domnívá se, že interakci s vnitrostátními parlamenty lze nepřímo podpořit posílením postavení evropských politických stran; opakuje svou dlouhodobou výzvu, aby se tyto strany mohly aktivně angažovat v politické sféře členských států a podporovat své členské strany, pokud jde o otázky EU; vyzývá k rychlému dokončení přepracovaného znění nařízení Evropského parlamentu a Rady (EU, Euratom) č. 1141/2014 ze dne 22. října 2014 o statusu a financování evropských politických stran a evropských politických nadací</w:t>
      </w:r>
      <w:r w:rsidRPr="00AD0E2C">
        <w:rPr>
          <w:rStyle w:val="FootnoteReference"/>
        </w:rPr>
        <w:footnoteReference w:id="18"/>
      </w:r>
      <w:r w:rsidRPr="00AD0E2C">
        <w:t xml:space="preserve"> s cílem umožnit evropským politickým stranám podporovat své členské strany v kampani před volbami do Evropského parlamentu a v kampaních k referendům o záležitostech EU;</w:t>
      </w:r>
    </w:p>
    <w:p w:rsidR="00E90C38" w:rsidRPr="00AD0E2C" w:rsidRDefault="00E90C38" w:rsidP="00E90C38">
      <w:pPr>
        <w:pStyle w:val="NormalHanging12a"/>
      </w:pPr>
      <w:r w:rsidRPr="00AD0E2C">
        <w:t>11.</w:t>
      </w:r>
      <w:r w:rsidRPr="00AD0E2C">
        <w:tab/>
        <w:t>domnívá se, že zavedení každoročního Evropského týdne by poslancům Evropského parlamentu, komisařům a ministrům úřadujícího předsednictví Rady umožnilo stanout před všemi vnitrostátními a případně regionálními parlamenty, aby projednali a vysvětlili evropskou agendu spolu s poslanci vnitrostátních parlamentů; navrhuje zahájit diskusi o vytvoření společného politického prohlášení nebo rámcové dohody mezi vnitrostátními parlamenty a Evropským parlamentem, pokud jde o organizaci navrhovaného Evropského týdne, s cílem poskytnout soudržnější rámec spolupráce na politické, institucionální a administrativní úrovni; domnívá se, že při navrhování Evropského týdne je třeba se poučit ze stávajících a minulých fór, jako je parlamentní týden, který pořádá konference o evropském semestru a meziparlamentní konference o stabilitě, hospodářské koordinaci a správě v Evropské unii, jakož i Konference o budoucnosti Evropy; dále se domnívá, že by schůzky politických rodin a shromáždění vnitrostátních a evropských politických skupin v rámci meziparlamentní spolupráce EU mohly přinést přidanou hodnotu v podobě skutečné evropské politické diskuse;</w:t>
      </w:r>
    </w:p>
    <w:p w:rsidR="00E90C38" w:rsidRPr="00AD0E2C" w:rsidRDefault="00E90C38" w:rsidP="00E90C38">
      <w:pPr>
        <w:pStyle w:val="NormalHanging12a"/>
      </w:pPr>
      <w:r w:rsidRPr="00AD0E2C">
        <w:t>12.</w:t>
      </w:r>
      <w:r w:rsidRPr="00AD0E2C">
        <w:tab/>
        <w:t>domnívá se, že větší zapojení vnitrostátních parlamentů kandidátských zemí je zásadním nástrojem k tomu, aby byla strategie rozšíření EU úspěšná; navrhuje, aby se do navrhovaného Evropského týdne zapojili zástupci vnitrostátních parlamentů z kandidátských zemí;</w:t>
      </w:r>
    </w:p>
    <w:p w:rsidR="00E90C38" w:rsidRPr="00AD0E2C" w:rsidRDefault="00E90C38" w:rsidP="00E90C38">
      <w:pPr>
        <w:pStyle w:val="NormalHanging12a"/>
        <w:rPr>
          <w:b/>
          <w:i/>
        </w:rPr>
      </w:pPr>
      <w:r w:rsidRPr="00AD0E2C">
        <w:rPr>
          <w:b/>
          <w:i/>
        </w:rPr>
        <w:t>Podpora reformy mechanismu včasného varování</w:t>
      </w:r>
    </w:p>
    <w:p w:rsidR="00E90C38" w:rsidRPr="00AD0E2C" w:rsidRDefault="00E90C38" w:rsidP="00E90C38">
      <w:pPr>
        <w:pStyle w:val="NormalHanging12a"/>
      </w:pPr>
      <w:r w:rsidRPr="00AD0E2C">
        <w:t>13.</w:t>
      </w:r>
      <w:r w:rsidRPr="00AD0E2C">
        <w:tab/>
        <w:t>zdůrazňuje, že nejvýznamnější výsadou vnitrostátních parlamentů, kterou přinesla Lisabonská smlouva, je jejich schopnost kontrolovat dodržování zásady subsidiarity v raných fázích legislativních postupů EU;</w:t>
      </w:r>
    </w:p>
    <w:p w:rsidR="00E90C38" w:rsidRPr="00AD0E2C" w:rsidRDefault="00E90C38" w:rsidP="00E90C38">
      <w:pPr>
        <w:pStyle w:val="NormalHanging12a"/>
      </w:pPr>
      <w:r w:rsidRPr="00AD0E2C">
        <w:t>14.</w:t>
      </w:r>
      <w:r w:rsidRPr="00AD0E2C">
        <w:tab/>
        <w:t xml:space="preserve">konstatuje, že postupy, jako jsou „žluté“ nebo „oranžové“ karty, nejsou využívány příliš </w:t>
      </w:r>
      <w:r w:rsidRPr="00AD0E2C">
        <w:lastRenderedPageBreak/>
        <w:t>často; navrhuje, aby se všechny orgány EU a členské státy dohodly na společném porozumění zásadám subsidiarity a proporcionality, které byly původně připojeny k Amsterodamské smlouvě, příslušné judikatuře Evropského soudního dvora a vlastní praxi Komise; domnívá se, že rozvoj tohoto společného porozumění by měl zahrnovat všechny prvky subsidiarity a měl by být podporován novými nástroji spolupráce;</w:t>
      </w:r>
    </w:p>
    <w:p w:rsidR="00E90C38" w:rsidRPr="00AD0E2C" w:rsidRDefault="00E90C38" w:rsidP="00E90C38">
      <w:pPr>
        <w:pStyle w:val="NormalHanging12a"/>
      </w:pPr>
      <w:r w:rsidRPr="00AD0E2C">
        <w:t>15.</w:t>
      </w:r>
      <w:r w:rsidRPr="00AD0E2C">
        <w:tab/>
        <w:t>bere na vědomí požadavek vnitrostátních parlamentů, aby byla prodloužena osmitýdenní lhůta, během níž mohou vnitrostátní parlamenty vydávat odůvodněná stanoviska podle článku 3 protokolu č. 1; zdůrazňuje však, že současný rámec stanovený Smlouvou prodloužení této lhůty neumožňuje; konstatuje, že jako zmírňující opatření začala Komise od roku 2019 při stanovování osmitýdenní lhůty, během níž mají vnitrostátní parlamenty zasílat odůvodněná stanoviska, vylučovat období na konci roku; domnívá se proto, že zavedení dvanáctitýdenní lhůty by mělo být zohledněno v rámci příští revize Smlouvy;</w:t>
      </w:r>
    </w:p>
    <w:p w:rsidR="00E90C38" w:rsidRPr="00AD0E2C" w:rsidRDefault="00E90C38" w:rsidP="00E90C38">
      <w:pPr>
        <w:pStyle w:val="NormalHanging12a"/>
      </w:pPr>
      <w:r w:rsidRPr="00AD0E2C">
        <w:t>16.</w:t>
      </w:r>
      <w:r w:rsidRPr="00AD0E2C">
        <w:tab/>
        <w:t>vybízí vnitrostátní parlamenty, aby začleňovaly odůvodněná stanoviska regionálních parlamentů s legislativními pravomocemi do svých konečných odůvodněných stanovisek, která jsou zasílána předsedům Parlamentu, Rady a Komise, pokud jsou dotčeny výlučné regionální pravomoci;</w:t>
      </w:r>
    </w:p>
    <w:p w:rsidR="00E90C38" w:rsidRPr="00AD0E2C" w:rsidRDefault="00E90C38" w:rsidP="00E90C38">
      <w:pPr>
        <w:pStyle w:val="NormalHanging12a"/>
      </w:pPr>
      <w:r w:rsidRPr="00AD0E2C">
        <w:t>17.</w:t>
      </w:r>
      <w:r w:rsidRPr="00AD0E2C">
        <w:tab/>
        <w:t>navrhuje, aby byl vytvořen systém, někdy označovaný jako postup „zelené karty“, v jehož rámci by nejméně třetina vnitrostátních parlamentů mohla požádat Komisi nebo Evropský parlament, jakmile bude Evropskému parlamentu uděleno obecné přímé právo iniciativy, aby předložily návrhy s cílem pozitivně ovlivnit evropskou diskusi; v tomto ohledu navrhuje, aby Komise nebo Evropský parlament mohly využívat právo buď tyto návrhy přijmout, nebo vypracovat formální odpověď s uvedením důvodů, proč tak neučinily; upozorňuje na to, že takový postup nemůže představovat pravomoc iniciativy nebo pravomoc stažení nebo změny právních předpisů, neboť by to znamenalo rozvrácení postupu Unie a rozdělení pravomocí mezi vnitrostátní a evropskou úroveň, a tedy porušení Smluv;</w:t>
      </w:r>
    </w:p>
    <w:p w:rsidR="00E90C38" w:rsidRPr="00AD0E2C" w:rsidRDefault="00E90C38" w:rsidP="00E90C38">
      <w:pPr>
        <w:pStyle w:val="NormalHanging12a"/>
        <w:rPr>
          <w:b/>
          <w:i/>
        </w:rPr>
      </w:pPr>
      <w:r w:rsidRPr="00AD0E2C">
        <w:rPr>
          <w:b/>
          <w:i/>
        </w:rPr>
        <w:t>Uplatňování práva na informace</w:t>
      </w:r>
    </w:p>
    <w:p w:rsidR="00E90C38" w:rsidRPr="00AD0E2C" w:rsidRDefault="00E90C38" w:rsidP="00E90C38">
      <w:pPr>
        <w:pStyle w:val="NormalHanging12a"/>
      </w:pPr>
      <w:r w:rsidRPr="00AD0E2C">
        <w:t>18.</w:t>
      </w:r>
      <w:r w:rsidRPr="00AD0E2C">
        <w:tab/>
        <w:t>opětovně potvrzuje, že článek 12 SEU a protokol č. 1 poskytují vnitrostátním parlamentům právo získávat informace přímo od orgánů EU; navrhuje, aby bylo právo na informace rozšířeno i na regionální parlamenty s legislativními pravomocemi;</w:t>
      </w:r>
    </w:p>
    <w:p w:rsidR="00E90C38" w:rsidRPr="00AD0E2C" w:rsidRDefault="00E90C38" w:rsidP="00E90C38">
      <w:pPr>
        <w:pStyle w:val="NormalHanging12a"/>
      </w:pPr>
      <w:r w:rsidRPr="00AD0E2C">
        <w:t>19.</w:t>
      </w:r>
      <w:r w:rsidRPr="00AD0E2C">
        <w:tab/>
        <w:t>doporučuje vnitrostátním parlamentům, aby využívaly platformu IPEX včas, aby bylo zajištěno brzké zahájení mechanismu vnitrostátní kontroly; doporučuje využívat platformu IPEX jako kanál pro systematické sdílení informací a včasné upozorňování na záležitosti spojené se subsidiaritou; vítá aktualizovanou verzi pokynů IPEX schválenou na schůzi generálních tajemníků v únoru 2023, která odráží novou verzi platformy IPEX a příležitosti a nástroje, které tato nová verze nabízí;</w:t>
      </w:r>
    </w:p>
    <w:p w:rsidR="00E90C38" w:rsidRPr="00AD0E2C" w:rsidRDefault="00E90C38" w:rsidP="00E90C38">
      <w:pPr>
        <w:pStyle w:val="NormalHanging12a"/>
        <w:rPr>
          <w:b/>
          <w:i/>
        </w:rPr>
      </w:pPr>
      <w:r w:rsidRPr="00AD0E2C">
        <w:rPr>
          <w:b/>
          <w:i/>
        </w:rPr>
        <w:t>Na cestě k lepší interinstitucionální spolupráci</w:t>
      </w:r>
    </w:p>
    <w:p w:rsidR="00E90C38" w:rsidRPr="00AD0E2C" w:rsidRDefault="00E90C38" w:rsidP="00E90C38">
      <w:pPr>
        <w:pStyle w:val="NormalHanging12a"/>
      </w:pPr>
      <w:r w:rsidRPr="00AD0E2C">
        <w:t>20.</w:t>
      </w:r>
      <w:r w:rsidRPr="00AD0E2C">
        <w:tab/>
        <w:t xml:space="preserve">bere na vědomí současnou spolupráci mezi Evropským parlamentem a vnitrostátními parlamenty v rámci konference COSAC, Meziparlamentní konference o SZBP a v rámci článku 13 Smlouvy o stabilitě, koordinaci a správě v hospodářské a měnové unii; dále bere na vědomí novější formy meziparlamentní spolupráce, jako je skupina pro společnou parlamentní kontrolu </w:t>
      </w:r>
      <w:proofErr w:type="spellStart"/>
      <w:r w:rsidRPr="00AD0E2C">
        <w:t>Europolu</w:t>
      </w:r>
      <w:proofErr w:type="spellEnd"/>
      <w:r w:rsidRPr="00AD0E2C">
        <w:t xml:space="preserve"> a meziparlamentní setkání výborů pro </w:t>
      </w:r>
      <w:r w:rsidRPr="00AD0E2C">
        <w:lastRenderedPageBreak/>
        <w:t xml:space="preserve">hodnocení </w:t>
      </w:r>
      <w:proofErr w:type="spellStart"/>
      <w:r w:rsidRPr="00AD0E2C">
        <w:t>Eurojustu</w:t>
      </w:r>
      <w:proofErr w:type="spellEnd"/>
      <w:r w:rsidRPr="00AD0E2C">
        <w:t>; zdůrazňuje, že taková spolupráce by se měla rozvíjet na základě zásad konsensu, sdílení informací a konzultací, aby vnitrostátní parlamenty mohly vykonávat kontrolu nad svými příslušnými vládami a správními orgány;</w:t>
      </w:r>
    </w:p>
    <w:p w:rsidR="00E90C38" w:rsidRPr="00AD0E2C" w:rsidRDefault="00E90C38" w:rsidP="00E90C38">
      <w:pPr>
        <w:pStyle w:val="NormalHanging12a"/>
      </w:pPr>
      <w:r w:rsidRPr="00AD0E2C">
        <w:t>21.</w:t>
      </w:r>
      <w:r w:rsidRPr="00AD0E2C">
        <w:tab/>
        <w:t>znovu opakuje, že stávající rámec vztahů mezi Unií a vnitrostátními parlamenty by mohl být zjednodušen a harmonizován, aby byl účinnější a účelnější; žádá v této souvislosti přezkum spolupráce mezi Unií a jejími vnitrostátními parlamenty prostřednictvím stávajících platforem a fór s cílem posílit tyto vztahy a přizpůsobit je současným potřebám; vybízí evropské orgány a regionální parlamenty s legislativními pravomocemi k aktivnějšímu zapojení a přímé vzájemné interakci při plném dodržování pravomocí vnitrostátních parlamentů;</w:t>
      </w:r>
    </w:p>
    <w:p w:rsidR="00E90C38" w:rsidRPr="00AD0E2C" w:rsidRDefault="00E90C38" w:rsidP="00E90C38">
      <w:pPr>
        <w:pStyle w:val="NormalHanging12a"/>
      </w:pPr>
      <w:r w:rsidRPr="00AD0E2C">
        <w:t>22.</w:t>
      </w:r>
      <w:r w:rsidRPr="00AD0E2C">
        <w:tab/>
        <w:t>zdůrazňuje, že posílení politického a technického dialogu mezi parlamentními výbory a politickými skupinami na vnitrostátní úrovni i na úrovni EU by bylo vysoce přínosným krokem k úplné meziparlamentní spolupráci; za tímto účelem navrhuje zvýšit povědomí na vnitrostátní úrovni o možných nástrojích spolupráce; navrhuje proto přidělit na dosažení tohoto cíle dodatečné zdroje, mimo jiné na financování využívání videokonferencí, výměn zaměstnanců nebo pilotních projektů;</w:t>
      </w:r>
    </w:p>
    <w:p w:rsidR="00E90C38" w:rsidRPr="00AD0E2C" w:rsidRDefault="00E90C38" w:rsidP="00E90C38">
      <w:pPr>
        <w:pStyle w:val="NormalHanging12a"/>
      </w:pPr>
      <w:r w:rsidRPr="00AD0E2C">
        <w:t>23.</w:t>
      </w:r>
      <w:r w:rsidRPr="00AD0E2C">
        <w:tab/>
        <w:t>uznává význam meziparlamentních setkání výborů stanovených v článcích 9 a 10 protokolu č. 1 a odvětvový úspěch „metoda založená na výborech“ v meziparlamentní spolupráci; je přesvědčen, že pokud by poslanci Evropského parlamentu a vnitrostátních parlamentů přikládali meziparlamentním setkáním výborů větší význam a pokud by tito poslanci byli připraveni na užší spolupráci, bylo by možno dosáhnout lepší interinstitucionální spolupráce; domnívá se, že jednací řád by měl být změněn s cílem regulovat silnější formy spolupráce mezi vnitrostátními parlamenty a Evropským parlamentem při plném respektování pravomocí orgánů a jejich rozvržení;</w:t>
      </w:r>
    </w:p>
    <w:p w:rsidR="00E90C38" w:rsidRPr="00AD0E2C" w:rsidRDefault="00E90C38" w:rsidP="00E90C38">
      <w:pPr>
        <w:ind w:left="567" w:hanging="567"/>
      </w:pPr>
      <w:r w:rsidRPr="00AD0E2C">
        <w:t>24.</w:t>
      </w:r>
      <w:r w:rsidRPr="00AD0E2C">
        <w:tab/>
        <w:t>doporučuje, aby se vnitrostátní parlamenty plně zapojily do nepřetržitého rozvoje SBOP; domnívá se, že by toto zapojení mělo být podporováno v úzké spolupráci s Evropským parlamentem v souladu s článkem 10 protokolu č. 1 a při plném dodržování ustanovení ústav jednotlivých států týkajících se bezpečnostních a obranných politik; vyzývá vnitrostátní parlamenty, aby se podrobněji zabývaly stanovováním priorit v oblasti obranných schopností na úrovni EU, a to i prostřednictvím společných meziparlamentních setkání zástupců vnitrostátních parlamentů a poslanců Evropského parlamentu v rámci meziparlamentních konferencí o SZBP/SBOP a politického dialogu;</w:t>
      </w:r>
    </w:p>
    <w:p w:rsidR="00E90C38" w:rsidRPr="00AD0E2C" w:rsidRDefault="00E90C38" w:rsidP="00E90C38">
      <w:pPr>
        <w:ind w:left="567" w:hanging="567"/>
      </w:pPr>
    </w:p>
    <w:p w:rsidR="00E90C38" w:rsidRPr="00AD0E2C" w:rsidRDefault="00E90C38" w:rsidP="00E90C38">
      <w:pPr>
        <w:pStyle w:val="NormalHanging12a"/>
      </w:pPr>
      <w:r w:rsidRPr="00AD0E2C">
        <w:t>25.</w:t>
      </w:r>
      <w:r w:rsidRPr="00AD0E2C">
        <w:tab/>
        <w:t>připomíná, že je důležité posílit spolupráci a dialog mezi vnitrostátními parlamenty a Evropským parlamentem o vyšetřovací pravomoci;</w:t>
      </w:r>
    </w:p>
    <w:p w:rsidR="00E90C38" w:rsidRPr="00AD0E2C" w:rsidRDefault="00E90C38" w:rsidP="00E90C38">
      <w:pPr>
        <w:pStyle w:val="NormalHanging12a"/>
        <w:jc w:val="center"/>
        <w:rPr>
          <w:i/>
        </w:rPr>
      </w:pPr>
      <w:r w:rsidRPr="00AD0E2C">
        <w:rPr>
          <w:i/>
        </w:rPr>
        <w:t>°</w:t>
      </w:r>
    </w:p>
    <w:p w:rsidR="00E90C38" w:rsidRPr="00AD0E2C" w:rsidRDefault="00E90C38" w:rsidP="00E90C38">
      <w:pPr>
        <w:pStyle w:val="NormalHanging12a"/>
        <w:jc w:val="center"/>
        <w:rPr>
          <w:i/>
        </w:rPr>
      </w:pPr>
      <w:r w:rsidRPr="00AD0E2C">
        <w:rPr>
          <w:i/>
        </w:rPr>
        <w:t>°</w:t>
      </w:r>
      <w:r w:rsidRPr="00AD0E2C">
        <w:rPr>
          <w:i/>
        </w:rPr>
        <w:tab/>
        <w:t>°</w:t>
      </w:r>
    </w:p>
    <w:p w:rsidR="00E90C38" w:rsidRPr="00AD0E2C" w:rsidRDefault="00E90C38" w:rsidP="00E90C38">
      <w:pPr>
        <w:pStyle w:val="NormalHanging12a"/>
      </w:pPr>
      <w:r w:rsidRPr="00AD0E2C">
        <w:t>26.</w:t>
      </w:r>
      <w:r w:rsidRPr="00AD0E2C">
        <w:tab/>
        <w:t>pověřuje svou předsedkyni, aby předala toto usnesení Radě, Komisi a vládám a parlamentům členských států.</w:t>
      </w:r>
    </w:p>
    <w:p w:rsidR="00E90C38" w:rsidRPr="00AD0E2C" w:rsidRDefault="00E90C38" w:rsidP="00E90C38"/>
    <w:sectPr w:rsidR="00E90C38" w:rsidRPr="00AD0E2C" w:rsidSect="00AD0E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6320" w:rsidRPr="00AD0E2C" w:rsidRDefault="00496320">
      <w:r w:rsidRPr="00AD0E2C">
        <w:separator/>
      </w:r>
    </w:p>
  </w:endnote>
  <w:endnote w:type="continuationSeparator" w:id="0">
    <w:p w:rsidR="00496320" w:rsidRPr="00AD0E2C" w:rsidRDefault="00496320">
      <w:r w:rsidRPr="00AD0E2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0E2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0E2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0E2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6320" w:rsidRPr="00AD0E2C" w:rsidRDefault="00496320">
      <w:r w:rsidRPr="00AD0E2C">
        <w:separator/>
      </w:r>
    </w:p>
  </w:footnote>
  <w:footnote w:type="continuationSeparator" w:id="0">
    <w:p w:rsidR="00496320" w:rsidRPr="00AD0E2C" w:rsidRDefault="00496320">
      <w:r w:rsidRPr="00AD0E2C">
        <w:continuationSeparator/>
      </w:r>
    </w:p>
  </w:footnote>
  <w:footnote w:id="1">
    <w:p w:rsidR="00E90C38" w:rsidRPr="00AD0E2C" w:rsidRDefault="00E90C38" w:rsidP="00AD0E2C">
      <w:pPr>
        <w:pStyle w:val="FootnoteText"/>
        <w:ind w:left="567" w:hanging="567"/>
        <w:rPr>
          <w:sz w:val="24"/>
          <w:lang w:val="cs-CZ"/>
        </w:rPr>
      </w:pPr>
      <w:r w:rsidRPr="00AD0E2C">
        <w:rPr>
          <w:rStyle w:val="FootnoteReference"/>
          <w:sz w:val="24"/>
          <w:lang w:val="cs-CZ"/>
        </w:rPr>
        <w:footnoteRef/>
      </w:r>
      <w:r w:rsidR="00AD0E2C" w:rsidRPr="00AD0E2C">
        <w:rPr>
          <w:sz w:val="24"/>
          <w:lang w:val="cs-CZ"/>
        </w:rPr>
        <w:t xml:space="preserve"> </w:t>
      </w:r>
      <w:r w:rsidR="00AD0E2C" w:rsidRPr="00AD0E2C">
        <w:rPr>
          <w:sz w:val="24"/>
          <w:lang w:val="cs-CZ"/>
        </w:rPr>
        <w:tab/>
      </w:r>
      <w:proofErr w:type="spellStart"/>
      <w:r w:rsidRPr="00AD0E2C">
        <w:rPr>
          <w:sz w:val="24"/>
          <w:lang w:val="cs-CZ"/>
        </w:rPr>
        <w:t>Úř</w:t>
      </w:r>
      <w:proofErr w:type="spellEnd"/>
      <w:r w:rsidRPr="00AD0E2C">
        <w:rPr>
          <w:sz w:val="24"/>
          <w:lang w:val="cs-CZ"/>
        </w:rPr>
        <w:t xml:space="preserve">. </w:t>
      </w:r>
      <w:proofErr w:type="spellStart"/>
      <w:proofErr w:type="gramStart"/>
      <w:r w:rsidRPr="00AD0E2C">
        <w:rPr>
          <w:sz w:val="24"/>
          <w:lang w:val="cs-CZ"/>
        </w:rPr>
        <w:t>věst</w:t>
      </w:r>
      <w:proofErr w:type="spellEnd"/>
      <w:proofErr w:type="gramEnd"/>
      <w:r w:rsidRPr="00AD0E2C">
        <w:rPr>
          <w:sz w:val="24"/>
          <w:lang w:val="cs-CZ"/>
        </w:rPr>
        <w:t xml:space="preserve">. C 202, </w:t>
      </w:r>
      <w:proofErr w:type="gramStart"/>
      <w:r w:rsidRPr="00AD0E2C">
        <w:rPr>
          <w:sz w:val="24"/>
          <w:lang w:val="cs-CZ"/>
        </w:rPr>
        <w:t>7.6.2016</w:t>
      </w:r>
      <w:proofErr w:type="gramEnd"/>
      <w:r w:rsidRPr="00AD0E2C">
        <w:rPr>
          <w:sz w:val="24"/>
          <w:lang w:val="cs-CZ"/>
        </w:rPr>
        <w:t>, s. 203.</w:t>
      </w:r>
    </w:p>
  </w:footnote>
  <w:footnote w:id="2">
    <w:p w:rsidR="00E90C38" w:rsidRPr="00AD0E2C" w:rsidRDefault="00E90C38" w:rsidP="00AD0E2C">
      <w:pPr>
        <w:pStyle w:val="FootnoteText"/>
        <w:ind w:left="567" w:hanging="567"/>
        <w:rPr>
          <w:sz w:val="24"/>
          <w:lang w:val="cs-CZ"/>
        </w:rPr>
      </w:pPr>
      <w:r w:rsidRPr="00AD0E2C">
        <w:rPr>
          <w:rStyle w:val="FootnoteReference"/>
          <w:sz w:val="24"/>
          <w:lang w:val="cs-CZ"/>
        </w:rPr>
        <w:footnoteRef/>
      </w:r>
      <w:r w:rsidR="00AD0E2C" w:rsidRPr="00AD0E2C">
        <w:rPr>
          <w:sz w:val="24"/>
          <w:lang w:val="cs-CZ"/>
        </w:rPr>
        <w:t xml:space="preserve"> </w:t>
      </w:r>
      <w:r w:rsidR="00AD0E2C" w:rsidRPr="00AD0E2C">
        <w:rPr>
          <w:sz w:val="24"/>
          <w:lang w:val="cs-CZ"/>
        </w:rPr>
        <w:tab/>
      </w:r>
      <w:proofErr w:type="spellStart"/>
      <w:r w:rsidRPr="00AD0E2C">
        <w:rPr>
          <w:sz w:val="24"/>
          <w:lang w:val="cs-CZ"/>
        </w:rPr>
        <w:t>Úř</w:t>
      </w:r>
      <w:proofErr w:type="spellEnd"/>
      <w:r w:rsidRPr="00AD0E2C">
        <w:rPr>
          <w:sz w:val="24"/>
          <w:lang w:val="cs-CZ"/>
        </w:rPr>
        <w:t xml:space="preserve">. </w:t>
      </w:r>
      <w:proofErr w:type="spellStart"/>
      <w:proofErr w:type="gramStart"/>
      <w:r w:rsidRPr="00AD0E2C">
        <w:rPr>
          <w:sz w:val="24"/>
          <w:lang w:val="cs-CZ"/>
        </w:rPr>
        <w:t>věst</w:t>
      </w:r>
      <w:proofErr w:type="spellEnd"/>
      <w:proofErr w:type="gramEnd"/>
      <w:r w:rsidRPr="00AD0E2C">
        <w:rPr>
          <w:sz w:val="24"/>
          <w:lang w:val="cs-CZ"/>
        </w:rPr>
        <w:t xml:space="preserve">. C 115, </w:t>
      </w:r>
      <w:proofErr w:type="gramStart"/>
      <w:r w:rsidRPr="00AD0E2C">
        <w:rPr>
          <w:sz w:val="24"/>
          <w:lang w:val="cs-CZ"/>
        </w:rPr>
        <w:t>9.5.2008</w:t>
      </w:r>
      <w:proofErr w:type="gramEnd"/>
      <w:r w:rsidRPr="00AD0E2C">
        <w:rPr>
          <w:sz w:val="24"/>
          <w:lang w:val="cs-CZ"/>
        </w:rPr>
        <w:t>, s. 206.</w:t>
      </w:r>
    </w:p>
  </w:footnote>
  <w:footnote w:id="3">
    <w:p w:rsidR="00E90C38" w:rsidRPr="00AD0E2C" w:rsidRDefault="00E90C38" w:rsidP="00AD0E2C">
      <w:pPr>
        <w:pStyle w:val="FootnoteText"/>
        <w:ind w:left="567" w:hanging="567"/>
        <w:rPr>
          <w:sz w:val="24"/>
          <w:lang w:val="cs-CZ"/>
        </w:rPr>
      </w:pPr>
      <w:r w:rsidRPr="00AD0E2C">
        <w:rPr>
          <w:rStyle w:val="FootnoteReference"/>
          <w:sz w:val="24"/>
          <w:lang w:val="cs-CZ"/>
        </w:rPr>
        <w:footnoteRef/>
      </w:r>
      <w:r w:rsidR="00AD0E2C" w:rsidRPr="00AD0E2C">
        <w:rPr>
          <w:sz w:val="24"/>
          <w:lang w:val="cs-CZ"/>
        </w:rPr>
        <w:t xml:space="preserve"> </w:t>
      </w:r>
      <w:r w:rsidR="00AD0E2C" w:rsidRPr="00AD0E2C">
        <w:rPr>
          <w:sz w:val="24"/>
          <w:lang w:val="cs-CZ"/>
        </w:rPr>
        <w:tab/>
      </w:r>
      <w:proofErr w:type="spellStart"/>
      <w:r w:rsidRPr="00AD0E2C">
        <w:rPr>
          <w:sz w:val="24"/>
          <w:lang w:val="cs-CZ"/>
        </w:rPr>
        <w:t>Úř</w:t>
      </w:r>
      <w:proofErr w:type="spellEnd"/>
      <w:r w:rsidRPr="00AD0E2C">
        <w:rPr>
          <w:sz w:val="24"/>
          <w:lang w:val="cs-CZ"/>
        </w:rPr>
        <w:t xml:space="preserve">. </w:t>
      </w:r>
      <w:proofErr w:type="spellStart"/>
      <w:proofErr w:type="gramStart"/>
      <w:r w:rsidRPr="00AD0E2C">
        <w:rPr>
          <w:sz w:val="24"/>
          <w:lang w:val="cs-CZ"/>
        </w:rPr>
        <w:t>věst</w:t>
      </w:r>
      <w:proofErr w:type="spellEnd"/>
      <w:proofErr w:type="gramEnd"/>
      <w:r w:rsidRPr="00AD0E2C">
        <w:rPr>
          <w:sz w:val="24"/>
          <w:lang w:val="cs-CZ"/>
        </w:rPr>
        <w:t xml:space="preserve">. C 212 E, </w:t>
      </w:r>
      <w:proofErr w:type="gramStart"/>
      <w:r w:rsidRPr="00AD0E2C">
        <w:rPr>
          <w:sz w:val="24"/>
          <w:lang w:val="cs-CZ"/>
        </w:rPr>
        <w:t>5.8.2010</w:t>
      </w:r>
      <w:proofErr w:type="gramEnd"/>
      <w:r w:rsidRPr="00AD0E2C">
        <w:rPr>
          <w:sz w:val="24"/>
          <w:lang w:val="cs-CZ"/>
        </w:rPr>
        <w:t>, s. 94.</w:t>
      </w:r>
    </w:p>
  </w:footnote>
  <w:footnote w:id="4">
    <w:p w:rsidR="00E90C38" w:rsidRPr="00AD0E2C" w:rsidRDefault="00E90C38" w:rsidP="00AD0E2C">
      <w:pPr>
        <w:pStyle w:val="FootnoteText"/>
        <w:ind w:left="567" w:hanging="567"/>
        <w:rPr>
          <w:sz w:val="24"/>
          <w:lang w:val="cs-CZ"/>
        </w:rPr>
      </w:pPr>
      <w:r w:rsidRPr="00AD0E2C">
        <w:rPr>
          <w:rStyle w:val="FootnoteReference"/>
          <w:sz w:val="24"/>
          <w:lang w:val="cs-CZ"/>
        </w:rPr>
        <w:footnoteRef/>
      </w:r>
      <w:r w:rsidR="00AD0E2C" w:rsidRPr="00AD0E2C">
        <w:rPr>
          <w:sz w:val="24"/>
          <w:lang w:val="cs-CZ"/>
        </w:rPr>
        <w:t xml:space="preserve"> </w:t>
      </w:r>
      <w:r w:rsidR="00AD0E2C" w:rsidRPr="00AD0E2C">
        <w:rPr>
          <w:sz w:val="24"/>
          <w:lang w:val="cs-CZ"/>
        </w:rPr>
        <w:tab/>
      </w:r>
      <w:proofErr w:type="spellStart"/>
      <w:r w:rsidRPr="00AD0E2C">
        <w:rPr>
          <w:sz w:val="24"/>
          <w:lang w:val="cs-CZ"/>
        </w:rPr>
        <w:t>Úř</w:t>
      </w:r>
      <w:proofErr w:type="spellEnd"/>
      <w:r w:rsidRPr="00AD0E2C">
        <w:rPr>
          <w:sz w:val="24"/>
          <w:lang w:val="cs-CZ"/>
        </w:rPr>
        <w:t xml:space="preserve">. </w:t>
      </w:r>
      <w:proofErr w:type="spellStart"/>
      <w:proofErr w:type="gramStart"/>
      <w:r w:rsidRPr="00AD0E2C">
        <w:rPr>
          <w:sz w:val="24"/>
          <w:lang w:val="cs-CZ"/>
        </w:rPr>
        <w:t>věst</w:t>
      </w:r>
      <w:proofErr w:type="spellEnd"/>
      <w:proofErr w:type="gramEnd"/>
      <w:r w:rsidRPr="00AD0E2C">
        <w:rPr>
          <w:sz w:val="24"/>
          <w:lang w:val="cs-CZ"/>
        </w:rPr>
        <w:t xml:space="preserve">. C 443, </w:t>
      </w:r>
      <w:proofErr w:type="gramStart"/>
      <w:r w:rsidRPr="00AD0E2C">
        <w:rPr>
          <w:sz w:val="24"/>
          <w:lang w:val="cs-CZ"/>
        </w:rPr>
        <w:t>22.12.2017</w:t>
      </w:r>
      <w:proofErr w:type="gramEnd"/>
      <w:r w:rsidRPr="00AD0E2C">
        <w:rPr>
          <w:sz w:val="24"/>
          <w:lang w:val="cs-CZ"/>
        </w:rPr>
        <w:t>, s. 40.</w:t>
      </w:r>
    </w:p>
  </w:footnote>
  <w:footnote w:id="5">
    <w:p w:rsidR="00E90C38" w:rsidRPr="00AD0E2C" w:rsidRDefault="00E90C38" w:rsidP="00AD0E2C">
      <w:pPr>
        <w:pStyle w:val="FootnoteText"/>
        <w:ind w:left="567" w:hanging="567"/>
        <w:rPr>
          <w:sz w:val="24"/>
          <w:lang w:val="cs-CZ"/>
        </w:rPr>
      </w:pPr>
      <w:r w:rsidRPr="00AD0E2C">
        <w:rPr>
          <w:rStyle w:val="FootnoteReference"/>
          <w:sz w:val="24"/>
          <w:lang w:val="cs-CZ"/>
        </w:rPr>
        <w:footnoteRef/>
      </w:r>
      <w:r w:rsidR="00AD0E2C" w:rsidRPr="00AD0E2C">
        <w:rPr>
          <w:sz w:val="24"/>
          <w:lang w:val="cs-CZ"/>
        </w:rPr>
        <w:t xml:space="preserve"> </w:t>
      </w:r>
      <w:r w:rsidR="00AD0E2C" w:rsidRPr="00AD0E2C">
        <w:rPr>
          <w:sz w:val="24"/>
          <w:lang w:val="cs-CZ"/>
        </w:rPr>
        <w:tab/>
      </w:r>
      <w:proofErr w:type="spellStart"/>
      <w:r w:rsidRPr="00AD0E2C">
        <w:rPr>
          <w:sz w:val="24"/>
          <w:lang w:val="cs-CZ"/>
        </w:rPr>
        <w:t>Úř</w:t>
      </w:r>
      <w:proofErr w:type="spellEnd"/>
      <w:r w:rsidRPr="00AD0E2C">
        <w:rPr>
          <w:sz w:val="24"/>
          <w:lang w:val="cs-CZ"/>
        </w:rPr>
        <w:t xml:space="preserve">. </w:t>
      </w:r>
      <w:proofErr w:type="spellStart"/>
      <w:proofErr w:type="gramStart"/>
      <w:r w:rsidRPr="00AD0E2C">
        <w:rPr>
          <w:sz w:val="24"/>
          <w:lang w:val="cs-CZ"/>
        </w:rPr>
        <w:t>věst</w:t>
      </w:r>
      <w:proofErr w:type="spellEnd"/>
      <w:proofErr w:type="gramEnd"/>
      <w:r w:rsidRPr="00AD0E2C">
        <w:rPr>
          <w:sz w:val="24"/>
          <w:lang w:val="cs-CZ"/>
        </w:rPr>
        <w:t xml:space="preserve">. C 390, </w:t>
      </w:r>
      <w:proofErr w:type="gramStart"/>
      <w:r w:rsidRPr="00AD0E2C">
        <w:rPr>
          <w:sz w:val="24"/>
          <w:lang w:val="cs-CZ"/>
        </w:rPr>
        <w:t>18.11.2019</w:t>
      </w:r>
      <w:proofErr w:type="gramEnd"/>
      <w:r w:rsidRPr="00AD0E2C">
        <w:rPr>
          <w:sz w:val="24"/>
          <w:lang w:val="cs-CZ"/>
        </w:rPr>
        <w:t>, s. 121.</w:t>
      </w:r>
    </w:p>
  </w:footnote>
  <w:footnote w:id="6">
    <w:p w:rsidR="00E90C38" w:rsidRPr="00AD0E2C" w:rsidRDefault="00E90C38" w:rsidP="00AD0E2C">
      <w:pPr>
        <w:pStyle w:val="FootnoteText"/>
        <w:ind w:left="567" w:hanging="567"/>
        <w:rPr>
          <w:sz w:val="24"/>
          <w:lang w:val="cs-CZ"/>
        </w:rPr>
      </w:pPr>
      <w:r w:rsidRPr="00AD0E2C">
        <w:rPr>
          <w:rStyle w:val="FootnoteReference"/>
          <w:sz w:val="24"/>
          <w:lang w:val="cs-CZ"/>
        </w:rPr>
        <w:footnoteRef/>
      </w:r>
      <w:r w:rsidR="00AD0E2C" w:rsidRPr="00AD0E2C">
        <w:rPr>
          <w:sz w:val="24"/>
          <w:lang w:val="cs-CZ"/>
        </w:rPr>
        <w:t xml:space="preserve"> </w:t>
      </w:r>
      <w:r w:rsidR="00AD0E2C" w:rsidRPr="00AD0E2C">
        <w:rPr>
          <w:sz w:val="24"/>
          <w:lang w:val="cs-CZ"/>
        </w:rPr>
        <w:tab/>
      </w:r>
      <w:proofErr w:type="spellStart"/>
      <w:r w:rsidRPr="00AD0E2C">
        <w:rPr>
          <w:sz w:val="24"/>
          <w:lang w:val="cs-CZ"/>
        </w:rPr>
        <w:t>Úř</w:t>
      </w:r>
      <w:proofErr w:type="spellEnd"/>
      <w:r w:rsidRPr="00AD0E2C">
        <w:rPr>
          <w:sz w:val="24"/>
          <w:lang w:val="cs-CZ"/>
        </w:rPr>
        <w:t>. </w:t>
      </w:r>
      <w:proofErr w:type="spellStart"/>
      <w:proofErr w:type="gramStart"/>
      <w:r w:rsidRPr="00AD0E2C">
        <w:rPr>
          <w:sz w:val="24"/>
          <w:lang w:val="cs-CZ"/>
        </w:rPr>
        <w:t>věst</w:t>
      </w:r>
      <w:proofErr w:type="spellEnd"/>
      <w:proofErr w:type="gramEnd"/>
      <w:r w:rsidRPr="00AD0E2C">
        <w:rPr>
          <w:sz w:val="24"/>
          <w:lang w:val="cs-CZ"/>
        </w:rPr>
        <w:t xml:space="preserve">. C 456, </w:t>
      </w:r>
      <w:proofErr w:type="gramStart"/>
      <w:r w:rsidRPr="00AD0E2C">
        <w:rPr>
          <w:sz w:val="24"/>
          <w:lang w:val="cs-CZ"/>
        </w:rPr>
        <w:t>10.11.2021</w:t>
      </w:r>
      <w:proofErr w:type="gramEnd"/>
      <w:r w:rsidRPr="00AD0E2C">
        <w:rPr>
          <w:sz w:val="24"/>
          <w:lang w:val="cs-CZ"/>
        </w:rPr>
        <w:t>, s. 56</w:t>
      </w:r>
      <w:r w:rsidRPr="00AD0E2C">
        <w:rPr>
          <w:color w:val="000000"/>
          <w:sz w:val="24"/>
          <w:lang w:val="cs-CZ"/>
        </w:rPr>
        <w:t>.</w:t>
      </w:r>
    </w:p>
  </w:footnote>
  <w:footnote w:id="7">
    <w:p w:rsidR="00E90C38" w:rsidRPr="00AD0E2C" w:rsidRDefault="00E90C38" w:rsidP="00AD0E2C">
      <w:pPr>
        <w:pStyle w:val="FootnoteText"/>
        <w:ind w:left="567" w:hanging="567"/>
        <w:rPr>
          <w:sz w:val="24"/>
          <w:lang w:val="cs-CZ"/>
        </w:rPr>
      </w:pPr>
      <w:r w:rsidRPr="00AD0E2C">
        <w:rPr>
          <w:rStyle w:val="FootnoteReference"/>
          <w:sz w:val="24"/>
          <w:lang w:val="cs-CZ"/>
        </w:rPr>
        <w:footnoteRef/>
      </w:r>
      <w:r w:rsidR="00AD0E2C" w:rsidRPr="00AD0E2C">
        <w:rPr>
          <w:sz w:val="24"/>
          <w:lang w:val="cs-CZ"/>
        </w:rPr>
        <w:t xml:space="preserve"> </w:t>
      </w:r>
      <w:r w:rsidR="00AD0E2C" w:rsidRPr="00AD0E2C">
        <w:rPr>
          <w:sz w:val="24"/>
          <w:lang w:val="cs-CZ"/>
        </w:rPr>
        <w:tab/>
      </w:r>
      <w:proofErr w:type="spellStart"/>
      <w:r w:rsidRPr="00AD0E2C">
        <w:rPr>
          <w:sz w:val="24"/>
          <w:lang w:val="cs-CZ"/>
        </w:rPr>
        <w:t>Úř</w:t>
      </w:r>
      <w:proofErr w:type="spellEnd"/>
      <w:r w:rsidRPr="00AD0E2C">
        <w:rPr>
          <w:sz w:val="24"/>
          <w:lang w:val="cs-CZ"/>
        </w:rPr>
        <w:t xml:space="preserve">. </w:t>
      </w:r>
      <w:proofErr w:type="spellStart"/>
      <w:proofErr w:type="gramStart"/>
      <w:r w:rsidRPr="00AD0E2C">
        <w:rPr>
          <w:sz w:val="24"/>
          <w:lang w:val="cs-CZ"/>
        </w:rPr>
        <w:t>věst</w:t>
      </w:r>
      <w:proofErr w:type="spellEnd"/>
      <w:proofErr w:type="gramEnd"/>
      <w:r w:rsidRPr="00AD0E2C">
        <w:rPr>
          <w:sz w:val="24"/>
          <w:lang w:val="cs-CZ"/>
        </w:rPr>
        <w:t xml:space="preserve">. C 479, </w:t>
      </w:r>
      <w:proofErr w:type="gramStart"/>
      <w:r w:rsidRPr="00AD0E2C">
        <w:rPr>
          <w:sz w:val="24"/>
          <w:lang w:val="cs-CZ"/>
        </w:rPr>
        <w:t>16.12.2022</w:t>
      </w:r>
      <w:proofErr w:type="gramEnd"/>
      <w:r w:rsidRPr="00AD0E2C">
        <w:rPr>
          <w:sz w:val="24"/>
          <w:lang w:val="cs-CZ"/>
        </w:rPr>
        <w:t>, s. 18.</w:t>
      </w:r>
    </w:p>
  </w:footnote>
  <w:footnote w:id="8">
    <w:p w:rsidR="00E90C38" w:rsidRPr="00AD0E2C" w:rsidRDefault="00E90C38" w:rsidP="00AD0E2C">
      <w:pPr>
        <w:pStyle w:val="FootnoteText"/>
        <w:ind w:left="567" w:hanging="567"/>
        <w:rPr>
          <w:sz w:val="24"/>
          <w:lang w:val="cs-CZ"/>
        </w:rPr>
      </w:pPr>
      <w:r w:rsidRPr="00AD0E2C">
        <w:rPr>
          <w:rStyle w:val="FootnoteReference"/>
          <w:sz w:val="24"/>
          <w:lang w:val="cs-CZ"/>
        </w:rPr>
        <w:footnoteRef/>
      </w:r>
      <w:r w:rsidR="00AD0E2C" w:rsidRPr="00AD0E2C">
        <w:rPr>
          <w:sz w:val="24"/>
          <w:lang w:val="cs-CZ"/>
        </w:rPr>
        <w:t xml:space="preserve"> </w:t>
      </w:r>
      <w:r w:rsidR="00AD0E2C" w:rsidRPr="00AD0E2C">
        <w:rPr>
          <w:sz w:val="24"/>
          <w:lang w:val="cs-CZ"/>
        </w:rPr>
        <w:tab/>
      </w:r>
      <w:proofErr w:type="spellStart"/>
      <w:r w:rsidRPr="00AD0E2C">
        <w:rPr>
          <w:sz w:val="24"/>
          <w:lang w:val="cs-CZ"/>
        </w:rPr>
        <w:t>Úř</w:t>
      </w:r>
      <w:proofErr w:type="spellEnd"/>
      <w:r w:rsidRPr="00AD0E2C">
        <w:rPr>
          <w:sz w:val="24"/>
          <w:lang w:val="cs-CZ"/>
        </w:rPr>
        <w:t xml:space="preserve">. </w:t>
      </w:r>
      <w:proofErr w:type="spellStart"/>
      <w:proofErr w:type="gramStart"/>
      <w:r w:rsidRPr="00AD0E2C">
        <w:rPr>
          <w:sz w:val="24"/>
          <w:lang w:val="cs-CZ"/>
        </w:rPr>
        <w:t>věst</w:t>
      </w:r>
      <w:proofErr w:type="spellEnd"/>
      <w:proofErr w:type="gramEnd"/>
      <w:r w:rsidRPr="00AD0E2C">
        <w:rPr>
          <w:sz w:val="24"/>
          <w:lang w:val="cs-CZ"/>
        </w:rPr>
        <w:t xml:space="preserve">. C 81, </w:t>
      </w:r>
      <w:proofErr w:type="gramStart"/>
      <w:r w:rsidRPr="00AD0E2C">
        <w:rPr>
          <w:sz w:val="24"/>
          <w:lang w:val="cs-CZ"/>
        </w:rPr>
        <w:t>18.2.2022</w:t>
      </w:r>
      <w:proofErr w:type="gramEnd"/>
      <w:r w:rsidRPr="00AD0E2C">
        <w:rPr>
          <w:sz w:val="24"/>
          <w:lang w:val="cs-CZ"/>
        </w:rPr>
        <w:t>, s. 74.</w:t>
      </w:r>
    </w:p>
  </w:footnote>
  <w:footnote w:id="9">
    <w:p w:rsidR="00E90C38" w:rsidRPr="00AD0E2C" w:rsidRDefault="00E90C38" w:rsidP="00AD0E2C">
      <w:pPr>
        <w:pStyle w:val="FootnoteText"/>
        <w:ind w:left="567" w:hanging="567"/>
        <w:rPr>
          <w:sz w:val="24"/>
          <w:lang w:val="cs-CZ"/>
        </w:rPr>
      </w:pPr>
      <w:r w:rsidRPr="00AD0E2C">
        <w:rPr>
          <w:rStyle w:val="FootnoteReference"/>
          <w:sz w:val="24"/>
          <w:lang w:val="cs-CZ"/>
        </w:rPr>
        <w:footnoteRef/>
      </w:r>
      <w:r w:rsidR="00AD0E2C" w:rsidRPr="00AD0E2C">
        <w:rPr>
          <w:sz w:val="24"/>
          <w:lang w:val="cs-CZ"/>
        </w:rPr>
        <w:t xml:space="preserve"> </w:t>
      </w:r>
      <w:r w:rsidR="00AD0E2C" w:rsidRPr="00AD0E2C">
        <w:rPr>
          <w:sz w:val="24"/>
          <w:lang w:val="cs-CZ"/>
        </w:rPr>
        <w:tab/>
      </w:r>
      <w:r w:rsidRPr="00AD0E2C">
        <w:rPr>
          <w:sz w:val="24"/>
          <w:lang w:val="cs-CZ"/>
        </w:rPr>
        <w:t xml:space="preserve">Aktivní subsidiarita – nový způsob práce, </w:t>
      </w:r>
      <w:hyperlink r:id="rId1" w:history="1">
        <w:r w:rsidRPr="00AD0E2C">
          <w:rPr>
            <w:rStyle w:val="Hyperlink"/>
            <w:sz w:val="24"/>
            <w:lang w:val="cs-CZ"/>
          </w:rPr>
          <w:t>zpráva</w:t>
        </w:r>
      </w:hyperlink>
      <w:r w:rsidRPr="00AD0E2C">
        <w:rPr>
          <w:sz w:val="24"/>
          <w:lang w:val="cs-CZ"/>
        </w:rPr>
        <w:t xml:space="preserve"> pracovní skupiny pro subsidiaritu, proporcionalitu a scénář „Méně, zato efektivněji“, 10. července 2018.</w:t>
      </w:r>
    </w:p>
  </w:footnote>
  <w:footnote w:id="10">
    <w:p w:rsidR="00E90C38" w:rsidRPr="00AD0E2C" w:rsidRDefault="00E90C38" w:rsidP="00AD0E2C">
      <w:pPr>
        <w:pStyle w:val="FootnoteText"/>
        <w:ind w:left="567" w:hanging="567"/>
        <w:rPr>
          <w:sz w:val="24"/>
          <w:lang w:val="cs-CZ"/>
        </w:rPr>
      </w:pPr>
      <w:r w:rsidRPr="00AD0E2C">
        <w:rPr>
          <w:rStyle w:val="FootnoteReference"/>
          <w:sz w:val="24"/>
          <w:lang w:val="cs-CZ"/>
        </w:rPr>
        <w:footnoteRef/>
      </w:r>
      <w:r w:rsidR="00AD0E2C" w:rsidRPr="00AD0E2C">
        <w:rPr>
          <w:sz w:val="24"/>
          <w:lang w:val="cs-CZ"/>
        </w:rPr>
        <w:t xml:space="preserve"> </w:t>
      </w:r>
      <w:r w:rsidR="00AD0E2C" w:rsidRPr="00AD0E2C">
        <w:rPr>
          <w:sz w:val="24"/>
          <w:lang w:val="cs-CZ"/>
        </w:rPr>
        <w:tab/>
      </w:r>
      <w:proofErr w:type="spellStart"/>
      <w:r w:rsidRPr="00AD0E2C">
        <w:rPr>
          <w:sz w:val="24"/>
          <w:lang w:val="cs-CZ"/>
        </w:rPr>
        <w:t>Úř</w:t>
      </w:r>
      <w:proofErr w:type="spellEnd"/>
      <w:r w:rsidRPr="00AD0E2C">
        <w:rPr>
          <w:sz w:val="24"/>
          <w:lang w:val="cs-CZ"/>
        </w:rPr>
        <w:t>. </w:t>
      </w:r>
      <w:proofErr w:type="spellStart"/>
      <w:proofErr w:type="gramStart"/>
      <w:r w:rsidRPr="00AD0E2C">
        <w:rPr>
          <w:sz w:val="24"/>
          <w:lang w:val="cs-CZ"/>
        </w:rPr>
        <w:t>věst</w:t>
      </w:r>
      <w:proofErr w:type="spellEnd"/>
      <w:proofErr w:type="gramEnd"/>
      <w:r w:rsidRPr="00AD0E2C">
        <w:rPr>
          <w:sz w:val="24"/>
          <w:lang w:val="cs-CZ"/>
        </w:rPr>
        <w:t xml:space="preserve">. C 270, </w:t>
      </w:r>
      <w:proofErr w:type="gramStart"/>
      <w:r w:rsidRPr="00AD0E2C">
        <w:rPr>
          <w:sz w:val="24"/>
          <w:lang w:val="cs-CZ"/>
        </w:rPr>
        <w:t>7.7.2021</w:t>
      </w:r>
      <w:proofErr w:type="gramEnd"/>
      <w:r w:rsidRPr="00AD0E2C">
        <w:rPr>
          <w:sz w:val="24"/>
          <w:lang w:val="cs-CZ"/>
        </w:rPr>
        <w:t>, s. 71.</w:t>
      </w:r>
    </w:p>
  </w:footnote>
  <w:footnote w:id="11">
    <w:p w:rsidR="00E90C38" w:rsidRPr="00AD0E2C" w:rsidRDefault="00E90C38" w:rsidP="00AD0E2C">
      <w:pPr>
        <w:pStyle w:val="FootnoteText"/>
        <w:ind w:left="567" w:hanging="567"/>
        <w:rPr>
          <w:sz w:val="24"/>
          <w:lang w:val="cs-CZ"/>
        </w:rPr>
      </w:pPr>
      <w:r w:rsidRPr="00AD0E2C">
        <w:rPr>
          <w:rStyle w:val="FootnoteReference"/>
          <w:sz w:val="24"/>
          <w:lang w:val="cs-CZ"/>
        </w:rPr>
        <w:footnoteRef/>
      </w:r>
      <w:r w:rsidR="00AD0E2C" w:rsidRPr="00AD0E2C">
        <w:rPr>
          <w:sz w:val="24"/>
          <w:lang w:val="cs-CZ"/>
        </w:rPr>
        <w:t xml:space="preserve"> </w:t>
      </w:r>
      <w:r w:rsidR="00AD0E2C" w:rsidRPr="00AD0E2C">
        <w:rPr>
          <w:sz w:val="24"/>
          <w:lang w:val="cs-CZ"/>
        </w:rPr>
        <w:tab/>
      </w:r>
      <w:proofErr w:type="spellStart"/>
      <w:r w:rsidRPr="00AD0E2C">
        <w:rPr>
          <w:sz w:val="24"/>
          <w:lang w:val="cs-CZ"/>
        </w:rPr>
        <w:t>Úř</w:t>
      </w:r>
      <w:proofErr w:type="spellEnd"/>
      <w:r w:rsidRPr="00AD0E2C">
        <w:rPr>
          <w:sz w:val="24"/>
          <w:lang w:val="cs-CZ"/>
        </w:rPr>
        <w:t xml:space="preserve">. </w:t>
      </w:r>
      <w:proofErr w:type="spellStart"/>
      <w:proofErr w:type="gramStart"/>
      <w:r w:rsidRPr="00AD0E2C">
        <w:rPr>
          <w:sz w:val="24"/>
          <w:lang w:val="cs-CZ"/>
        </w:rPr>
        <w:t>věst</w:t>
      </w:r>
      <w:proofErr w:type="spellEnd"/>
      <w:proofErr w:type="gramEnd"/>
      <w:r w:rsidRPr="00AD0E2C">
        <w:rPr>
          <w:sz w:val="24"/>
          <w:lang w:val="cs-CZ"/>
        </w:rPr>
        <w:t xml:space="preserve">. C 465, </w:t>
      </w:r>
      <w:proofErr w:type="gramStart"/>
      <w:r w:rsidRPr="00AD0E2C">
        <w:rPr>
          <w:sz w:val="24"/>
          <w:lang w:val="cs-CZ"/>
        </w:rPr>
        <w:t>6.12.2022</w:t>
      </w:r>
      <w:proofErr w:type="gramEnd"/>
      <w:r w:rsidRPr="00AD0E2C">
        <w:rPr>
          <w:sz w:val="24"/>
          <w:lang w:val="cs-CZ"/>
        </w:rPr>
        <w:t>, s. 109.</w:t>
      </w:r>
    </w:p>
  </w:footnote>
  <w:footnote w:id="12">
    <w:p w:rsidR="00E90C38" w:rsidRPr="00AD0E2C" w:rsidRDefault="00E90C38" w:rsidP="00AD0E2C">
      <w:pPr>
        <w:pStyle w:val="FootnoteText"/>
        <w:ind w:left="567" w:hanging="567"/>
        <w:rPr>
          <w:sz w:val="24"/>
          <w:lang w:val="cs-CZ"/>
        </w:rPr>
      </w:pPr>
      <w:r w:rsidRPr="00AD0E2C">
        <w:rPr>
          <w:rStyle w:val="FootnoteReference"/>
          <w:sz w:val="24"/>
          <w:lang w:val="cs-CZ"/>
        </w:rPr>
        <w:footnoteRef/>
      </w:r>
      <w:r w:rsidR="00AD0E2C" w:rsidRPr="00AD0E2C">
        <w:rPr>
          <w:sz w:val="24"/>
          <w:lang w:val="cs-CZ"/>
        </w:rPr>
        <w:t xml:space="preserve"> </w:t>
      </w:r>
      <w:r w:rsidR="00AD0E2C" w:rsidRPr="00AD0E2C">
        <w:rPr>
          <w:sz w:val="24"/>
          <w:lang w:val="cs-CZ"/>
        </w:rPr>
        <w:tab/>
      </w:r>
      <w:proofErr w:type="spellStart"/>
      <w:r w:rsidRPr="00AD0E2C">
        <w:rPr>
          <w:sz w:val="24"/>
          <w:lang w:val="cs-CZ"/>
        </w:rPr>
        <w:t>Úř</w:t>
      </w:r>
      <w:proofErr w:type="spellEnd"/>
      <w:r w:rsidRPr="00AD0E2C">
        <w:rPr>
          <w:sz w:val="24"/>
          <w:lang w:val="cs-CZ"/>
        </w:rPr>
        <w:t xml:space="preserve">. </w:t>
      </w:r>
      <w:proofErr w:type="spellStart"/>
      <w:proofErr w:type="gramStart"/>
      <w:r w:rsidRPr="00AD0E2C">
        <w:rPr>
          <w:sz w:val="24"/>
          <w:lang w:val="cs-CZ"/>
        </w:rPr>
        <w:t>věst</w:t>
      </w:r>
      <w:proofErr w:type="spellEnd"/>
      <w:proofErr w:type="gramEnd"/>
      <w:r w:rsidRPr="00AD0E2C">
        <w:rPr>
          <w:sz w:val="24"/>
          <w:lang w:val="cs-CZ"/>
        </w:rPr>
        <w:t xml:space="preserve">. C 493, </w:t>
      </w:r>
      <w:proofErr w:type="gramStart"/>
      <w:r w:rsidRPr="00AD0E2C">
        <w:rPr>
          <w:sz w:val="24"/>
          <w:lang w:val="cs-CZ"/>
        </w:rPr>
        <w:t>27.12.2022</w:t>
      </w:r>
      <w:proofErr w:type="gramEnd"/>
      <w:r w:rsidRPr="00AD0E2C">
        <w:rPr>
          <w:sz w:val="24"/>
          <w:lang w:val="cs-CZ"/>
        </w:rPr>
        <w:t>, s. 130.</w:t>
      </w:r>
    </w:p>
  </w:footnote>
  <w:footnote w:id="13">
    <w:p w:rsidR="00E90C38" w:rsidRPr="00AD0E2C" w:rsidRDefault="00E90C38" w:rsidP="00AD0E2C">
      <w:pPr>
        <w:pStyle w:val="FootnoteText"/>
        <w:ind w:left="567" w:hanging="567"/>
        <w:rPr>
          <w:sz w:val="24"/>
          <w:lang w:val="cs-CZ"/>
        </w:rPr>
      </w:pPr>
      <w:r w:rsidRPr="00AD0E2C">
        <w:rPr>
          <w:rStyle w:val="FootnoteReference"/>
          <w:sz w:val="24"/>
          <w:lang w:val="cs-CZ"/>
        </w:rPr>
        <w:footnoteRef/>
      </w:r>
      <w:r w:rsidR="00AD0E2C" w:rsidRPr="00AD0E2C">
        <w:rPr>
          <w:sz w:val="24"/>
          <w:lang w:val="cs-CZ"/>
        </w:rPr>
        <w:t xml:space="preserve"> </w:t>
      </w:r>
      <w:r w:rsidR="00AD0E2C" w:rsidRPr="00AD0E2C">
        <w:rPr>
          <w:sz w:val="24"/>
          <w:lang w:val="cs-CZ"/>
        </w:rPr>
        <w:tab/>
      </w:r>
      <w:r w:rsidRPr="00AD0E2C">
        <w:rPr>
          <w:sz w:val="24"/>
          <w:lang w:val="cs-CZ"/>
        </w:rPr>
        <w:t>Přijaté texty, P9_TA(2023)0427.</w:t>
      </w:r>
    </w:p>
  </w:footnote>
  <w:footnote w:id="14">
    <w:p w:rsidR="00E90C38" w:rsidRPr="00AD0E2C" w:rsidRDefault="00E90C38" w:rsidP="00AD0E2C">
      <w:pPr>
        <w:pStyle w:val="FootnoteText"/>
        <w:ind w:left="567" w:hanging="567"/>
        <w:rPr>
          <w:sz w:val="24"/>
          <w:lang w:val="cs-CZ"/>
        </w:rPr>
      </w:pPr>
      <w:r w:rsidRPr="00AD0E2C">
        <w:rPr>
          <w:rStyle w:val="FootnoteReference"/>
          <w:sz w:val="24"/>
          <w:lang w:val="cs-CZ"/>
        </w:rPr>
        <w:footnoteRef/>
      </w:r>
      <w:r w:rsidR="00AD0E2C" w:rsidRPr="00AD0E2C">
        <w:rPr>
          <w:sz w:val="24"/>
          <w:lang w:val="cs-CZ"/>
        </w:rPr>
        <w:t xml:space="preserve"> </w:t>
      </w:r>
      <w:r w:rsidR="00AD0E2C" w:rsidRPr="00AD0E2C">
        <w:rPr>
          <w:sz w:val="24"/>
          <w:lang w:val="cs-CZ"/>
        </w:rPr>
        <w:tab/>
      </w:r>
      <w:r w:rsidRPr="00AD0E2C">
        <w:rPr>
          <w:sz w:val="24"/>
          <w:lang w:val="cs-CZ"/>
        </w:rPr>
        <w:t>Přijaté texty, P9_TA(2023)0078.</w:t>
      </w:r>
    </w:p>
  </w:footnote>
  <w:footnote w:id="15">
    <w:p w:rsidR="00E90C38" w:rsidRPr="00AD0E2C" w:rsidRDefault="00E90C38" w:rsidP="00AD0E2C">
      <w:pPr>
        <w:pStyle w:val="FootnoteText"/>
        <w:ind w:left="567" w:hanging="567"/>
        <w:rPr>
          <w:color w:val="000000"/>
          <w:sz w:val="24"/>
          <w:lang w:val="cs-CZ"/>
        </w:rPr>
      </w:pPr>
      <w:r w:rsidRPr="00AD0E2C">
        <w:rPr>
          <w:rStyle w:val="FootnoteReference"/>
          <w:sz w:val="24"/>
          <w:lang w:val="cs-CZ"/>
        </w:rPr>
        <w:footnoteRef/>
      </w:r>
      <w:r w:rsidR="00AD0E2C" w:rsidRPr="00AD0E2C">
        <w:rPr>
          <w:sz w:val="24"/>
          <w:lang w:val="cs-CZ"/>
        </w:rPr>
        <w:t xml:space="preserve"> </w:t>
      </w:r>
      <w:r w:rsidR="00AD0E2C" w:rsidRPr="00AD0E2C">
        <w:rPr>
          <w:sz w:val="24"/>
          <w:lang w:val="cs-CZ"/>
        </w:rPr>
        <w:tab/>
      </w:r>
      <w:hyperlink r:id="rId2" w:history="1">
        <w:r w:rsidRPr="00AD0E2C">
          <w:rPr>
            <w:rStyle w:val="Hyperlink"/>
            <w:sz w:val="24"/>
            <w:lang w:val="cs-CZ"/>
          </w:rPr>
          <w:t>https://parleu2022.cz/wp-content/uploads/2023/04/EUSC-zaverecne-prohlaseni-final_CS-2.pdf</w:t>
        </w:r>
      </w:hyperlink>
      <w:r w:rsidRPr="00AD0E2C">
        <w:rPr>
          <w:color w:val="000000"/>
          <w:sz w:val="24"/>
          <w:lang w:val="cs-CZ"/>
        </w:rPr>
        <w:t>.</w:t>
      </w:r>
    </w:p>
  </w:footnote>
  <w:footnote w:id="16">
    <w:p w:rsidR="00E90C38" w:rsidRPr="00AD0E2C" w:rsidRDefault="00E90C38" w:rsidP="00AD0E2C">
      <w:pPr>
        <w:pStyle w:val="FootnoteText"/>
        <w:ind w:left="567" w:hanging="567"/>
        <w:rPr>
          <w:color w:val="000000"/>
          <w:sz w:val="24"/>
          <w:lang w:val="cs-CZ"/>
        </w:rPr>
      </w:pPr>
      <w:r w:rsidRPr="00AD0E2C">
        <w:rPr>
          <w:rStyle w:val="FootnoteReference"/>
          <w:sz w:val="24"/>
          <w:lang w:val="cs-CZ"/>
        </w:rPr>
        <w:footnoteRef/>
      </w:r>
      <w:r w:rsidR="00AD0E2C" w:rsidRPr="00AD0E2C">
        <w:rPr>
          <w:sz w:val="24"/>
          <w:lang w:val="cs-CZ"/>
        </w:rPr>
        <w:t xml:space="preserve"> </w:t>
      </w:r>
      <w:r w:rsidR="00AD0E2C" w:rsidRPr="00AD0E2C">
        <w:rPr>
          <w:sz w:val="24"/>
          <w:lang w:val="cs-CZ"/>
        </w:rPr>
        <w:tab/>
      </w:r>
      <w:hyperlink r:id="rId3" w:history="1">
        <w:r w:rsidRPr="00AD0E2C">
          <w:rPr>
            <w:rStyle w:val="Hyperlink"/>
            <w:sz w:val="24"/>
            <w:lang w:val="cs-CZ"/>
          </w:rPr>
          <w:t>https://secure.ipex.eu/IPEXL-WEB/download/file/8a8629a88827df1e018828991e660000/Contribution%20adopted%20by%20the%20LXIX%20COSAC.pdf</w:t>
        </w:r>
      </w:hyperlink>
      <w:r w:rsidRPr="00AD0E2C">
        <w:rPr>
          <w:color w:val="000000"/>
          <w:sz w:val="24"/>
          <w:lang w:val="cs-CZ"/>
        </w:rPr>
        <w:t>.</w:t>
      </w:r>
    </w:p>
  </w:footnote>
  <w:footnote w:id="17">
    <w:p w:rsidR="00E90C38" w:rsidRPr="00AD0E2C" w:rsidRDefault="00E90C38" w:rsidP="00AD0E2C">
      <w:pPr>
        <w:pStyle w:val="FootnoteText"/>
        <w:ind w:left="567" w:hanging="567"/>
        <w:rPr>
          <w:sz w:val="24"/>
          <w:szCs w:val="24"/>
          <w:lang w:val="cs-CZ"/>
        </w:rPr>
      </w:pPr>
      <w:r w:rsidRPr="00AD0E2C">
        <w:rPr>
          <w:rStyle w:val="FootnoteReference"/>
          <w:sz w:val="24"/>
          <w:lang w:val="cs-CZ"/>
        </w:rPr>
        <w:footnoteRef/>
      </w:r>
      <w:r w:rsidR="00AD0E2C" w:rsidRPr="00AD0E2C">
        <w:rPr>
          <w:sz w:val="24"/>
          <w:lang w:val="cs-CZ"/>
        </w:rPr>
        <w:t xml:space="preserve"> </w:t>
      </w:r>
      <w:r w:rsidR="00AD0E2C" w:rsidRPr="00AD0E2C">
        <w:rPr>
          <w:sz w:val="24"/>
          <w:lang w:val="cs-CZ"/>
        </w:rPr>
        <w:tab/>
      </w:r>
      <w:hyperlink r:id="rId4" w:history="1">
        <w:r w:rsidRPr="00AD0E2C">
          <w:rPr>
            <w:rStyle w:val="Hyperlink"/>
            <w:sz w:val="24"/>
            <w:lang w:val="cs-CZ"/>
          </w:rPr>
          <w:t>https://www.congreso.es/backoffice_doc/prensa/notas_prensa/99181_1688138271277.pdf</w:t>
        </w:r>
      </w:hyperlink>
      <w:r w:rsidRPr="00AD0E2C">
        <w:rPr>
          <w:sz w:val="24"/>
          <w:lang w:val="cs-CZ"/>
        </w:rPr>
        <w:t>.</w:t>
      </w:r>
    </w:p>
  </w:footnote>
  <w:footnote w:id="18">
    <w:p w:rsidR="00E90C38" w:rsidRPr="00AD0E2C" w:rsidRDefault="00E90C38" w:rsidP="00AD0E2C">
      <w:pPr>
        <w:pStyle w:val="FootnoteText"/>
        <w:ind w:left="567" w:hanging="567"/>
        <w:rPr>
          <w:sz w:val="24"/>
          <w:lang w:val="cs-CZ"/>
        </w:rPr>
      </w:pPr>
      <w:r w:rsidRPr="00AD0E2C">
        <w:rPr>
          <w:rStyle w:val="FootnoteReference"/>
          <w:sz w:val="24"/>
          <w:lang w:val="cs-CZ"/>
        </w:rPr>
        <w:footnoteRef/>
      </w:r>
      <w:r w:rsidR="00AD0E2C" w:rsidRPr="00AD0E2C">
        <w:rPr>
          <w:sz w:val="24"/>
          <w:lang w:val="cs-CZ"/>
        </w:rPr>
        <w:t xml:space="preserve"> </w:t>
      </w:r>
      <w:r w:rsidR="00AD0E2C" w:rsidRPr="00AD0E2C">
        <w:rPr>
          <w:sz w:val="24"/>
          <w:lang w:val="cs-CZ"/>
        </w:rPr>
        <w:tab/>
      </w:r>
      <w:proofErr w:type="spellStart"/>
      <w:r w:rsidRPr="00AD0E2C">
        <w:rPr>
          <w:sz w:val="24"/>
          <w:lang w:val="cs-CZ"/>
        </w:rPr>
        <w:t>Úř</w:t>
      </w:r>
      <w:proofErr w:type="spellEnd"/>
      <w:r w:rsidRPr="00AD0E2C">
        <w:rPr>
          <w:sz w:val="24"/>
          <w:lang w:val="cs-CZ"/>
        </w:rPr>
        <w:t xml:space="preserve">. </w:t>
      </w:r>
      <w:proofErr w:type="spellStart"/>
      <w:proofErr w:type="gramStart"/>
      <w:r w:rsidRPr="00AD0E2C">
        <w:rPr>
          <w:sz w:val="24"/>
          <w:lang w:val="cs-CZ"/>
        </w:rPr>
        <w:t>věst</w:t>
      </w:r>
      <w:proofErr w:type="spellEnd"/>
      <w:proofErr w:type="gramEnd"/>
      <w:r w:rsidRPr="00AD0E2C">
        <w:rPr>
          <w:sz w:val="24"/>
          <w:lang w:val="cs-CZ"/>
        </w:rPr>
        <w:t xml:space="preserve">. L 317, </w:t>
      </w:r>
      <w:proofErr w:type="gramStart"/>
      <w:r w:rsidRPr="00AD0E2C">
        <w:rPr>
          <w:sz w:val="24"/>
          <w:lang w:val="cs-CZ"/>
        </w:rPr>
        <w:t>4.11.2014</w:t>
      </w:r>
      <w:proofErr w:type="gramEnd"/>
      <w:r w:rsidRPr="00AD0E2C">
        <w:rPr>
          <w:sz w:val="24"/>
          <w:lang w:val="cs-CZ"/>
        </w:rPr>
        <w:t>, s.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0E2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0E2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D0E2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29/2023"/>
    <w:docVar w:name="dvlangue" w:val="CS"/>
    <w:docVar w:name="dvnumam" w:val="0"/>
    <w:docVar w:name="dvpe" w:val="752.837"/>
    <w:docVar w:name="dvrapporteur" w:val="Zpravodaj: "/>
    <w:docVar w:name="dvtitre" w:val="Usnesení Evropského parlamentu ze dne.... 2024 o provádění ustanovení Smlouvy o vnitrostátních parlamentech(2023/2084(INI))"/>
  </w:docVars>
  <w:rsids>
    <w:rsidRoot w:val="00496320"/>
    <w:rsid w:val="00002272"/>
    <w:rsid w:val="00064002"/>
    <w:rsid w:val="000677B9"/>
    <w:rsid w:val="000831BA"/>
    <w:rsid w:val="00085321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2945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6320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0E2C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0C38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6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B0BE67"/>
  <w15:chartTrackingRefBased/>
  <w15:docId w15:val="{FC9511D2-E803-4CF3-8AB5-5FEE8DAEA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SUPERS,Footnote Reference/,Footnote Refernece,BVI fnr,Fußnotenzeichen_Raxen,callout,Footnote Reference Number,Footnote symbol,Footnote reference number,Times 10 Point,Exposant 3 Point,EN Footnote Reference,Ref,FR"/>
    <w:uiPriority w:val="99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E90C38"/>
    <w:pPr>
      <w:spacing w:after="240"/>
      <w:ind w:left="567" w:hanging="567"/>
    </w:pPr>
  </w:style>
  <w:style w:type="paragraph" w:customStyle="1" w:styleId="EPComma">
    <w:name w:val="EPComma"/>
    <w:basedOn w:val="Normal"/>
    <w:rsid w:val="00E90C38"/>
    <w:pPr>
      <w:spacing w:before="480" w:after="240"/>
    </w:pPr>
  </w:style>
  <w:style w:type="character" w:styleId="Hyperlink">
    <w:name w:val="Hyperlink"/>
    <w:unhideWhenUsed/>
    <w:rsid w:val="00E90C38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E90C38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secure.ipex.eu/IPEXL-WEB/download/file/8a8629a88827df1e018828991e660000/Contribution%20adopted%20by%20the%20LXIX%20COSAC.pdf" TargetMode="External"/><Relationship Id="rId2" Type="http://schemas.openxmlformats.org/officeDocument/2006/relationships/hyperlink" Target="file:///C:\Users\JVYROU~1\AppData\Local\Temp\7zOCDC1E9AB\%20https:\parleu2022.cz\wp-content\uploads\2023\04\EUSC-zaverecne-prohlaseni-final_CS-2.pdf" TargetMode="External"/><Relationship Id="rId1" Type="http://schemas.openxmlformats.org/officeDocument/2006/relationships/hyperlink" Target="https://commission.europa.eu/system/files/2018-09/report-task-force-subsidiarity-proportionality-and-doing-less-more-efficiently_en.pdf" TargetMode="External"/><Relationship Id="rId4" Type="http://schemas.openxmlformats.org/officeDocument/2006/relationships/hyperlink" Target="https://www.congreso.es/backoffice_doc/prensa/notas_prensa/99181_1688138271277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38018-20B7-4D07-A2FD-148354F78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3515</Words>
  <Characters>21447</Characters>
  <Application>Microsoft Office Word</Application>
  <DocSecurity>0</DocSecurity>
  <Lines>178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2024-01-17T12:15:00Z</dcterms:created>
  <dcterms:modified xsi:type="dcterms:W3CDTF">2024-01-17T12:15:00Z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A9-0429/2023</vt:lpwstr>
  </property>
  <property fmtid="{D5CDD505-2E9C-101B-9397-08002B2CF9AE}" pid="4" name="&lt;Type&gt;">
    <vt:lpwstr>RR</vt:lpwstr>
  </property>
</Properties>
</file>