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2911" w:rsidTr="0010095E">
        <w:trPr>
          <w:trHeight w:hRule="exact" w:val="1418"/>
        </w:trPr>
        <w:tc>
          <w:tcPr>
            <w:tcW w:w="6804" w:type="dxa"/>
            <w:shd w:val="clear" w:color="auto" w:fill="auto"/>
            <w:vAlign w:val="center"/>
          </w:tcPr>
          <w:p w:rsidR="00751A4A" w:rsidRPr="00A12911" w:rsidRDefault="00DA0F53" w:rsidP="0010095E">
            <w:pPr>
              <w:pStyle w:val="EPName"/>
            </w:pPr>
            <w:r w:rsidRPr="00A12911">
              <w:t>Euroopan parlamentti</w:t>
            </w:r>
          </w:p>
          <w:p w:rsidR="00751A4A" w:rsidRPr="00A12911" w:rsidRDefault="00817416" w:rsidP="00756632">
            <w:pPr>
              <w:pStyle w:val="EPTerm"/>
              <w:rPr>
                <w:rStyle w:val="HideTWBExt"/>
                <w:noProof w:val="0"/>
                <w:vanish w:val="0"/>
                <w:color w:val="auto"/>
              </w:rPr>
            </w:pPr>
            <w:r w:rsidRPr="00A12911">
              <w:t>2019-2024</w:t>
            </w:r>
          </w:p>
        </w:tc>
        <w:tc>
          <w:tcPr>
            <w:tcW w:w="2268" w:type="dxa"/>
            <w:shd w:val="clear" w:color="auto" w:fill="auto"/>
          </w:tcPr>
          <w:p w:rsidR="00751A4A" w:rsidRPr="00A12911" w:rsidRDefault="00187494" w:rsidP="0010095E">
            <w:pPr>
              <w:pStyle w:val="EPLogo"/>
            </w:pPr>
            <w:r w:rsidRPr="00A129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2911" w:rsidRDefault="00D058B8" w:rsidP="004C5D52">
      <w:pPr>
        <w:pStyle w:val="LineTop"/>
      </w:pPr>
    </w:p>
    <w:p w:rsidR="00680577" w:rsidRPr="00A12911" w:rsidRDefault="00DA0F53" w:rsidP="00680577">
      <w:pPr>
        <w:pStyle w:val="EPBodyTA1"/>
      </w:pPr>
      <w:r w:rsidRPr="00A12911">
        <w:t>HYVÄKSYTYT TEKSTIT</w:t>
      </w:r>
    </w:p>
    <w:p w:rsidR="00D058B8" w:rsidRPr="00A12911" w:rsidRDefault="00D058B8" w:rsidP="00D058B8">
      <w:pPr>
        <w:pStyle w:val="LineBottom"/>
      </w:pPr>
    </w:p>
    <w:p w:rsidR="00DA0F53" w:rsidRPr="00A12911" w:rsidRDefault="00DA0F53" w:rsidP="00DA0F53">
      <w:pPr>
        <w:pStyle w:val="ATHeading1"/>
      </w:pPr>
      <w:bookmarkStart w:id="0" w:name="TANumber"/>
      <w:r w:rsidRPr="00A12911">
        <w:t>P9_TA(2024)00</w:t>
      </w:r>
      <w:r w:rsidR="0067470E">
        <w:t>23</w:t>
      </w:r>
      <w:bookmarkStart w:id="1" w:name="_GoBack"/>
      <w:bookmarkEnd w:id="0"/>
      <w:bookmarkEnd w:id="1"/>
    </w:p>
    <w:p w:rsidR="00DA0F53" w:rsidRPr="00A12911" w:rsidRDefault="00DA0F53" w:rsidP="00DA0F53">
      <w:pPr>
        <w:pStyle w:val="ATHeading2"/>
      </w:pPr>
      <w:bookmarkStart w:id="2" w:name="title"/>
      <w:r w:rsidRPr="00A12911">
        <w:t>Kansallisia parlamentteja koskevien perussopimusten määräysten</w:t>
      </w:r>
      <w:r w:rsidR="00A504DB">
        <w:t xml:space="preserve"> </w:t>
      </w:r>
      <w:r w:rsidRPr="00A12911">
        <w:t>täytäntöönpano</w:t>
      </w:r>
      <w:bookmarkEnd w:id="2"/>
    </w:p>
    <w:p w:rsidR="00DA0F53" w:rsidRPr="00A12911" w:rsidRDefault="00DA0F53" w:rsidP="00DA0F53">
      <w:pPr>
        <w:rPr>
          <w:i/>
          <w:vanish/>
        </w:rPr>
      </w:pPr>
      <w:r w:rsidRPr="00A12911">
        <w:rPr>
          <w:i/>
        </w:rPr>
        <w:fldChar w:fldCharType="begin"/>
      </w:r>
      <w:r w:rsidRPr="00A12911">
        <w:rPr>
          <w:i/>
        </w:rPr>
        <w:instrText xml:space="preserve"> TC"(</w:instrText>
      </w:r>
      <w:bookmarkStart w:id="3" w:name="DocNumber"/>
      <w:r w:rsidRPr="00A12911">
        <w:rPr>
          <w:i/>
        </w:rPr>
        <w:instrText>A9-0429/2023</w:instrText>
      </w:r>
      <w:bookmarkEnd w:id="3"/>
      <w:r w:rsidRPr="00A12911">
        <w:rPr>
          <w:i/>
        </w:rPr>
        <w:instrText xml:space="preserve"> - Esittelijä: Paulo </w:instrText>
      </w:r>
      <w:proofErr w:type="spellStart"/>
      <w:r w:rsidRPr="00A12911">
        <w:rPr>
          <w:i/>
        </w:rPr>
        <w:instrText>Rangel</w:instrText>
      </w:r>
      <w:proofErr w:type="spellEnd"/>
      <w:r w:rsidRPr="00A12911">
        <w:rPr>
          <w:i/>
        </w:rPr>
        <w:instrText xml:space="preserve">)"\l3 \n&gt; \* MERGEFORMAT </w:instrText>
      </w:r>
      <w:r w:rsidRPr="00A12911">
        <w:rPr>
          <w:i/>
        </w:rPr>
        <w:fldChar w:fldCharType="end"/>
      </w:r>
    </w:p>
    <w:p w:rsidR="00DA0F53" w:rsidRPr="00A12911" w:rsidRDefault="00DA0F53" w:rsidP="00DA0F53">
      <w:pPr>
        <w:rPr>
          <w:vanish/>
        </w:rPr>
      </w:pPr>
      <w:bookmarkStart w:id="4" w:name="Commission"/>
      <w:r w:rsidRPr="00A12911">
        <w:rPr>
          <w:vanish/>
        </w:rPr>
        <w:t>Perussopimus-, työjärjestys- ja toimielinasioiden valiokunta</w:t>
      </w:r>
      <w:bookmarkEnd w:id="4"/>
    </w:p>
    <w:p w:rsidR="00DA0F53" w:rsidRPr="00A12911" w:rsidRDefault="00DA0F53" w:rsidP="00DA0F53">
      <w:pPr>
        <w:rPr>
          <w:vanish/>
        </w:rPr>
      </w:pPr>
      <w:bookmarkStart w:id="5" w:name="PE"/>
      <w:r w:rsidRPr="00A12911">
        <w:rPr>
          <w:vanish/>
        </w:rPr>
        <w:t>PE752.837</w:t>
      </w:r>
      <w:bookmarkEnd w:id="5"/>
    </w:p>
    <w:p w:rsidR="00DA0F53" w:rsidRPr="00A12911" w:rsidRDefault="00DA0F53" w:rsidP="00DA0F53">
      <w:pPr>
        <w:pStyle w:val="ATHeading3"/>
      </w:pPr>
      <w:bookmarkStart w:id="6" w:name="Sujet"/>
      <w:r w:rsidRPr="00A12911">
        <w:t xml:space="preserve">Euroopan parlamentin päätöslauselma </w:t>
      </w:r>
      <w:r w:rsidR="00CF1843">
        <w:t>17</w:t>
      </w:r>
      <w:r w:rsidRPr="00A12911">
        <w:t>. tammikuuta 2024 kansallisia parlamentteja koskevien perussopimusten määräysten täytäntöönpanosta</w:t>
      </w:r>
      <w:bookmarkEnd w:id="6"/>
      <w:r w:rsidRPr="00A12911">
        <w:t xml:space="preserve"> </w:t>
      </w:r>
      <w:bookmarkStart w:id="7" w:name="References"/>
      <w:r w:rsidRPr="00A12911">
        <w:t>(2023/2084(INI))</w:t>
      </w:r>
      <w:bookmarkEnd w:id="7"/>
    </w:p>
    <w:p w:rsidR="00675EE0" w:rsidRPr="00A12911" w:rsidRDefault="00675EE0" w:rsidP="00675EE0">
      <w:pPr>
        <w:pStyle w:val="EPComma"/>
      </w:pPr>
      <w:bookmarkStart w:id="8" w:name="TextBodyBegin"/>
      <w:bookmarkEnd w:id="8"/>
      <w:r w:rsidRPr="00A12911">
        <w:rPr>
          <w:i/>
          <w:iCs/>
        </w:rPr>
        <w:t>Euroopan parlamentti</w:t>
      </w:r>
      <w:r w:rsidRPr="00A12911">
        <w:t>, joka</w:t>
      </w:r>
    </w:p>
    <w:p w:rsidR="00675EE0" w:rsidRPr="00A12911" w:rsidRDefault="00675EE0" w:rsidP="00675EE0">
      <w:pPr>
        <w:pStyle w:val="NormalHanging12a"/>
      </w:pPr>
      <w:r w:rsidRPr="00A12911">
        <w:t>–</w:t>
      </w:r>
      <w:r w:rsidRPr="00A12911">
        <w:tab/>
        <w:t>ottaa huomioon Euroopan unionista tehdyn sopimuksen (SEU) ja erityisesti sen 5 artiklan toimivallan antamisesta ja toissijaisuudesta, 10 artiklan 1 kohdan edustuksellisesta demokratiasta, 2 kohdan unionin kansalaisten edustamisesta ja 3 kohdan unionin kansalaisten oikeudesta osallistua demokratian toteuttamiseen unionissa, 10 artiklan 4 kohdan Euroopan tason poliittisten puolueiden asemasta, 11 artiklan osallistuvasta demokratiasta, 12 artiklan kansallisten parlamenttien asemasta, 48 artiklan 3 kohdan tavanomaisesta tarkistusmenettelystä ja 48 artiklan 7 kohdan siirtymälausekkeesta,</w:t>
      </w:r>
    </w:p>
    <w:p w:rsidR="00675EE0" w:rsidRPr="00A12911" w:rsidRDefault="00675EE0" w:rsidP="00675EE0">
      <w:pPr>
        <w:pStyle w:val="NormalHanging12a"/>
      </w:pPr>
      <w:r w:rsidRPr="00A12911">
        <w:t>–</w:t>
      </w:r>
      <w:r w:rsidRPr="00A12911">
        <w:tab/>
        <w:t>ottaa huomioon Amsterdamin sopimukseen liitetyn pöytäkirjan N:o 1 kansallisten parlamenttien asemasta Euroopan unionissa</w:t>
      </w:r>
      <w:r w:rsidRPr="00A12911">
        <w:rPr>
          <w:rStyle w:val="FootnoteReference"/>
        </w:rPr>
        <w:footnoteReference w:id="1"/>
      </w:r>
      <w:r w:rsidRPr="00A12911">
        <w:t xml:space="preserve"> ja Lissabonin sopimukseen liitetyn pöytäkirjan N:o 2 toissijaisuus- ja suhteellisuusperiaatteen soveltamisesta</w:t>
      </w:r>
      <w:r w:rsidRPr="00A12911">
        <w:rPr>
          <w:rStyle w:val="FootnoteReference"/>
        </w:rPr>
        <w:footnoteReference w:id="2"/>
      </w:r>
      <w:r w:rsidRPr="00A12911">
        <w:t>,</w:t>
      </w:r>
    </w:p>
    <w:p w:rsidR="00675EE0" w:rsidRPr="00A12911" w:rsidRDefault="00675EE0" w:rsidP="00675EE0">
      <w:pPr>
        <w:pStyle w:val="NormalHanging12a"/>
      </w:pPr>
      <w:r w:rsidRPr="00A12911">
        <w:t>–</w:t>
      </w:r>
      <w:r w:rsidRPr="00A12911">
        <w:tab/>
        <w:t>ottaa huomioon Euroopan unionin toiminnasta tehdyn sopimuksen (SEUT) 15 artiklan ja Euroopan unionin perusoikeuskirjan 41 ja 42 artiklan,</w:t>
      </w:r>
    </w:p>
    <w:p w:rsidR="00675EE0" w:rsidRPr="00A12911" w:rsidRDefault="00675EE0" w:rsidP="00675EE0">
      <w:pPr>
        <w:pStyle w:val="NormalHanging12a"/>
      </w:pPr>
      <w:r w:rsidRPr="00A12911">
        <w:t>–</w:t>
      </w:r>
      <w:r w:rsidRPr="00A12911">
        <w:tab/>
        <w:t>ottaa huomioon 7. toukokuuta 2009 antamansa päätöslauselman Euroopan parlamentin ja kansallisten parlamenttien välisten suhteiden kehityksestä Lissabonin sopimuksen tultua voimaan</w:t>
      </w:r>
      <w:r w:rsidRPr="00A12911">
        <w:rPr>
          <w:vertAlign w:val="superscript"/>
        </w:rPr>
        <w:footnoteReference w:id="3"/>
      </w:r>
      <w:r w:rsidRPr="00A12911">
        <w:t>, 16. huhtikuuta 2014 antamansa päätöslauselman Euroopan parlamentin ja kansallisten parlamenttien suhteista</w:t>
      </w:r>
      <w:r w:rsidRPr="00A12911">
        <w:rPr>
          <w:vertAlign w:val="superscript"/>
        </w:rPr>
        <w:footnoteReference w:id="4"/>
      </w:r>
      <w:r w:rsidRPr="00A12911">
        <w:t xml:space="preserve"> ja 19. huhtikuuta 2018 antamansa päätöslauselman perussopimusten määräysten täytäntöönpanosta kansallisten parlamenttien osalta</w:t>
      </w:r>
      <w:r w:rsidRPr="00A12911">
        <w:rPr>
          <w:vertAlign w:val="superscript"/>
        </w:rPr>
        <w:footnoteReference w:id="5"/>
      </w:r>
      <w:r w:rsidRPr="00A12911">
        <w:t>,</w:t>
      </w:r>
    </w:p>
    <w:p w:rsidR="00675EE0" w:rsidRPr="00A12911" w:rsidRDefault="00675EE0" w:rsidP="00675EE0">
      <w:pPr>
        <w:pStyle w:val="NormalHanging12a"/>
      </w:pPr>
      <w:r w:rsidRPr="00A12911">
        <w:lastRenderedPageBreak/>
        <w:t>–</w:t>
      </w:r>
      <w:r w:rsidRPr="00A12911">
        <w:tab/>
        <w:t>ottaa huomioon ehdotuksen Euroopan parlamentin ja neuvoston asetukseksi Euroopan tason poliittisten puolueiden ja Euroopan tason poliittisten säätiöiden perussäännöstä ja rahoituksesta (</w:t>
      </w:r>
      <w:proofErr w:type="gramStart"/>
      <w:r w:rsidRPr="00A12911">
        <w:t>COM(</w:t>
      </w:r>
      <w:proofErr w:type="gramEnd"/>
      <w:r w:rsidRPr="00A12911">
        <w:t>2021)0734),</w:t>
      </w:r>
    </w:p>
    <w:p w:rsidR="00675EE0" w:rsidRPr="00A12911" w:rsidRDefault="00675EE0" w:rsidP="00675EE0">
      <w:pPr>
        <w:pStyle w:val="NormalHanging12a"/>
      </w:pPr>
      <w:r w:rsidRPr="00A12911">
        <w:t>–</w:t>
      </w:r>
      <w:r w:rsidRPr="00A12911">
        <w:tab/>
        <w:t>ottaa huomioon 11. heinäkuuta 2019 annetun vuotta 2018 (</w:t>
      </w:r>
      <w:proofErr w:type="gramStart"/>
      <w:r w:rsidRPr="00A12911">
        <w:t>COM(</w:t>
      </w:r>
      <w:proofErr w:type="gramEnd"/>
      <w:r w:rsidRPr="00A12911">
        <w:t>2019)0333), 30. kesäkuuta 2020 annetun vuotta 2019 (COM(2020)0272), 23. heinäkuuta 2021 annetun vuotta 2020 (COM(2021)0417) ja 1. elokuuta 2022 annetun vuotta 2021 (COM(2022)0366) koskevan komission vuosikertomuksen toissijaisuus- ja suhteellisuusperiaatteiden soveltamisesta ja suhteista kansallisiin parlamentteihin,</w:t>
      </w:r>
    </w:p>
    <w:p w:rsidR="00675EE0" w:rsidRPr="00A12911" w:rsidRDefault="00675EE0" w:rsidP="00675EE0">
      <w:pPr>
        <w:pStyle w:val="NormalHanging12a"/>
      </w:pPr>
      <w:r w:rsidRPr="00A12911">
        <w:t>–</w:t>
      </w:r>
      <w:r w:rsidRPr="00A12911">
        <w:tab/>
        <w:t>ottaa huomioon Euroopan parlamentin suhteista kansallisiin parlamentteihin vastaavan osaston vuosikertomukset ja erityisesti vuoden 2022 kertomuksen Euroopan parlamentin ja EU:n kansallisten parlamenttien välisistä suhteista,</w:t>
      </w:r>
    </w:p>
    <w:p w:rsidR="00675EE0" w:rsidRPr="00A12911" w:rsidRDefault="00675EE0" w:rsidP="00675EE0">
      <w:pPr>
        <w:pStyle w:val="NormalHanging12a"/>
      </w:pPr>
      <w:r w:rsidRPr="00A12911">
        <w:t>–</w:t>
      </w:r>
      <w:r w:rsidRPr="00A12911">
        <w:tab/>
        <w:t>ottaa huomioon 20. tammikuuta 2021 antamansa päätöslauselman Euroopan unionin oikeuden soveltamisen valvonnasta 2017, 2018 ja 2019</w:t>
      </w:r>
      <w:r w:rsidRPr="00A12911">
        <w:rPr>
          <w:vertAlign w:val="superscript"/>
        </w:rPr>
        <w:footnoteReference w:id="6"/>
      </w:r>
      <w:r w:rsidRPr="00A12911">
        <w:t xml:space="preserve"> sekä 19. toukokuuta 2022 antamansa päätöslauselman komission oikeusvaltiokertomuksesta 2021</w:t>
      </w:r>
      <w:r w:rsidRPr="00A12911">
        <w:rPr>
          <w:vertAlign w:val="superscript"/>
        </w:rPr>
        <w:footnoteReference w:id="7"/>
      </w:r>
      <w:r w:rsidRPr="00A12911">
        <w:t>,</w:t>
      </w:r>
    </w:p>
    <w:p w:rsidR="00675EE0" w:rsidRPr="00A12911" w:rsidRDefault="00675EE0" w:rsidP="00675EE0">
      <w:pPr>
        <w:pStyle w:val="NormalHanging12a"/>
      </w:pPr>
      <w:r w:rsidRPr="00A12911">
        <w:t>–</w:t>
      </w:r>
      <w:r w:rsidRPr="00A12911">
        <w:tab/>
        <w:t>ottaa huomioon 24. kesäkuuta 2021 antamansa päätöslauselman Euroopan unionin sääntelyn tilasta sekä toissijaisuudesta ja suhteellisuudesta – mietintö paremmasta lainsäädännöstä vuosina 2017, 2018 ja 2019</w:t>
      </w:r>
      <w:r w:rsidRPr="00A12911">
        <w:rPr>
          <w:vertAlign w:val="superscript"/>
        </w:rPr>
        <w:footnoteReference w:id="8"/>
      </w:r>
      <w:r w:rsidRPr="00A12911">
        <w:t>,</w:t>
      </w:r>
    </w:p>
    <w:p w:rsidR="00675EE0" w:rsidRPr="00A12911" w:rsidRDefault="00675EE0" w:rsidP="00675EE0">
      <w:pPr>
        <w:pStyle w:val="NormalHanging12a"/>
      </w:pPr>
      <w:r w:rsidRPr="00A12911">
        <w:t>–</w:t>
      </w:r>
      <w:r w:rsidRPr="00A12911">
        <w:tab/>
        <w:t>ottaa huomioon 10. heinäkuuta 2018 laaditun toissijaisuus- ja suhteellisuusperiaatteiden toteutumista tarkastelevan komission työryhmän raportin ”Aktiivinen toissijaisuus – Uusi työskentelytapa”</w:t>
      </w:r>
      <w:r w:rsidRPr="00A12911">
        <w:rPr>
          <w:vertAlign w:val="superscript"/>
        </w:rPr>
        <w:footnoteReference w:id="9"/>
      </w:r>
      <w:r w:rsidRPr="00A12911">
        <w:t>,</w:t>
      </w:r>
    </w:p>
    <w:p w:rsidR="00675EE0" w:rsidRPr="00A12911" w:rsidRDefault="00675EE0" w:rsidP="00675EE0">
      <w:pPr>
        <w:pStyle w:val="NormalHanging12a"/>
      </w:pPr>
      <w:r w:rsidRPr="00A12911">
        <w:t>–</w:t>
      </w:r>
      <w:r w:rsidRPr="00A12911">
        <w:tab/>
        <w:t>ottaa huomioon 15. tammikuuta 2020 antamansa päätöslauselman Euroopan parlamentin kannasta Euroopan tulevaisuutta käsittelevään konferenssiin</w:t>
      </w:r>
      <w:r w:rsidRPr="00A12911">
        <w:rPr>
          <w:vertAlign w:val="superscript"/>
        </w:rPr>
        <w:footnoteReference w:id="10"/>
      </w:r>
      <w:r w:rsidRPr="00A12911">
        <w:t xml:space="preserve"> ja 4. toukokuuta 2022 antamansa päätöslauselman toimista Euroopan tulevaisuutta käsittelevän konferenssin päätelmien johdosta</w:t>
      </w:r>
      <w:r w:rsidRPr="00A12911">
        <w:rPr>
          <w:vertAlign w:val="superscript"/>
        </w:rPr>
        <w:footnoteReference w:id="11"/>
      </w:r>
      <w:r w:rsidRPr="00A12911">
        <w:t>,</w:t>
      </w:r>
    </w:p>
    <w:p w:rsidR="00675EE0" w:rsidRPr="00A12911" w:rsidRDefault="00675EE0" w:rsidP="00675EE0">
      <w:pPr>
        <w:pStyle w:val="NormalHanging12a"/>
      </w:pPr>
      <w:r w:rsidRPr="00A12911">
        <w:t>–</w:t>
      </w:r>
      <w:r w:rsidRPr="00A12911">
        <w:tab/>
        <w:t>ottaa huomioon 9. kesäkuuta 2022 antamansa päätöslauselman valmistelukunnan ehdottamisesta perussopimusten tarkistamiseksi</w:t>
      </w:r>
      <w:r w:rsidRPr="00A12911">
        <w:rPr>
          <w:vertAlign w:val="superscript"/>
        </w:rPr>
        <w:footnoteReference w:id="12"/>
      </w:r>
      <w:r w:rsidRPr="00A12911">
        <w:t>,</w:t>
      </w:r>
    </w:p>
    <w:p w:rsidR="00675EE0" w:rsidRPr="00A12911" w:rsidRDefault="00675EE0" w:rsidP="00675EE0">
      <w:pPr>
        <w:pStyle w:val="NormalHanging12a"/>
      </w:pPr>
      <w:r w:rsidRPr="00A12911">
        <w:t>–</w:t>
      </w:r>
      <w:r w:rsidRPr="00A12911">
        <w:tab/>
        <w:t>ottaa huomioon 22. marraskuuta 2023 antamansa päätöslauselman Euroopan parlamentin ehdotuksista perussopimusten muuttamiseksi</w:t>
      </w:r>
      <w:r w:rsidRPr="00A12911">
        <w:rPr>
          <w:rStyle w:val="FootnoteReference"/>
        </w:rPr>
        <w:footnoteReference w:id="13"/>
      </w:r>
      <w:r w:rsidRPr="00A12911">
        <w:t>,</w:t>
      </w:r>
    </w:p>
    <w:p w:rsidR="00675EE0" w:rsidRPr="00A12911" w:rsidRDefault="00675EE0" w:rsidP="00675EE0">
      <w:pPr>
        <w:pStyle w:val="NormalHanging12a"/>
      </w:pPr>
      <w:r w:rsidRPr="00A12911">
        <w:t>–</w:t>
      </w:r>
      <w:r w:rsidRPr="00A12911">
        <w:tab/>
        <w:t>ottaa huomioon talous- ja rahaliiton vakautta, yhteensovittamista sekä ohjausta ja hallintaa koskevan sopimuksen (vakaussopimus) 13 artiklan, jossa vahvistetaan, että järjestetään parlamenttien välisiä kokouksia, joissa keskustellaan budjettipolitiikoista ja muista perussopimuksen piiriin kuuluvista kysymyksistä,</w:t>
      </w:r>
    </w:p>
    <w:p w:rsidR="00675EE0" w:rsidRPr="00A12911" w:rsidRDefault="00675EE0" w:rsidP="00675EE0">
      <w:pPr>
        <w:pStyle w:val="NormalHanging12a"/>
      </w:pPr>
      <w:r w:rsidRPr="00A12911">
        <w:lastRenderedPageBreak/>
        <w:t>–</w:t>
      </w:r>
      <w:r w:rsidRPr="00A12911">
        <w:tab/>
        <w:t>ottaa huomioon 15. maaliskuuta 2023 antamansa päätöslauselman talouspolitiikan eurooppalaisesta ohjausjaksosta 2023</w:t>
      </w:r>
      <w:r w:rsidRPr="00A12911">
        <w:rPr>
          <w:vertAlign w:val="superscript"/>
        </w:rPr>
        <w:footnoteReference w:id="14"/>
      </w:r>
      <w:r w:rsidRPr="00A12911">
        <w:t>,</w:t>
      </w:r>
    </w:p>
    <w:p w:rsidR="00675EE0" w:rsidRPr="00A12911" w:rsidRDefault="00675EE0" w:rsidP="00675EE0">
      <w:pPr>
        <w:pStyle w:val="NormalHanging12a"/>
      </w:pPr>
      <w:r w:rsidRPr="00A12911">
        <w:t>–</w:t>
      </w:r>
      <w:r w:rsidRPr="00A12911">
        <w:tab/>
        <w:t>ottaa huomioon Prahassa 24. ja 25. huhtikuuta 2023 pidetyn EU:n parlamenttien puhemiesten konferenssin puheenjohtajan päätelmät</w:t>
      </w:r>
      <w:r w:rsidRPr="00A12911">
        <w:rPr>
          <w:vertAlign w:val="superscript"/>
        </w:rPr>
        <w:footnoteReference w:id="15"/>
      </w:r>
      <w:r w:rsidRPr="00A12911">
        <w:t>,</w:t>
      </w:r>
    </w:p>
    <w:p w:rsidR="00675EE0" w:rsidRPr="00A12911" w:rsidRDefault="00675EE0" w:rsidP="00675EE0">
      <w:pPr>
        <w:pStyle w:val="NormalHanging12a"/>
      </w:pPr>
      <w:r w:rsidRPr="00A12911">
        <w:t>–</w:t>
      </w:r>
      <w:r w:rsidRPr="00A12911">
        <w:tab/>
        <w:t>ottaa huomioon Tukholmassa 14.–16. toukokuuta 2023 pidetyn unionin asioita käsittelevien parlamentaaristen valiokuntien (COSAC) 69. konferenssin täysistunnon päätelmät</w:t>
      </w:r>
      <w:r w:rsidRPr="00A12911">
        <w:rPr>
          <w:vertAlign w:val="superscript"/>
        </w:rPr>
        <w:footnoteReference w:id="16"/>
      </w:r>
      <w:r w:rsidRPr="00A12911">
        <w:t>,</w:t>
      </w:r>
    </w:p>
    <w:p w:rsidR="00675EE0" w:rsidRPr="00A12911" w:rsidRDefault="00675EE0" w:rsidP="00675EE0">
      <w:pPr>
        <w:pStyle w:val="NormalHanging12a"/>
        <w:rPr>
          <w:i/>
        </w:rPr>
      </w:pPr>
      <w:r w:rsidRPr="00A12911">
        <w:t>–</w:t>
      </w:r>
      <w:r w:rsidRPr="00A12911">
        <w:tab/>
        <w:t xml:space="preserve">ottaa huomioon parlamentarismia koskevan </w:t>
      </w:r>
      <w:proofErr w:type="spellStart"/>
      <w:r w:rsidRPr="00A12911">
        <w:t>Léonin</w:t>
      </w:r>
      <w:proofErr w:type="spellEnd"/>
      <w:r w:rsidRPr="00A12911">
        <w:t xml:space="preserve"> julistuksen</w:t>
      </w:r>
      <w:r w:rsidRPr="00A12911">
        <w:rPr>
          <w:vertAlign w:val="superscript"/>
        </w:rPr>
        <w:footnoteReference w:id="17"/>
      </w:r>
      <w:r w:rsidRPr="00A12911">
        <w:t xml:space="preserve">, joka hyväksyttiin kansainvälisen parlamentarismin päivän kunniaksi </w:t>
      </w:r>
      <w:proofErr w:type="spellStart"/>
      <w:r w:rsidRPr="00A12911">
        <w:t>Léonissa</w:t>
      </w:r>
      <w:proofErr w:type="spellEnd"/>
      <w:r w:rsidRPr="00A12911">
        <w:t xml:space="preserve"> 30. kesäkuuta – 1. heinäkuuta 2023 järjestetyssä konferenssissa ”</w:t>
      </w:r>
      <w:proofErr w:type="spellStart"/>
      <w:r w:rsidRPr="00A12911">
        <w:t>Strengthening</w:t>
      </w:r>
      <w:proofErr w:type="spellEnd"/>
      <w:r w:rsidRPr="00A12911">
        <w:t xml:space="preserve"> </w:t>
      </w:r>
      <w:proofErr w:type="spellStart"/>
      <w:r w:rsidRPr="00A12911">
        <w:t>Parliaments</w:t>
      </w:r>
      <w:proofErr w:type="spellEnd"/>
      <w:r w:rsidRPr="00A12911">
        <w:t xml:space="preserve"> to </w:t>
      </w:r>
      <w:proofErr w:type="spellStart"/>
      <w:r w:rsidRPr="00A12911">
        <w:t>Enhance</w:t>
      </w:r>
      <w:proofErr w:type="spellEnd"/>
      <w:r w:rsidRPr="00A12911">
        <w:t xml:space="preserve"> </w:t>
      </w:r>
      <w:proofErr w:type="spellStart"/>
      <w:r w:rsidRPr="00A12911">
        <w:t>Democracy</w:t>
      </w:r>
      <w:proofErr w:type="spellEnd"/>
      <w:r w:rsidRPr="00A12911">
        <w:t>” (parlamenttien vahvistaminen demokratian edistämiseksi),</w:t>
      </w:r>
    </w:p>
    <w:p w:rsidR="00675EE0" w:rsidRPr="00A12911" w:rsidRDefault="00675EE0" w:rsidP="00675EE0">
      <w:pPr>
        <w:pStyle w:val="NormalHanging12a"/>
      </w:pPr>
      <w:r w:rsidRPr="00A12911">
        <w:t>–</w:t>
      </w:r>
      <w:r w:rsidRPr="00A12911">
        <w:tab/>
        <w:t>ottaa huomioon työjärjestyksen 54 artiklan sekä valiokunta-aloitteisten mietintöjen laatimista koskevasta lupamenettelystä 12. joulukuuta 2002 tehdyn puheenjohtajakokouksen päätöksen 1 artiklan 1 kohdan e alakohdan ja liitteen 3,</w:t>
      </w:r>
    </w:p>
    <w:p w:rsidR="00675EE0" w:rsidRPr="00A12911" w:rsidRDefault="00675EE0" w:rsidP="00675EE0">
      <w:pPr>
        <w:pStyle w:val="NormalHanging12a"/>
      </w:pPr>
      <w:r w:rsidRPr="00A12911">
        <w:t>–</w:t>
      </w:r>
      <w:r w:rsidRPr="00A12911">
        <w:tab/>
        <w:t>ottaa huomioon perussopimus-, työjärjestys- ja toimielinasioiden valiokunnan mietinnön (A9-0429/2023),</w:t>
      </w:r>
    </w:p>
    <w:p w:rsidR="00675EE0" w:rsidRPr="00A12911" w:rsidRDefault="00675EE0" w:rsidP="00675EE0">
      <w:pPr>
        <w:pStyle w:val="NormalHanging12a"/>
      </w:pPr>
      <w:r w:rsidRPr="00A12911">
        <w:t>A.</w:t>
      </w:r>
      <w:r w:rsidRPr="00A12911">
        <w:tab/>
        <w:t>ottaa huomioon, että kansallisten parlamenttien aktiivinen osallistuminen EU:ta koskeviin asioihin ja kansallisten parlamenttien kansallisiin hallituksiin kohdistama tehostettu valvonta ovat olennaisen tärkeitä EU:n toimielinjärjestelmän demokraattisen vastuuvelvollisuuden ja legitiimiyden varmistamisessa;</w:t>
      </w:r>
    </w:p>
    <w:p w:rsidR="00675EE0" w:rsidRPr="00A12911" w:rsidRDefault="00675EE0" w:rsidP="00675EE0">
      <w:pPr>
        <w:pStyle w:val="NormalHanging12a"/>
      </w:pPr>
      <w:r w:rsidRPr="00A12911">
        <w:t>B.</w:t>
      </w:r>
      <w:r w:rsidRPr="00A12911">
        <w:tab/>
        <w:t xml:space="preserve">ottaa huomioon, että kansalliset parlamentit ”edistävät osaltaan aktiivisesti unionin moitteetonta toimintaa” (SEU 12 artikla) ja että yhdessä Euroopan parlamentin kanssa niillä on keskeinen rooli EU-hankkeen demokraattisen legitiimiyden vahvistamisessa, kansalaisten luottamuksen lujittamisessa ja Euroopan yhdentymishankkeen kestävyyden ja </w:t>
      </w:r>
      <w:proofErr w:type="spellStart"/>
      <w:r w:rsidRPr="00A12911">
        <w:t>resilienssin</w:t>
      </w:r>
      <w:proofErr w:type="spellEnd"/>
      <w:r w:rsidRPr="00A12911">
        <w:t xml:space="preserve"> varmistamisessa;</w:t>
      </w:r>
    </w:p>
    <w:p w:rsidR="00675EE0" w:rsidRPr="00A12911" w:rsidRDefault="00675EE0" w:rsidP="00675EE0">
      <w:pPr>
        <w:pStyle w:val="NormalHanging12a"/>
      </w:pPr>
      <w:r w:rsidRPr="00A12911">
        <w:t>C.</w:t>
      </w:r>
      <w:r w:rsidRPr="00A12911">
        <w:tab/>
        <w:t>ottaa huomioon, että kansallisten parlamenttien nykyiset välineet osallistua EU-asioihin ovat suurelta osin tuntemattomia sekä päätöksentekijöille että suurelle yleisölle; pitää tarpeellisena lisätä tietoisuutta näistä välineistä;</w:t>
      </w:r>
    </w:p>
    <w:p w:rsidR="00675EE0" w:rsidRPr="00A12911" w:rsidRDefault="00675EE0" w:rsidP="00675EE0">
      <w:pPr>
        <w:pStyle w:val="NormalHanging12a"/>
      </w:pPr>
      <w:r w:rsidRPr="00A12911">
        <w:t>D.</w:t>
      </w:r>
      <w:r w:rsidRPr="00A12911">
        <w:tab/>
        <w:t>toteaa, että kansallisten hallitusten EU-asioita koskeva parlamentaarinen vastuuvelvollisuus ja valvonta, joissa on kansallisista käytännöistä johtuvaa vaihtelua, on kansallisten parlamenttien roolin kulmakivi nykyisessä Euroopan unionin perussopimuksen kehyksessä;</w:t>
      </w:r>
    </w:p>
    <w:p w:rsidR="00675EE0" w:rsidRPr="00A12911" w:rsidRDefault="00675EE0" w:rsidP="00675EE0">
      <w:pPr>
        <w:pStyle w:val="NormalHanging12a"/>
      </w:pPr>
      <w:r w:rsidRPr="00A12911">
        <w:t>E.</w:t>
      </w:r>
      <w:r w:rsidRPr="00A12911">
        <w:tab/>
        <w:t xml:space="preserve">toteaa, että vastuuvelvollisuutta ja valvontaa voidaan edistää lisäämällä avoimuutta neuvostossa, erityisesti jäsenvaltioiden äänestyskäyttäytymisen ja kantojen osalta; </w:t>
      </w:r>
      <w:r w:rsidRPr="00A12911">
        <w:lastRenderedPageBreak/>
        <w:t>katsoo, että kansallisten parlamenttien ja Euroopan parlamentin olisi painostettava neuvostoa avoimempaan ja vastuullisempaan toimintaan koko lainsäädäntöprosessin ajan; toteaa lisäksi, että oikeus tutustua unionin muiden toimielinten asiakirjoihin antaa kansallisille parlamenteille mahdollisuuden harjoittaa asianmukaista valvontaa;</w:t>
      </w:r>
    </w:p>
    <w:p w:rsidR="00675EE0" w:rsidRPr="00A12911" w:rsidRDefault="00675EE0" w:rsidP="00675EE0">
      <w:pPr>
        <w:pStyle w:val="NormalHanging12a"/>
      </w:pPr>
      <w:r w:rsidRPr="00A12911">
        <w:t>F.</w:t>
      </w:r>
      <w:r w:rsidRPr="00A12911">
        <w:tab/>
        <w:t>katsoo, että EU:n lainsäädäntö- ja päätöksentekoprosessien avoimuuden puute saattaa heikentää sekä perussopimusten että asiaankuuluvien pöytäkirjojen mukaisia kansallisten parlamenttien oikeuksia ja erityisesti niiden roolia neuvostossa edustettuina olevien maidensa hallitusten valvonnassa;</w:t>
      </w:r>
    </w:p>
    <w:p w:rsidR="00675EE0" w:rsidRPr="00A12911" w:rsidRDefault="00675EE0" w:rsidP="00675EE0">
      <w:pPr>
        <w:pStyle w:val="NormalHanging12a"/>
      </w:pPr>
      <w:r w:rsidRPr="00A12911">
        <w:t>G.</w:t>
      </w:r>
      <w:r w:rsidRPr="00A12911">
        <w:tab/>
        <w:t>toteaa parlamentaarisen moniarvoisuuden rikastuttavan unionin tasolla käytävää keskustelua ja olevan siksi erittäin hyödyllistä unionille ja parlamentaaristen vähemmistöjen edustukselle EU-asioissa ja toteaa sen auttavan tasapainottamaan mutta samalla kunnioittamaan täysin kunkin parlamentin enemmistöjä niiden osuuksien mukaisesti; katsoo, että kansallisten parlamentaaristen vähemmistöjen näkemykset ja edustus olisi otettava huomioon unionin tasolla ja että tämä voisi osoittautua hyödylliseksi muun muassa tulevassa EU:n perussopimusten tarkistamisprosessissa, kunnioittaen samalla kansallisten parlamenttien toimivaltaa edustuksensa suhteen;</w:t>
      </w:r>
    </w:p>
    <w:p w:rsidR="00675EE0" w:rsidRPr="00A12911" w:rsidRDefault="00675EE0" w:rsidP="00675EE0">
      <w:pPr>
        <w:pStyle w:val="NormalHanging12a"/>
      </w:pPr>
      <w:r w:rsidRPr="00A12911">
        <w:t>H.</w:t>
      </w:r>
      <w:r w:rsidRPr="00A12911">
        <w:tab/>
        <w:t>ottaa huomioon, että pöytäkirjassa N:o 2 (6 artikla) todetaan, että kansalliset parlamentit voivat kuulla lainsäädäntövaltaa käyttäviä alueellisia parlamentteja, mutta alueellisten parlamenttien rooli riippuu suuresti kansallisista järjestelyistä ja on hyvin usein neuvoa-antava; katsoo, että komission, neuvoston, jäsenvaltioiden ja niiden kansallisten parlamenttien olisi otettava huomioon lainsäädäntövaltaa käyttävien alueellisten parlamenttien rooli ja edistettävä niiden osallistumista etenkin silloin, kun asia voi vaikuttaa alueiden yksinomaiseen toimivaltaan;</w:t>
      </w:r>
    </w:p>
    <w:p w:rsidR="00675EE0" w:rsidRPr="00A12911" w:rsidRDefault="00675EE0" w:rsidP="00675EE0">
      <w:pPr>
        <w:pStyle w:val="NormalHanging12a"/>
      </w:pPr>
      <w:r w:rsidRPr="00A12911">
        <w:t>I.</w:t>
      </w:r>
      <w:r w:rsidRPr="00A12911">
        <w:tab/>
        <w:t>ottaa huomioon, että monet alueiden komitean jäsenet on valittu luottamustehtäviin aluevaaleilla; katsoo, että alueiden komitean roolista voitaisiin keskustella, kun alueelliset parlamentit tuodaan lähemmäs yleistä yhdentymisprosessia ja kun vahvistetaan eurooppalaista demokratiaa;</w:t>
      </w:r>
    </w:p>
    <w:p w:rsidR="00675EE0" w:rsidRPr="00A12911" w:rsidRDefault="00675EE0" w:rsidP="00675EE0">
      <w:pPr>
        <w:pStyle w:val="NormalHanging12a"/>
      </w:pPr>
      <w:r w:rsidRPr="00A12911">
        <w:t>J.</w:t>
      </w:r>
      <w:r w:rsidRPr="00A12911">
        <w:tab/>
        <w:t>ottaa huomioon, että kansallisia parlamentteja ja niiden roolia EU:n toimielinjärjestelmässä käsiteltiin useissa ehdotuksissa, jotka sisältyivät Euroopan tulevaisuuskonferenssin (</w:t>
      </w:r>
      <w:proofErr w:type="spellStart"/>
      <w:r w:rsidRPr="00A12911">
        <w:t>CoFoE</w:t>
      </w:r>
      <w:proofErr w:type="spellEnd"/>
      <w:r w:rsidRPr="00A12911">
        <w:t>) lopullisia tuloksia koskevaan raporttiin; toteaa, että Euroopan tulevaisuuskonferenssin kokemus osoitti, että kansallisten parlamenttien ja Euroopan parlamentin välillä on hedelmällinen yhteys;</w:t>
      </w:r>
    </w:p>
    <w:p w:rsidR="00675EE0" w:rsidRPr="00A12911" w:rsidRDefault="00675EE0" w:rsidP="00675EE0">
      <w:pPr>
        <w:pStyle w:val="NormalHanging12a"/>
      </w:pPr>
      <w:r w:rsidRPr="00A12911">
        <w:t>K.</w:t>
      </w:r>
      <w:r w:rsidRPr="00A12911">
        <w:tab/>
        <w:t>toteaa, että kansallisilla parlamenteilla on rooli aina, kun EU:n perussopimuksia tarkistetaan, erityisesti EU:n parlamentaarisen ulottuvuuden ja demokraattisen toiminnan vahvistamiseksi; ottaa huomioon, että Euroopan parlamentti kehotti 9. kesäkuuta 2022 antamassaan päätöslauselmassa kutsumaan koolle valmistelukunnan perussopimusten tarkistamiseksi;</w:t>
      </w:r>
    </w:p>
    <w:p w:rsidR="00675EE0" w:rsidRPr="00A12911" w:rsidRDefault="00675EE0" w:rsidP="00675EE0">
      <w:pPr>
        <w:pStyle w:val="NormalHanging12a"/>
      </w:pPr>
      <w:r w:rsidRPr="00A12911">
        <w:t>L.</w:t>
      </w:r>
      <w:r w:rsidRPr="00A12911">
        <w:tab/>
        <w:t>katsoo, että eurooppalaista julkista toimintaympäristöä voitaisiin lujittaa useilla EU:n tavoitteita käsittelevillä foorumeilla ja että tällaisia foorumeita voitaisiin tukea yhteisellä ”eurooppalaisella teemaviikolla”, jonka aikana kansallisten ja alueellisten parlamenttien jäsenet keskustelisivat EU-asioista samanaikaisesti komission jäsenten, Euroopan parlamentin jäsenten ja neuvoston kulloisenkin puheenjohtajavaltion ministerien kanssa; katsoo, että todellisen eurooppalaisen julkisen toimintaympäristön kehittäminen auttaisi myös lisäämään kansalaisten tietoisuutta sekä osallistumista ja vuoropuhelua heidän kanssaan;</w:t>
      </w:r>
    </w:p>
    <w:p w:rsidR="00675EE0" w:rsidRPr="00A12911" w:rsidRDefault="00675EE0" w:rsidP="00675EE0">
      <w:pPr>
        <w:pStyle w:val="NormalHanging12a"/>
      </w:pPr>
      <w:r w:rsidRPr="00A12911">
        <w:lastRenderedPageBreak/>
        <w:t>M.</w:t>
      </w:r>
      <w:r w:rsidRPr="00A12911">
        <w:tab/>
        <w:t>katsoo, että kansallisten parlamenttien osallistumista EU-asioihin olisi vahvistettava myös noudattaen temaattista, valiokuntaperusteista tai tilapäistä lähestymistapaa; toteaa, että parlamenttien välisten valiokuntakokousten muotoa olisi hienosäädettävä edelleen;</w:t>
      </w:r>
    </w:p>
    <w:p w:rsidR="00675EE0" w:rsidRPr="00A12911" w:rsidRDefault="00675EE0" w:rsidP="00675EE0">
      <w:pPr>
        <w:pStyle w:val="NormalHanging12a"/>
      </w:pPr>
      <w:r w:rsidRPr="00A12911">
        <w:t>N.</w:t>
      </w:r>
      <w:r w:rsidRPr="00A12911">
        <w:tab/>
        <w:t>toteaa, että kansalliset parlamentit osoittavat kiinnostusta tiiviimpään osallistumiseen EU:n toimintapolitiikkojen ja lainsäädännön asiasisältöön muutenkin kuin pelkästään toissijaisuusperiaatetta koskevan ennakkovaroitusjärjestelmän puitteissa;</w:t>
      </w:r>
    </w:p>
    <w:p w:rsidR="00675EE0" w:rsidRPr="00A12911" w:rsidRDefault="00675EE0" w:rsidP="00675EE0">
      <w:pPr>
        <w:pStyle w:val="NormalHanging12a"/>
      </w:pPr>
      <w:r w:rsidRPr="00A12911">
        <w:t>O.</w:t>
      </w:r>
      <w:r w:rsidRPr="00A12911">
        <w:tab/>
        <w:t>katsoo, että kansallisten parlamenttien osallistuminen EU:n päätöksentekoon on vahvistunut, kun on pantu täytäntöön kansallisten parlamenttien oikeus valvoa toissijaisuusperiaatteen noudattamista ennakkovaroitusjärjestelmän pohjalta;</w:t>
      </w:r>
    </w:p>
    <w:p w:rsidR="00675EE0" w:rsidRPr="00A12911" w:rsidRDefault="00675EE0" w:rsidP="00675EE0">
      <w:pPr>
        <w:pStyle w:val="NormalHanging12a"/>
        <w:widowControl/>
      </w:pPr>
      <w:r w:rsidRPr="00A12911">
        <w:t>P.</w:t>
      </w:r>
      <w:r w:rsidRPr="00A12911">
        <w:tab/>
        <w:t xml:space="preserve">toteaa kansallisten parlamenttien perusteltujen lausuntojen vahvistavan EU:n lainsäädäntöprosessia, sillä niissä arvioidaan toissijaisuusperiaatteen noudattamista; toteaa, että pöytäkirjassa </w:t>
      </w:r>
      <w:proofErr w:type="gramStart"/>
      <w:r w:rsidRPr="00A12911">
        <w:t>N:o</w:t>
      </w:r>
      <w:proofErr w:type="gramEnd"/>
      <w:r w:rsidRPr="00A12911">
        <w:t xml:space="preserve"> 1 olevassa 4 artiklassa vahvistettu kahdeksan viikon määräaika on osoittautunut riittämättömäksi toissijaisuusperiaatteen noudattamisen oikea-aikaisen seurannan kannalta ja että sitä on pidennettävä perussopimuksen tulevan tarkistuksen yhteydessä;</w:t>
      </w:r>
    </w:p>
    <w:p w:rsidR="00675EE0" w:rsidRPr="00A12911" w:rsidRDefault="00675EE0" w:rsidP="00675EE0">
      <w:pPr>
        <w:pStyle w:val="NormalHanging12a"/>
      </w:pPr>
      <w:r w:rsidRPr="00A12911">
        <w:t>Q.</w:t>
      </w:r>
      <w:r w:rsidRPr="00A12911">
        <w:tab/>
        <w:t>ottaa huomioon, että Euroopan tason poliittisilla puolueilla on ratkaiseva rooli kurottaessa umpeen kuilua EU:n ja kansallisten parlamenttien välillä; katsoo, että sääntelyesteet estävät Euroopan tason poliittisia puolueita ja kansallisia puolueita harjoittamasta merkityksellisempää yhteistoimintaa; toteaa, että kansallisten parlamenttien ja Euroopan parlamentin välisiä innovatiivisia ja vahvempia yhteistyövälineitä voidaan harkita, mukaan lukien vuoropuhelun lisääminen poliittisten perheiden ja ryhmien kesken;</w:t>
      </w:r>
    </w:p>
    <w:p w:rsidR="00675EE0" w:rsidRPr="00A12911" w:rsidRDefault="00675EE0" w:rsidP="00675EE0">
      <w:pPr>
        <w:pStyle w:val="NormalHanging12a"/>
      </w:pPr>
      <w:r w:rsidRPr="00A12911">
        <w:t>R.</w:t>
      </w:r>
      <w:r w:rsidRPr="00A12911">
        <w:tab/>
        <w:t>ottaa huomioon, että vuoden 2018 täytäntöönpanoraportissa suositeltiin, että kansallisille parlamenteille annetaan mahdollisuus tehdä rakentavia ehdotuksia komission harkittavaksi ottaen asianmukaisesti huomioon komission aloiteoikeus;</w:t>
      </w:r>
    </w:p>
    <w:p w:rsidR="00675EE0" w:rsidRPr="00A12911" w:rsidRDefault="00675EE0" w:rsidP="00675EE0">
      <w:pPr>
        <w:pStyle w:val="NormalHanging12a"/>
      </w:pPr>
      <w:r w:rsidRPr="00A12911">
        <w:t>S.</w:t>
      </w:r>
      <w:r w:rsidRPr="00A12911">
        <w:tab/>
        <w:t>ottaa huomioon, että tulevaisuuskonferenssi suositteli, että kansallisille parlamenteille ja lainsäädäntövaltaa käyttäville alueellisille parlamenteille annetaan mahdollisuus ehdottaa lainsäädäntöaloitetta unionin tasolla, ja että tämä väline antaisi niille mahdollisuuden tehdä rakentavia ehdotuksia komission harkittavaksi ottaen asianmukaisesti huomioon komission aloiteoikeus sen jälkeen, kun on ensin varmistettu parlamentin tuki; toteaa, että tavoitetta saada Euroopan parlamentille täysi aloiteoikeus on korostettu useaan otteeseen nykyisen lainsäädäntökauden aikana;</w:t>
      </w:r>
    </w:p>
    <w:p w:rsidR="00675EE0" w:rsidRPr="00A12911" w:rsidRDefault="00675EE0" w:rsidP="00675EE0">
      <w:pPr>
        <w:pStyle w:val="NormalHanging12a"/>
        <w:rPr>
          <w:szCs w:val="24"/>
        </w:rPr>
      </w:pPr>
      <w:r w:rsidRPr="00A12911">
        <w:t>T.</w:t>
      </w:r>
      <w:r w:rsidRPr="00A12911">
        <w:tab/>
        <w:t>ottaa huomioon, että parlamentti kehotti 9. kesäkuuta 2022 antamassaan päätöslauselmassa ottamaan käyttöön Euroopan parlamentille myönnettävän yleisen suoran lainsäädäntöaloiteoikeuden; toteaa, että tämän oikeuden myöntämisen jälkeen vihreän kortin menettelyt olisi suunnattava parlamentille;</w:t>
      </w:r>
    </w:p>
    <w:p w:rsidR="00675EE0" w:rsidRPr="00A12911" w:rsidRDefault="00675EE0" w:rsidP="00675EE0">
      <w:pPr>
        <w:pStyle w:val="NormalHanging12a"/>
      </w:pPr>
      <w:r w:rsidRPr="00A12911">
        <w:t>U.</w:t>
      </w:r>
      <w:r w:rsidRPr="00A12911">
        <w:tab/>
        <w:t>katsoo, ettei punaisen kortin menettelyn käyttöönottoa voida pitää sopivana ja rakentavana välineenä, kun tavoitteena on lisätä kansallisten parlamenttien osallistumista unionin yhdentymisprosessiin;</w:t>
      </w:r>
    </w:p>
    <w:p w:rsidR="00675EE0" w:rsidRPr="00A12911" w:rsidRDefault="00675EE0" w:rsidP="00675EE0">
      <w:pPr>
        <w:pStyle w:val="NormalHanging12a"/>
      </w:pPr>
      <w:r w:rsidRPr="00A12911">
        <w:t>V.</w:t>
      </w:r>
      <w:r w:rsidRPr="00A12911">
        <w:tab/>
        <w:t xml:space="preserve">katsoo, että </w:t>
      </w:r>
      <w:proofErr w:type="spellStart"/>
      <w:r w:rsidRPr="00A12911">
        <w:t>IPEXiä</w:t>
      </w:r>
      <w:proofErr w:type="spellEnd"/>
      <w:r w:rsidRPr="00A12911">
        <w:t>, joka on kansallisten parlamenttien välisen sekä kansallisten parlamenttien ja unionin toimielinten välisen jatkuvan tietojenvaihdon foorumi, olisi kehitettävä edelleen sen digitaalistrategian mukaisesti; katsoo, että Euroopan parlamentilla on tässä merkittävä tukirooli;</w:t>
      </w:r>
    </w:p>
    <w:p w:rsidR="00675EE0" w:rsidRPr="00A12911" w:rsidRDefault="00675EE0" w:rsidP="00675EE0">
      <w:pPr>
        <w:pStyle w:val="NormalHanging12a"/>
      </w:pPr>
      <w:r w:rsidRPr="00A12911">
        <w:lastRenderedPageBreak/>
        <w:t>W.</w:t>
      </w:r>
      <w:r w:rsidRPr="00A12911">
        <w:tab/>
        <w:t xml:space="preserve">ottaa huomioon, että kansallisilla parlamenteilla on asiaankuuluvaa toimivaltaa vapauden, turvallisuuden ja oikeuden aloilla SEUT 70, 85 ja 88 artiklan nojalla, ja niillä olisi näin ollen oltava tulevaisuudessa tärkeä rooli unionin turvallisuus- ja puolustuspolitiikan suhteen myös hyödyntämällä pöytäkirjassa N:o 1 olevassa 10 artiklassa vahvistettua yhteisen </w:t>
      </w:r>
      <w:proofErr w:type="spellStart"/>
      <w:r w:rsidRPr="00A12911">
        <w:t>ulko</w:t>
      </w:r>
      <w:proofErr w:type="spellEnd"/>
      <w:r w:rsidRPr="00A12911">
        <w:t>- ja turvallisuuspolitiikan (YUTP) ja yhteisen turvallisuus- ja puolustuspolitiikan (YTPP) kysymyksiä käsittelevää parlamentaarista kokousta;</w:t>
      </w:r>
    </w:p>
    <w:p w:rsidR="00675EE0" w:rsidRPr="00A12911" w:rsidRDefault="00675EE0" w:rsidP="00675EE0">
      <w:pPr>
        <w:pStyle w:val="NormalHanging12a"/>
        <w:keepNext/>
        <w:keepLines/>
        <w:rPr>
          <w:b/>
          <w:i/>
        </w:rPr>
      </w:pPr>
      <w:r w:rsidRPr="00A12911">
        <w:rPr>
          <w:b/>
          <w:i/>
        </w:rPr>
        <w:t>Hallitusten EU-asioissa harjoittaman toiminnan valvonta</w:t>
      </w:r>
    </w:p>
    <w:p w:rsidR="00675EE0" w:rsidRPr="00A12911" w:rsidRDefault="00675EE0" w:rsidP="00A504DB">
      <w:pPr>
        <w:pStyle w:val="NormalHanging12a"/>
      </w:pPr>
      <w:r w:rsidRPr="00A12911">
        <w:t>1.</w:t>
      </w:r>
      <w:r w:rsidRPr="00A12911">
        <w:tab/>
        <w:t>katsoo, että Lissabonin sopimuksella kansallisille parlamenteille annettujen oikeuksien ja velvollisuuksien täytäntöönpano on vahvistanut niiden roolia unionin perustuslaillisessa kehyksessä ja siten edistänyt unionin moniarvoisuutta, demokraattista legitiimiyttä ja toiminnan parantamista;</w:t>
      </w:r>
    </w:p>
    <w:p w:rsidR="00675EE0" w:rsidRPr="00A12911" w:rsidRDefault="00675EE0" w:rsidP="00A504DB">
      <w:pPr>
        <w:pStyle w:val="NormalHanging12a"/>
      </w:pPr>
      <w:r w:rsidRPr="00A12911">
        <w:t>2.</w:t>
      </w:r>
      <w:r w:rsidRPr="00A12911">
        <w:tab/>
        <w:t>katsoo, että SEU 10 artiklan 2 kohdassa tunnustettu kansallisten hallitusten vastuu kansallisille parlamenteille on kansallisten parlamenttien roolin kulmakivi Euroopan unionissa; toteaa kansallisten parlamenttien olevan kumppaneita unionin toimielinten välisen tasapainon säilyttämisessä; kannustaa kansallisia parlamentteja hoitamaan täysipainoisesti EU:hun liittyvät tehtävänsä vaikuttaakseen suoraan EU-politiikkojen sisältöön ja valvoakseen sitä erityisesti seuraamalla kansallisten hallitustensa toimia Eurooppa-neuvoston jäseninä; kehottaa kansallisten ja alueellisten parlamenttien jäseniä vaalimaan päätöksenteossaan eurooppalaista omaatuntoa ja tunnustamaan unionin toimintapolitiikkojen suoran vaikutuksen heidän äänestäjiinsä; kiittää kansallisten parlamenttien ja Euroopan parlamentin välisestä yhteistyöstä saatuja hyviä kokemuksia ja katsoo, että kansallisilla parlamenteilla ja Euroopan parlamentilla on mahdollisuus olla luonnollisia liittolaisia luotaessa vahvempaa EU:n parlamentaarista ulottuvuutta;</w:t>
      </w:r>
    </w:p>
    <w:p w:rsidR="00675EE0" w:rsidRPr="00A12911" w:rsidRDefault="00675EE0" w:rsidP="00A504DB">
      <w:pPr>
        <w:pStyle w:val="NormalHanging12a"/>
      </w:pPr>
      <w:r w:rsidRPr="00A12911">
        <w:t>3.</w:t>
      </w:r>
      <w:r w:rsidRPr="00A12911">
        <w:tab/>
        <w:t>kehottaa jäsenvaltioita varmistamaan, että kansallisille parlamenteille annetaan riittävästi aikaa, valmiudet, resurssit ja tarvittavat mahdollisuudet perehtyä tietoihin, jotta ne voivat täyttää perustuslaillisen tehtävänsä eli valvoa kansallisten hallitusten toimintaa unionin tasolla ja siten legitimoida sen; muistuttaa tiedonsaantimahdollisuuden tärkeydestä ja toteaa, että neuvoston on hyväksyttävä tarvittavat asiakirjojen turvallisuutta koskevat takeet varmistaen samalla, että kansalliset parlamentit pystyvät kohdistamaan demokraattista valvontaa omiin hallituksiinsa esimerkiksi siten, että niille annetaan oikeus tutustua neuvoston säädöstietokantaan kunnioittaen samalla täysimääräisesti luottamuksellisuutta;</w:t>
      </w:r>
    </w:p>
    <w:p w:rsidR="00675EE0" w:rsidRPr="00A12911" w:rsidRDefault="00675EE0" w:rsidP="00675EE0">
      <w:pPr>
        <w:pStyle w:val="NormalHanging12a"/>
      </w:pPr>
      <w:r w:rsidRPr="00A12911">
        <w:t>4.</w:t>
      </w:r>
      <w:r w:rsidRPr="00A12911">
        <w:tab/>
        <w:t>katsoo, että unionin toimielinten työmenetelmien ja päätöksentekoprosessien avoimuus on edellytys sille, että kansalliset parlamentit voivat täyttää tehokkaasti perussopimuksista johtuvan institutionaalisen roolinsa; kehottaa tämän vuoksi julkistamaan jäsenvaltioiden äänestyskäyttäytymisen ja kannat neuvostossa; kehottaa lisäksi kansallisia parlamentteja käyttämään täysimääräisesti toimivaltaansa, muun muassa mukauttamalla sisäistä organisaatiotaan, aikataulujaan ja työjärjestyksiään tämän mahdollistamiseksi; sitoutuu itse ja kannustaa kansallisia parlamentteja ottamaan käyttöön innovatiivisempia ja vahvempia yhteistyövälineitä poliittisella ja hallinnollisella tasolla alkaen Euroopan poliittisten perheiden ja ryhmien välisestä tiiviimmästä vaihdosta ja vuoropuhelusta;</w:t>
      </w:r>
    </w:p>
    <w:p w:rsidR="00675EE0" w:rsidRPr="00A12911" w:rsidRDefault="00675EE0" w:rsidP="00675EE0">
      <w:pPr>
        <w:pStyle w:val="NormalHanging12a"/>
      </w:pPr>
      <w:r w:rsidRPr="00A12911">
        <w:t>5.</w:t>
      </w:r>
      <w:r w:rsidRPr="00A12911">
        <w:tab/>
        <w:t xml:space="preserve">kannustaa vahvistamaan poliittista vuoropuhelua unionin toimielinten ja kansallisten parlamenttien välillä ja muistuttaa, että päätökset on tehtävä perustuslaillisen toimivallan, EU:n perussopimusten ja EU:n säännöstön mukaisesti ottaen huomioon </w:t>
      </w:r>
      <w:r w:rsidRPr="00A12911">
        <w:lastRenderedPageBreak/>
        <w:t>paikallisten, alueellisten, kansallisten ja unionin elinten päätösvallan selkeä erottaminen;</w:t>
      </w:r>
    </w:p>
    <w:p w:rsidR="00675EE0" w:rsidRPr="00A12911" w:rsidRDefault="00675EE0" w:rsidP="00675EE0">
      <w:pPr>
        <w:pStyle w:val="NormalHanging12a"/>
      </w:pPr>
      <w:r w:rsidRPr="00A12911">
        <w:t>6.</w:t>
      </w:r>
      <w:r w:rsidRPr="00A12911">
        <w:tab/>
        <w:t>toteaa, että eurooppalaisen ohjausjakson sovittaminen yhteen kansallisten parlamenttien agendojen kanssa voisi osaltaan myötävaikuttaa talouspolitiikan koordinointiin, mutta korostaa samalla, että tässä ei saisi jättää huomiotta kunkin parlamentin itsehallinto-oikeutta ja omaa työjärjestystä;</w:t>
      </w:r>
    </w:p>
    <w:p w:rsidR="00675EE0" w:rsidRPr="00A12911" w:rsidRDefault="00675EE0" w:rsidP="00675EE0">
      <w:pPr>
        <w:pStyle w:val="NormalHanging12a"/>
      </w:pPr>
      <w:r w:rsidRPr="00A12911">
        <w:t>7.</w:t>
      </w:r>
      <w:r w:rsidRPr="00A12911">
        <w:tab/>
        <w:t>kehottaa vahvistamaan kansallisten parlamenttien roolia, kun toteutetaan talousarvio- ja talouspolitiikkavuoropuhelun kansallinen jakso, jonka aikana kansalliset parlamentit voisivat tehdä yhteistyötä, keskustella talouspolitiikan eurooppalaisesta ohjausjaksosta ja osallistua siihen valtuuttamalla omat hallituksensa toimimaan komission ja neuvoston kanssa;</w:t>
      </w:r>
    </w:p>
    <w:p w:rsidR="00675EE0" w:rsidRPr="00A12911" w:rsidRDefault="00675EE0" w:rsidP="00675EE0">
      <w:pPr>
        <w:pStyle w:val="NormalHanging12a"/>
        <w:rPr>
          <w:b/>
          <w:i/>
        </w:rPr>
      </w:pPr>
      <w:r w:rsidRPr="00A12911">
        <w:rPr>
          <w:b/>
          <w:i/>
        </w:rPr>
        <w:t>Eurooppalaisen julkisen toimintaympäristön kehittäminen</w:t>
      </w:r>
    </w:p>
    <w:p w:rsidR="00675EE0" w:rsidRPr="00A12911" w:rsidRDefault="00675EE0" w:rsidP="00675EE0">
      <w:pPr>
        <w:pStyle w:val="NormalHanging12a"/>
      </w:pPr>
      <w:r w:rsidRPr="00A12911">
        <w:t>8.</w:t>
      </w:r>
      <w:r w:rsidRPr="00A12911">
        <w:tab/>
        <w:t>korostaa, että eri poliittisten puolueiden jäsenten suhteellisen edustuksen periaate on tässä yhteydessä tärkeä; suosittaa siksi, että unionin toimielimiin lähetettävien kansallisten parlamentaaristen valtuuskuntien olisi koostuttava usean puolueen jäsenistä;</w:t>
      </w:r>
    </w:p>
    <w:p w:rsidR="00675EE0" w:rsidRPr="00A12911" w:rsidRDefault="00675EE0" w:rsidP="00675EE0">
      <w:pPr>
        <w:pStyle w:val="NormalHanging12a"/>
      </w:pPr>
      <w:r w:rsidRPr="00A12911">
        <w:t>9.</w:t>
      </w:r>
      <w:r w:rsidRPr="00A12911">
        <w:tab/>
        <w:t>toteaa, että kansallisten parlamenttien antamat lausunnot voisivat ilmentää parlamentaarisen enemmistön sitovaa tahtoa ennakkovaroitusjärjestelmän puitteissa tai sen ulkopuolella; kannattaa kuitenkin ajatusta, että kansallisten parlamenttien poliittisille vähemmistöille annetaan mahdollisuus ilmaista eriäviä näkemyksiä, jotka voitaisiin sitten sisällyttää näiden lausuntojen liitteisiin;</w:t>
      </w:r>
    </w:p>
    <w:p w:rsidR="00675EE0" w:rsidRPr="00A12911" w:rsidRDefault="00675EE0" w:rsidP="00675EE0">
      <w:pPr>
        <w:pStyle w:val="NormalHanging12a"/>
      </w:pPr>
      <w:r w:rsidRPr="00A12911">
        <w:t>10.</w:t>
      </w:r>
      <w:r w:rsidRPr="00A12911">
        <w:tab/>
        <w:t>katsoo, että vuorovaikutusta kansallisten parlamenttien kanssa voidaan vahvistaa epäsuorasti lisäämällä eurooppalaisten poliittisten puolueiden vaikutusmahdollisuuksia; toistaa pitkäaikaisen kehotuksensa antaa näille puolueille mahdollisuus sitoutua aktiivisesti jäsenvaltioiden poliittiseen toimintaan ja tukea niiden jäsenpuolueita EU-asioita käsiteltäessä; kehottaa saattamaan ripeästi päätökseen Euroopan tason poliittisten puolueiden ja Euroopan tason poliittisten säätiöiden perussäännöstä ja rahoituksesta 22. lokakuuta 2014 annetun Euroopan parlamentin ja neuvoston uudelleenlaaditun asetuksen (EU, Euratom) N:o 1141/2014</w:t>
      </w:r>
      <w:r w:rsidRPr="00A12911">
        <w:rPr>
          <w:rStyle w:val="FootnoteReference"/>
        </w:rPr>
        <w:footnoteReference w:id="18"/>
      </w:r>
      <w:r w:rsidRPr="00A12911">
        <w:t>, jotta Euroopan tason poliittiset puolueet voivat tukea jäsenpuolueitaan Euroopan parlamentin vaalikampanjassa ja EU-asioita käsittelevissä kansanäänestyskampanjoissa;</w:t>
      </w:r>
    </w:p>
    <w:p w:rsidR="00675EE0" w:rsidRPr="00A12911" w:rsidRDefault="00675EE0" w:rsidP="00675EE0">
      <w:pPr>
        <w:pStyle w:val="NormalHanging12a"/>
      </w:pPr>
      <w:r w:rsidRPr="00A12911">
        <w:t>11.</w:t>
      </w:r>
      <w:r w:rsidRPr="00A12911">
        <w:tab/>
        <w:t xml:space="preserve">katsoo tässä yhteydessä, että vuosittain järjestettävän eurooppalaisen teemaviikon luominen mahdollistaisi sen, että parlamentin ja komission jäsenet ja neuvoston puheenjohtajavaltion ministerit voisivat käydä kaikissa kansallisissa ja tarvittaessa alueellisissa parlamenteissa keskustelemassa unionin agendasta yhdessä kansallisten parlamenttien jäsenten kanssa ja selittämässä sitä; ehdottaa, että aloitetaan keskustelu kansallisten parlamenttien ja Euroopan parlamentin välisen yhteisen poliittisen julkilausuman tai puitesopimuksen laatimisesta ehdotetun eurooppalaisen teemaviikon järjestämisestä, jotta voidaan luoda johdonmukaisemmat puitteet poliittiselle, institutionaaliselle ja hallinnolliselle yhteistyölle; katsoo, että ehdotetussa eurooppalaisessa teemaviikossa olisi otettava oppia tämänhetkisistä ja aiemmista foorumeista, kuten EU:n parlamentaarinen viikko, joka toteutettiin eurooppalaista ohjausjaksoa käsittelevän konferenssin ja Euroopan unionin vakautta, talouden </w:t>
      </w:r>
      <w:r w:rsidRPr="00A12911">
        <w:lastRenderedPageBreak/>
        <w:t>yhteensovittamista sekä ohjausta ja hallintaa käsittelevän parlamenttien välisen kokouksen puitteissa, ja Euroopan tulevaisuuskonferenssi; katsoo lisäksi, että kansallisten ja Euroopan tason poliittisten perheiden ja ydinryhmien keskinäiset ja niiden väliset tapaamiset EU-asioissa tehtävän parlamenttien välisen yhteistyön puitteissa voisivat tuoda lisäarvoa aidon eurooppalaisen poliittisen keskustelun muodossa;</w:t>
      </w:r>
    </w:p>
    <w:p w:rsidR="00675EE0" w:rsidRPr="00A12911" w:rsidRDefault="00675EE0" w:rsidP="00675EE0">
      <w:pPr>
        <w:pStyle w:val="NormalHanging12a"/>
      </w:pPr>
      <w:r w:rsidRPr="00A12911">
        <w:t>12.</w:t>
      </w:r>
      <w:r w:rsidRPr="00A12911">
        <w:tab/>
        <w:t>pitää ehdokasmaiden kansallisten parlamenttien tiiviimpää osallistumista olennaisena välineenä EU:n laajentumisstrategian onnistumiselle; ehdottaa, että ehdotettuun eurooppalaiseen teemaviikkoon otetaan mukaan ehdokasmaiden kansallisten parlamenttien edustajia;</w:t>
      </w:r>
    </w:p>
    <w:p w:rsidR="00675EE0" w:rsidRPr="00A12911" w:rsidRDefault="00675EE0" w:rsidP="00675EE0">
      <w:pPr>
        <w:pStyle w:val="NormalHanging12a"/>
        <w:rPr>
          <w:b/>
          <w:i/>
        </w:rPr>
      </w:pPr>
      <w:r w:rsidRPr="00A12911">
        <w:rPr>
          <w:b/>
          <w:i/>
        </w:rPr>
        <w:t>Ennakkovaroitusjärjestelmän uudistamisen tukeminen</w:t>
      </w:r>
    </w:p>
    <w:p w:rsidR="00675EE0" w:rsidRPr="00A12911" w:rsidRDefault="00675EE0" w:rsidP="00675EE0">
      <w:pPr>
        <w:pStyle w:val="NormalHanging12a"/>
      </w:pPr>
      <w:r w:rsidRPr="00A12911">
        <w:t>13.</w:t>
      </w:r>
      <w:r w:rsidRPr="00A12911">
        <w:tab/>
        <w:t>korostaa, että tärkein Lissabonin sopimuksessa kansallisille parlamenteille myönnetty valtaoikeus oli se, että niille annettiin mahdollisuus valvoa toissijaisuusperiaatteen noudattamista EU:n lainsäädäntömenettelyjen varhaisessa vaiheessa;</w:t>
      </w:r>
    </w:p>
    <w:p w:rsidR="00675EE0" w:rsidRPr="00A12911" w:rsidRDefault="00675EE0" w:rsidP="00675EE0">
      <w:pPr>
        <w:pStyle w:val="NormalHanging12a"/>
      </w:pPr>
      <w:r w:rsidRPr="00A12911">
        <w:t>14.</w:t>
      </w:r>
      <w:r w:rsidRPr="00A12911">
        <w:tab/>
        <w:t>toteaa, että keltaisten tai oranssien korttien kaltaisia menettelyjä ei ole käytetty laajamittaisesti; esittää, että kaikki unionin toimielimet ja jäsenvaltiot sopivat yhteisymmärryksestä, joka koskee alun perin Amsterdamin sopimukseen liitettyjä toissijaisuus- ja suhteellisuusperiaatteita, asiaan liittyvää Euroopan unionin tuomioistuimen oikeuskäytäntöä sekä komission omaa käytäntöä; katsoo, että tätä yhteisymmärrystä rakennettaessa huomioon olisi otettava kaikki toissijaisuuden osatekijät ja että sitä voitaisiin edistää uusilla yhteistyövälineillä;</w:t>
      </w:r>
    </w:p>
    <w:p w:rsidR="00675EE0" w:rsidRPr="00A12911" w:rsidRDefault="00675EE0" w:rsidP="00675EE0">
      <w:pPr>
        <w:pStyle w:val="NormalHanging12a"/>
      </w:pPr>
      <w:r w:rsidRPr="00A12911">
        <w:t>15.</w:t>
      </w:r>
      <w:r w:rsidRPr="00A12911">
        <w:tab/>
        <w:t>panee merkille, että eräät kansalliset parlamentit ovat pyytäneet pidentämään kahdeksan viikon pituista ajanjaksoa, jonka aikana ne voivat antaa pöytäkirjassa N:o 1 olevan 3 artiklan mukaisen perustellun lausunnon; korostaa kuitenkin, että nykyisessä perussopimuskehyksessä ei määrätä tällaisesta pidentämisestä; toteaa, että komissio päätti vuodesta 2019 alkaen helpottaa tilannetta jättämällä vastaisuudessa huomiotta loppuvuoden juhlapyhät asettaessaan kahdeksan viikon määräajan, jonka kuluessa kansalliset parlamentit voivat lähettää perusteltuja lausuntoja; katsoo siksi, että perussopimuksen tulevan tarkistuksen yhteydessä olisi harkittava kahdentoista viikon määräajan käyttöönottoa;</w:t>
      </w:r>
    </w:p>
    <w:p w:rsidR="00675EE0" w:rsidRPr="00A12911" w:rsidRDefault="00675EE0" w:rsidP="00675EE0">
      <w:pPr>
        <w:pStyle w:val="NormalHanging12a"/>
      </w:pPr>
      <w:r w:rsidRPr="00A12911">
        <w:t>16.</w:t>
      </w:r>
      <w:r w:rsidRPr="00A12911">
        <w:tab/>
        <w:t>kannustaa kansallisia parlamentteja sisällyttämään lopullisiin perusteltuihin lausuntoihinsa, jotka toimitetaan Euroopan parlamentin puhemiehelle ja neuvoston ja komission puheenjohtajille, lainsäädäntövaltaa käyttävien alueellisten parlamenttiensa perustellut lausunnot, etenkin silloin, jos ehdotuksella on alueiden yksinomaiseen toimivaltaan kohdistuvia vaikutuksia;</w:t>
      </w:r>
    </w:p>
    <w:p w:rsidR="00675EE0" w:rsidRPr="00A12911" w:rsidRDefault="00675EE0" w:rsidP="00675EE0">
      <w:pPr>
        <w:pStyle w:val="NormalHanging12a"/>
      </w:pPr>
      <w:r w:rsidRPr="00A12911">
        <w:t>17.</w:t>
      </w:r>
      <w:r w:rsidRPr="00A12911">
        <w:tab/>
        <w:t>ehdottaa, että perustetaan järjestelmä, jota kutsutaan joskus ”vihreän kortin menettelyksi”, jossa vähintään kolmasosa kansallisista parlamenteista voi pyytää komissiota tai Euroopan parlamenttia, kun viimeksi mainitulle on myönnetty yleinen suora aloiteoikeus, esittämään ehdotuksia, joiden tarkoituksena on vaikuttaa myönteisesti eurooppalaiseen keskusteluun; ehdottaa tässä yhteydessä, että komissio tai Euroopan parlamentti voisi harkintansa mukaan joko ottaa tällaiset ehdotukset huomioon tai antaa virallisen vastauksen, jossa se kertoo syynsä kieltäytymiseen; toteaa, että tällainen menettely ei voi muodostaa oikeutta esittää aloite tai oikeutta peruuttaa tai muuttaa lainsäädäntöä, koska sillä kumottaisiin unionin menetelmä ja toimivallan jako kansallisella ja unionin tasolla ja se olisi näin perussopimusten vastainen;</w:t>
      </w:r>
    </w:p>
    <w:p w:rsidR="00675EE0" w:rsidRPr="00A12911" w:rsidRDefault="00675EE0" w:rsidP="00675EE0">
      <w:pPr>
        <w:pStyle w:val="NormalHanging12a"/>
        <w:keepNext/>
        <w:keepLines/>
        <w:rPr>
          <w:b/>
          <w:i/>
        </w:rPr>
      </w:pPr>
      <w:r w:rsidRPr="00A12911">
        <w:rPr>
          <w:b/>
          <w:i/>
        </w:rPr>
        <w:lastRenderedPageBreak/>
        <w:t>Tiedonsaantioikeuden täytäntöönpano</w:t>
      </w:r>
    </w:p>
    <w:p w:rsidR="00675EE0" w:rsidRPr="00A12911" w:rsidRDefault="00675EE0" w:rsidP="00675EE0">
      <w:pPr>
        <w:pStyle w:val="NormalHanging12a"/>
        <w:keepNext/>
        <w:keepLines/>
      </w:pPr>
      <w:r w:rsidRPr="00A12911">
        <w:t>18.</w:t>
      </w:r>
      <w:r w:rsidRPr="00A12911">
        <w:tab/>
        <w:t xml:space="preserve">vahvistaa, että SEU 12 artiklassa ja pöytäkirjassa </w:t>
      </w:r>
      <w:proofErr w:type="gramStart"/>
      <w:r w:rsidRPr="00A12911">
        <w:t>N:o</w:t>
      </w:r>
      <w:proofErr w:type="gramEnd"/>
      <w:r w:rsidRPr="00A12911">
        <w:t xml:space="preserve"> 1 kansallisille parlamenteille annetaan oikeus saada tietoa suoraan unionin toimielimiltä; ehdottaa, että oikeus saada tietoa ulotetaan myös lainsäädäntövaltaa käyttäviin alueellisiin parlamentteihin;</w:t>
      </w:r>
    </w:p>
    <w:p w:rsidR="00675EE0" w:rsidRPr="00A12911" w:rsidRDefault="00675EE0" w:rsidP="00675EE0">
      <w:pPr>
        <w:pStyle w:val="NormalHanging12a"/>
      </w:pPr>
      <w:r w:rsidRPr="00A12911">
        <w:t>19.</w:t>
      </w:r>
      <w:r w:rsidRPr="00A12911">
        <w:tab/>
        <w:t xml:space="preserve">suosittaa, että kansalliset parlamentit käyttävät IPEX-alustaa hyvissä ajoin, jotta varmistetaan kansallisen valvontamekanismin varhainen käynnistäminen; suosittaa </w:t>
      </w:r>
      <w:proofErr w:type="spellStart"/>
      <w:r w:rsidRPr="00A12911">
        <w:t>IPEXin</w:t>
      </w:r>
      <w:proofErr w:type="spellEnd"/>
      <w:r w:rsidRPr="00A12911">
        <w:t xml:space="preserve"> käyttämistä kanavana tietojen järjestelmälliselle vaihdolle ja toissijaisuuteen liittyvien huolenaiheiden varhaiselle tunnistamiselle; on tyytyväinen IPEX-ohjeiden päivitettyyn versioon, joka hyväksyttiin pääsihteerien kokouksessa helmikuussa 2023 ja jossa otetaan huomioon IPEX-alustan uusi versio sekä tämän uuden version tarjoamat mahdollisuudet ja välineet;</w:t>
      </w:r>
    </w:p>
    <w:p w:rsidR="00675EE0" w:rsidRPr="00A12911" w:rsidRDefault="00675EE0" w:rsidP="00675EE0">
      <w:pPr>
        <w:pStyle w:val="NormalHanging12a"/>
        <w:rPr>
          <w:b/>
          <w:i/>
        </w:rPr>
      </w:pPr>
      <w:r w:rsidRPr="00A12911">
        <w:rPr>
          <w:b/>
          <w:i/>
        </w:rPr>
        <w:t>Suunnitelma toimielinten välisen yhteistyön parantamiseksi</w:t>
      </w:r>
    </w:p>
    <w:p w:rsidR="00675EE0" w:rsidRPr="00A12911" w:rsidRDefault="00675EE0" w:rsidP="00675EE0">
      <w:pPr>
        <w:pStyle w:val="NormalHanging12a"/>
      </w:pPr>
      <w:r w:rsidRPr="00A12911">
        <w:t>20.</w:t>
      </w:r>
      <w:r w:rsidRPr="00A12911">
        <w:tab/>
        <w:t xml:space="preserve">panee merkille Euroopan parlamentin ja kansallisten parlamenttien nykyisen yhteistyön </w:t>
      </w:r>
      <w:proofErr w:type="spellStart"/>
      <w:r w:rsidRPr="00A12911">
        <w:t>COSACissa</w:t>
      </w:r>
      <w:proofErr w:type="spellEnd"/>
      <w:r w:rsidRPr="00A12911">
        <w:t xml:space="preserve">, YUTP:tä käsittelevässä parlamenttien välisessä kokouksessa sekä vakaussopimuksen 13 artiklan puitteissa; panee lisäksi merkille parlamenttien välisen yhteistyön uusimmat muodot, kuten Europolin yhteisparlamentaarisen valvontaryhmän ja </w:t>
      </w:r>
      <w:proofErr w:type="spellStart"/>
      <w:r w:rsidRPr="00A12911">
        <w:t>Eurojustin</w:t>
      </w:r>
      <w:proofErr w:type="spellEnd"/>
      <w:r w:rsidRPr="00A12911">
        <w:t xml:space="preserve"> toiminnan arviointia käsittelevän parlamenttien välisen valiokuntakokouksen; korostaa, että tällaista yhteistyötä olisi kehitettävä konsensuksen, tiedonjaon ja kuulemisen periaatteiden pohjalta, jotta kansalliset parlamentit voivat valvoa hallituksiaan ja hallintojaan;</w:t>
      </w:r>
    </w:p>
    <w:p w:rsidR="00675EE0" w:rsidRPr="00A12911" w:rsidRDefault="00675EE0" w:rsidP="00675EE0">
      <w:pPr>
        <w:pStyle w:val="NormalHanging12a"/>
      </w:pPr>
      <w:r w:rsidRPr="00A12911">
        <w:t>21.</w:t>
      </w:r>
      <w:r w:rsidRPr="00A12911">
        <w:tab/>
        <w:t>muistuttaa, että unionin ja kansallisten parlamenttien nykyistä suhdekehystä voitaisiin yksinkertaistaa ja yhtenäistää, jotta se olisi tehokkaampi ja vaikuttavampi; kehottaa tässä yhteydessä tarkastelemaan unionin ja sen jäsenvaltioiden kansallisten parlamenttien yhteistyötä olemassa olevilla alustoilla ja foorumeilla, jotta näitä suhteita voidaan lujittaa ja jotta ne voidaan mukauttaa nykyisiin tarpeisiin; kannustaa unionin toimielimiä ja lainsäädäntövaltaa käyttäviä alueellisia parlamentteja osallistumaan aktiivisemmin ja olemaan suoraan vuorovaikutuksessa keskenään kunnioittaen samalla täysin kansallisten parlamenttien tehtäviä ja toimivaltaa;</w:t>
      </w:r>
    </w:p>
    <w:p w:rsidR="00675EE0" w:rsidRPr="00A12911" w:rsidRDefault="00675EE0" w:rsidP="00675EE0">
      <w:pPr>
        <w:pStyle w:val="NormalHanging12a"/>
      </w:pPr>
      <w:r w:rsidRPr="00A12911">
        <w:t>22.</w:t>
      </w:r>
      <w:r w:rsidRPr="00A12911">
        <w:tab/>
        <w:t>tähdentää, että poliittisen ja teknisen vuoropuhelun vahvistaminen parlamentaaristen valiokuntien välillä ja poliittisten ryhmien välillä sekä kansallisella että unionin tasolla voisi olla erittäin kannattava askel kohti täyttä parlamenttien välistä yhteistyötä; ehdottaakin, että kansallisella tasolla tiedotetaan enemmän mahdollisista yhteistyövälineistä; ehdottaa siten, että tämän tavoitteen saavuttamiseen kohdennetaan lisärahoitusta muun muassa videoneuvottelujen, henkilöstövaihdon tai pilottihankkeiden käytön rahoittamiseksi;</w:t>
      </w:r>
    </w:p>
    <w:p w:rsidR="00675EE0" w:rsidRPr="00A12911" w:rsidRDefault="00675EE0" w:rsidP="00675EE0">
      <w:pPr>
        <w:pStyle w:val="NormalHanging12a"/>
        <w:widowControl/>
      </w:pPr>
      <w:r w:rsidRPr="00A12911">
        <w:t>23.</w:t>
      </w:r>
      <w:r w:rsidRPr="00A12911">
        <w:tab/>
        <w:t>myöntää pöytäkirjassa N:o 1 olevassa 9 ja 10 artiklassa tarkoitettujen parlamenttien välisten valiokuntakokousten ja ”valiokuntamenettelyn” alakohtaisen onnistumisen merkityksen parlamenttien välisessä yhteistyössä; katsoo, että toimielinten välistä yhteistyötä voitaisiin parantaa, jos Euroopan parlamentin ja kansallisten parlamenttien jäsenet antaisivat parlamenttien välisille valiokuntakokouksille merkittävämmän aseman ja jos nämä kokoukset valmisteltaisiin tiiviimmässä yhteistyössä; on sitä mieltä, että työjärjestystä voitaisiin muuttaa, jotta voidaan säännellä vahvempia yhteistyömuotoja kansallisten parlamenttien ja Euroopan parlamentin välillä kunnioittaen täysin niiden institutionaalista toimivaltaa ja sen jakautumista;</w:t>
      </w:r>
    </w:p>
    <w:p w:rsidR="00675EE0" w:rsidRPr="00A12911" w:rsidRDefault="00675EE0" w:rsidP="00A504DB">
      <w:pPr>
        <w:pStyle w:val="NormalHanging12a"/>
        <w:widowControl/>
      </w:pPr>
      <w:r w:rsidRPr="00A12911">
        <w:lastRenderedPageBreak/>
        <w:t>24.</w:t>
      </w:r>
      <w:r w:rsidRPr="00A12911">
        <w:tab/>
        <w:t xml:space="preserve">suosittelee, että kansalliset parlamentit otetaan täysin mukaan </w:t>
      </w:r>
      <w:proofErr w:type="spellStart"/>
      <w:r w:rsidRPr="00A12911">
        <w:t>YTPP:n</w:t>
      </w:r>
      <w:proofErr w:type="spellEnd"/>
      <w:r w:rsidRPr="00A12911">
        <w:t xml:space="preserve"> jatkuvaan kehittämiseen; katsoo, että tällaista osallistumista olisi edistettävä tiiviissä yhteistyössä Euroopan parlamentin kanssa pöytäkirjassa N:o 1 olevan 10 artiklan mukaisesti kunnioittaen samalla täysin kansallisten perustuslakien turvallisuus- ja puolustuspolitiikkaa koskevia säännöksiä; kehottaa kansallisia parlamentteja pohtimaan tarkemmin puolustusvoimavarojen priorisointia unionin tasolla muun muassa kansallisten parlamenttien edustajien ja Euroopan parlamentin jäsenten yhteisissä parlamenttien välisissä kokouksissa, YUTP:tä/</w:t>
      </w:r>
      <w:proofErr w:type="spellStart"/>
      <w:r w:rsidRPr="00A12911">
        <w:t>YTPP:tä</w:t>
      </w:r>
      <w:proofErr w:type="spellEnd"/>
      <w:r w:rsidRPr="00A12911">
        <w:t xml:space="preserve"> käsittelevässä parlamenttien välisessä kokouksessa ja käytäessä poliittista vuoropuhelua;</w:t>
      </w:r>
    </w:p>
    <w:p w:rsidR="00675EE0" w:rsidRPr="00A12911" w:rsidRDefault="00675EE0" w:rsidP="00A504DB">
      <w:pPr>
        <w:pStyle w:val="NormalHanging12a"/>
        <w:widowControl/>
      </w:pPr>
      <w:r w:rsidRPr="00A12911">
        <w:t>25.</w:t>
      </w:r>
      <w:r w:rsidRPr="00A12911">
        <w:tab/>
        <w:t>muistuttaa, että on tärkeää tehostaa tutkintaoikeutta koskevaa kansallisten parlamenttien ja Euroopan parlamentin välistä yhteistyötä ja vuoropuhelua;</w:t>
      </w:r>
    </w:p>
    <w:p w:rsidR="00675EE0" w:rsidRPr="00A12911" w:rsidRDefault="00675EE0" w:rsidP="00675EE0">
      <w:pPr>
        <w:pStyle w:val="NormalHanging12a"/>
        <w:jc w:val="center"/>
        <w:rPr>
          <w:i/>
        </w:rPr>
      </w:pPr>
      <w:r w:rsidRPr="00A12911">
        <w:rPr>
          <w:i/>
        </w:rPr>
        <w:t>°</w:t>
      </w:r>
    </w:p>
    <w:p w:rsidR="00675EE0" w:rsidRPr="00A12911" w:rsidRDefault="00675EE0" w:rsidP="00675EE0">
      <w:pPr>
        <w:pStyle w:val="NormalHanging12a"/>
        <w:jc w:val="center"/>
        <w:rPr>
          <w:i/>
        </w:rPr>
      </w:pPr>
      <w:r w:rsidRPr="00A12911">
        <w:rPr>
          <w:i/>
        </w:rPr>
        <w:t>°</w:t>
      </w:r>
      <w:r w:rsidRPr="00A12911">
        <w:rPr>
          <w:i/>
        </w:rPr>
        <w:tab/>
        <w:t>°</w:t>
      </w:r>
    </w:p>
    <w:p w:rsidR="00E365E1" w:rsidRPr="00A12911" w:rsidRDefault="00675EE0" w:rsidP="00A504DB">
      <w:pPr>
        <w:pStyle w:val="NormalHanging12a"/>
        <w:widowControl/>
      </w:pPr>
      <w:r w:rsidRPr="00A12911">
        <w:t>26.</w:t>
      </w:r>
      <w:r w:rsidRPr="00A12911">
        <w:tab/>
        <w:t>kehottaa puhemiestä välittämään tämän päätöslauselman neuvostolle, komissiolle sekä jäsenvaltioiden hallituksille ja parlamenteille.</w:t>
      </w:r>
      <w:bookmarkStart w:id="9" w:name="TextBodyEnd"/>
      <w:bookmarkEnd w:id="9"/>
    </w:p>
    <w:sectPr w:rsidR="00E365E1" w:rsidRPr="00A12911" w:rsidSect="00A129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F53" w:rsidRPr="00A12911" w:rsidRDefault="00DA0F53">
      <w:r w:rsidRPr="00A12911">
        <w:separator/>
      </w:r>
    </w:p>
  </w:endnote>
  <w:endnote w:type="continuationSeparator" w:id="0">
    <w:p w:rsidR="00DA0F53" w:rsidRPr="00A12911" w:rsidRDefault="00DA0F53">
      <w:r w:rsidRPr="00A129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F53" w:rsidRPr="00A12911" w:rsidRDefault="00DA0F53">
      <w:r w:rsidRPr="00A12911">
        <w:separator/>
      </w:r>
    </w:p>
  </w:footnote>
  <w:footnote w:type="continuationSeparator" w:id="0">
    <w:p w:rsidR="00DA0F53" w:rsidRPr="00A12911" w:rsidRDefault="00DA0F53">
      <w:r w:rsidRPr="00A12911">
        <w:continuationSeparator/>
      </w:r>
    </w:p>
  </w:footnote>
  <w:footnote w:id="1">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202, 7.6.2016, s. 203.</w:t>
      </w:r>
    </w:p>
  </w:footnote>
  <w:footnote w:id="2">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115, 9.5.2008, s. 206.</w:t>
      </w:r>
    </w:p>
  </w:footnote>
  <w:footnote w:id="3">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212 E, 5.8.2010, s. 94.</w:t>
      </w:r>
    </w:p>
  </w:footnote>
  <w:footnote w:id="4">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443, 22.12.2017, s. 40.</w:t>
      </w:r>
    </w:p>
  </w:footnote>
  <w:footnote w:id="5">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390, 18.11.2019, s. 121.</w:t>
      </w:r>
    </w:p>
  </w:footnote>
  <w:footnote w:id="6">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456, 10.11.2021, s. 56.</w:t>
      </w:r>
    </w:p>
  </w:footnote>
  <w:footnote w:id="7">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479, 16.12.2022, s. 18.</w:t>
      </w:r>
    </w:p>
  </w:footnote>
  <w:footnote w:id="8">
    <w:p w:rsidR="00675EE0" w:rsidRPr="00CF1843" w:rsidRDefault="00675EE0" w:rsidP="00A12911">
      <w:pPr>
        <w:pStyle w:val="FootnoteText"/>
        <w:ind w:left="567" w:hanging="567"/>
        <w:rPr>
          <w:sz w:val="24"/>
          <w:szCs w:val="24"/>
          <w:lang w:val="pt-PT"/>
        </w:rPr>
      </w:pPr>
      <w:r w:rsidRPr="00A504DB">
        <w:rPr>
          <w:rStyle w:val="FootnoteReference"/>
          <w:sz w:val="24"/>
          <w:szCs w:val="24"/>
          <w:lang w:val="fi-FI"/>
        </w:rPr>
        <w:footnoteRef/>
      </w:r>
      <w:r w:rsidR="00A12911" w:rsidRPr="00CF1843">
        <w:rPr>
          <w:sz w:val="24"/>
          <w:szCs w:val="24"/>
          <w:lang w:val="pt-PT"/>
        </w:rPr>
        <w:t xml:space="preserve"> </w:t>
      </w:r>
      <w:r w:rsidR="00A12911" w:rsidRPr="00CF1843">
        <w:rPr>
          <w:sz w:val="24"/>
          <w:szCs w:val="24"/>
          <w:lang w:val="pt-PT"/>
        </w:rPr>
        <w:tab/>
      </w:r>
      <w:r w:rsidRPr="00CF1843">
        <w:rPr>
          <w:sz w:val="24"/>
          <w:szCs w:val="24"/>
          <w:lang w:val="pt-PT"/>
        </w:rPr>
        <w:t>EUVL C 81, 18.2.2022, s. 74.</w:t>
      </w:r>
    </w:p>
  </w:footnote>
  <w:footnote w:id="9">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 xml:space="preserve">Aktiivinen toissijaisuus – Uusi työskentelytapa, toissijaisuus- ja suhteellisuusperiaatteiden toteutumista tarkastelevan komission työryhmän </w:t>
      </w:r>
      <w:r w:rsidR="0067470E">
        <w:fldChar w:fldCharType="begin"/>
      </w:r>
      <w:r w:rsidR="0067470E" w:rsidRPr="0067470E">
        <w:rPr>
          <w:lang w:val="fi-FI"/>
        </w:rPr>
        <w:instrText xml:space="preserve"> HYPERLINK "https://commission.europa.eu/system/files/2018-10/report-task-force-subsidiarity-proportionality-and-doing-less-more-efficiently_fi.pdf" </w:instrText>
      </w:r>
      <w:r w:rsidR="0067470E">
        <w:fldChar w:fldCharType="separate"/>
      </w:r>
      <w:r w:rsidRPr="00A504DB">
        <w:rPr>
          <w:rStyle w:val="Hyperlink"/>
          <w:sz w:val="24"/>
          <w:szCs w:val="24"/>
          <w:lang w:val="fi-FI"/>
        </w:rPr>
        <w:t>raportti</w:t>
      </w:r>
      <w:r w:rsidR="0067470E">
        <w:rPr>
          <w:rStyle w:val="Hyperlink"/>
          <w:sz w:val="24"/>
          <w:szCs w:val="24"/>
          <w:lang w:val="fi-FI"/>
        </w:rPr>
        <w:fldChar w:fldCharType="end"/>
      </w:r>
      <w:r w:rsidRPr="00A504DB">
        <w:rPr>
          <w:sz w:val="24"/>
          <w:szCs w:val="24"/>
          <w:lang w:val="fi-FI"/>
        </w:rPr>
        <w:t>, 10. heinäkuuta 2018.</w:t>
      </w:r>
    </w:p>
  </w:footnote>
  <w:footnote w:id="10">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EUVL C 270, 7.7.2021, s. 71.</w:t>
      </w:r>
    </w:p>
  </w:footnote>
  <w:footnote w:id="11">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EUVL C 465, 6.12.2022, s. 109.</w:t>
      </w:r>
    </w:p>
  </w:footnote>
  <w:footnote w:id="12">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EUVL C 493, 27.12.2022, s. 130.</w:t>
      </w:r>
    </w:p>
  </w:footnote>
  <w:footnote w:id="13">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Hyväksytyt tekstit, P9_</w:t>
      </w:r>
      <w:proofErr w:type="gramStart"/>
      <w:r w:rsidRPr="00A504DB">
        <w:rPr>
          <w:sz w:val="24"/>
          <w:szCs w:val="24"/>
          <w:lang w:val="fi-FI"/>
        </w:rPr>
        <w:t>TA(</w:t>
      </w:r>
      <w:proofErr w:type="gramEnd"/>
      <w:r w:rsidRPr="00A504DB">
        <w:rPr>
          <w:sz w:val="24"/>
          <w:szCs w:val="24"/>
          <w:lang w:val="fi-FI"/>
        </w:rPr>
        <w:t>2023)0427.</w:t>
      </w:r>
    </w:p>
  </w:footnote>
  <w:footnote w:id="14">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12911" w:rsidRPr="00A504DB">
        <w:rPr>
          <w:sz w:val="24"/>
          <w:szCs w:val="24"/>
          <w:lang w:val="fi-FI"/>
        </w:rPr>
        <w:t xml:space="preserve"> </w:t>
      </w:r>
      <w:r w:rsidR="00A12911" w:rsidRPr="00A504DB">
        <w:rPr>
          <w:sz w:val="24"/>
          <w:szCs w:val="24"/>
          <w:lang w:val="fi-FI"/>
        </w:rPr>
        <w:tab/>
      </w:r>
      <w:r w:rsidRPr="00A504DB">
        <w:rPr>
          <w:sz w:val="24"/>
          <w:szCs w:val="24"/>
          <w:lang w:val="fi-FI"/>
        </w:rPr>
        <w:t>Hyväksytyt tekstit, P9_</w:t>
      </w:r>
      <w:proofErr w:type="gramStart"/>
      <w:r w:rsidRPr="00A504DB">
        <w:rPr>
          <w:sz w:val="24"/>
          <w:szCs w:val="24"/>
          <w:lang w:val="fi-FI"/>
        </w:rPr>
        <w:t>TA(</w:t>
      </w:r>
      <w:proofErr w:type="gramEnd"/>
      <w:r w:rsidRPr="00A504DB">
        <w:rPr>
          <w:sz w:val="24"/>
          <w:szCs w:val="24"/>
          <w:lang w:val="fi-FI"/>
        </w:rPr>
        <w:t>2023)0078.</w:t>
      </w:r>
    </w:p>
  </w:footnote>
  <w:footnote w:id="15">
    <w:p w:rsidR="00675EE0" w:rsidRPr="00A504DB" w:rsidRDefault="00675EE0" w:rsidP="00A12911">
      <w:pPr>
        <w:pStyle w:val="FootnoteText"/>
        <w:ind w:left="567" w:hanging="567"/>
        <w:rPr>
          <w:color w:val="000000"/>
          <w:sz w:val="24"/>
          <w:szCs w:val="24"/>
          <w:lang w:val="fi-FI"/>
        </w:rPr>
      </w:pPr>
      <w:r w:rsidRPr="00A504DB">
        <w:rPr>
          <w:rStyle w:val="FootnoteReference"/>
          <w:sz w:val="24"/>
          <w:szCs w:val="24"/>
          <w:lang w:val="fi-FI"/>
        </w:rPr>
        <w:footnoteRef/>
      </w:r>
      <w:r w:rsidR="0067470E">
        <w:fldChar w:fldCharType="begin"/>
      </w:r>
      <w:r w:rsidR="0067470E" w:rsidRPr="0067470E">
        <w:rPr>
          <w:lang w:val="fi-FI"/>
        </w:rPr>
        <w:instrText xml:space="preserve"> HYPERLINK "%09https://parleu2022.cz/wp-content/uploads/2023/04/EUSC-Prague-Presidency-Conclusions-final-EN-1.pdf" </w:instrText>
      </w:r>
      <w:r w:rsidR="0067470E">
        <w:fldChar w:fldCharType="separate"/>
      </w:r>
      <w:r w:rsidR="00A504DB" w:rsidRPr="00A504DB">
        <w:rPr>
          <w:rStyle w:val="Hyperlink"/>
          <w:sz w:val="24"/>
          <w:szCs w:val="24"/>
          <w:u w:val="none"/>
          <w:lang w:val="fi-FI"/>
        </w:rPr>
        <w:tab/>
      </w:r>
      <w:r w:rsidR="00A504DB" w:rsidRPr="00A504DB">
        <w:rPr>
          <w:rStyle w:val="Hyperlink"/>
          <w:sz w:val="24"/>
          <w:szCs w:val="24"/>
          <w:lang w:val="fi-FI"/>
        </w:rPr>
        <w:t>https://parleu2022.cz/wp-content/uploads/2023/04/EUSC-Prague-Presidency-Conclusions-final-EN-1.pdf</w:t>
      </w:r>
      <w:r w:rsidR="0067470E">
        <w:rPr>
          <w:rStyle w:val="Hyperlink"/>
          <w:sz w:val="24"/>
          <w:szCs w:val="24"/>
          <w:lang w:val="fi-FI"/>
        </w:rPr>
        <w:fldChar w:fldCharType="end"/>
      </w:r>
      <w:r w:rsidRPr="00A504DB">
        <w:rPr>
          <w:color w:val="000000"/>
          <w:sz w:val="24"/>
          <w:szCs w:val="24"/>
          <w:lang w:val="fi-FI"/>
        </w:rPr>
        <w:t>.</w:t>
      </w:r>
    </w:p>
  </w:footnote>
  <w:footnote w:id="16">
    <w:p w:rsidR="00675EE0" w:rsidRPr="00A504DB" w:rsidRDefault="00675EE0" w:rsidP="00A12911">
      <w:pPr>
        <w:pStyle w:val="FootnoteText"/>
        <w:ind w:left="567" w:hanging="567"/>
        <w:rPr>
          <w:color w:val="000000"/>
          <w:sz w:val="24"/>
          <w:szCs w:val="24"/>
          <w:lang w:val="fi-FI"/>
        </w:rPr>
      </w:pPr>
      <w:r w:rsidRPr="00A504DB">
        <w:rPr>
          <w:rStyle w:val="FootnoteReference"/>
          <w:sz w:val="24"/>
          <w:szCs w:val="24"/>
          <w:lang w:val="fi-FI"/>
        </w:rPr>
        <w:footnoteRef/>
      </w:r>
      <w:r w:rsidR="00A504DB" w:rsidRPr="00A504DB">
        <w:rPr>
          <w:rStyle w:val="FootnoteReference"/>
          <w:sz w:val="24"/>
          <w:szCs w:val="24"/>
          <w:lang w:val="fi-FI"/>
        </w:rPr>
        <w:tab/>
      </w:r>
      <w:r w:rsidR="0067470E">
        <w:fldChar w:fldCharType="begin"/>
      </w:r>
      <w:r w:rsidR="0067470E" w:rsidRPr="0067470E">
        <w:rPr>
          <w:lang w:val="fi-FI"/>
        </w:rPr>
        <w:instrText xml:space="preserve"> HYPERLINK "https://secure.ipex.eu/</w:instrText>
      </w:r>
      <w:r w:rsidR="0067470E" w:rsidRPr="0067470E">
        <w:rPr>
          <w:lang w:val="fi-FI"/>
        </w:rPr>
        <w:instrText xml:space="preserve">IPEXL-WEB/download/file/8a8629a88827df1e018828991e660000/Contribution%20adopted%20by%20the%20LXIX%20COSAC.pdf" </w:instrText>
      </w:r>
      <w:r w:rsidR="0067470E">
        <w:fldChar w:fldCharType="separate"/>
      </w:r>
      <w:r w:rsidRPr="00A504DB">
        <w:rPr>
          <w:rStyle w:val="Hyperlink"/>
          <w:sz w:val="24"/>
          <w:szCs w:val="24"/>
          <w:lang w:val="fi-FI"/>
        </w:rPr>
        <w:t>https://secure.ipex.eu/IPEXL-WEB/download/file/8a8629a88827df1e018828991e660000/Contribution%20adopted%20by%20the%20LXIX%20COSAC.pdf</w:t>
      </w:r>
      <w:r w:rsidR="0067470E">
        <w:rPr>
          <w:rStyle w:val="Hyperlink"/>
          <w:sz w:val="24"/>
          <w:szCs w:val="24"/>
          <w:lang w:val="fi-FI"/>
        </w:rPr>
        <w:fldChar w:fldCharType="end"/>
      </w:r>
      <w:r w:rsidRPr="00A504DB">
        <w:rPr>
          <w:color w:val="000000"/>
          <w:sz w:val="24"/>
          <w:szCs w:val="24"/>
          <w:lang w:val="fi-FI"/>
        </w:rPr>
        <w:t>.</w:t>
      </w:r>
    </w:p>
  </w:footnote>
  <w:footnote w:id="17">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504DB" w:rsidRPr="00A504DB">
        <w:rPr>
          <w:sz w:val="24"/>
          <w:szCs w:val="24"/>
          <w:lang w:val="fi-FI"/>
        </w:rPr>
        <w:tab/>
      </w:r>
      <w:r w:rsidR="0067470E">
        <w:fldChar w:fldCharType="begin"/>
      </w:r>
      <w:r w:rsidR="0067470E" w:rsidRPr="0067470E">
        <w:rPr>
          <w:lang w:val="fi-FI"/>
        </w:rPr>
        <w:instrText xml:space="preserve"> HYPER</w:instrText>
      </w:r>
      <w:r w:rsidR="0067470E" w:rsidRPr="0067470E">
        <w:rPr>
          <w:lang w:val="fi-FI"/>
        </w:rPr>
        <w:instrText xml:space="preserve">LINK "https://www.congreso.es/backoffice_doc/prensa/notas_prensa/99181_1688138271277.pdf" </w:instrText>
      </w:r>
      <w:r w:rsidR="0067470E">
        <w:fldChar w:fldCharType="separate"/>
      </w:r>
      <w:r w:rsidR="00A504DB" w:rsidRPr="00760738">
        <w:rPr>
          <w:rStyle w:val="Hyperlink"/>
          <w:sz w:val="24"/>
          <w:szCs w:val="24"/>
          <w:lang w:val="fi-FI"/>
        </w:rPr>
        <w:t>https://www.congreso.es/backoffice_doc/prensa/notas_prensa/</w:t>
      </w:r>
      <w:r w:rsidR="00A504DB" w:rsidRPr="00760738">
        <w:rPr>
          <w:rStyle w:val="Hyperlink"/>
          <w:sz w:val="24"/>
          <w:szCs w:val="24"/>
          <w:lang w:val="fi-FI"/>
        </w:rPr>
        <w:br/>
        <w:t>99181_1688138271277.pdf</w:t>
      </w:r>
      <w:r w:rsidR="0067470E">
        <w:rPr>
          <w:rStyle w:val="Hyperlink"/>
          <w:sz w:val="24"/>
          <w:szCs w:val="24"/>
          <w:lang w:val="fi-FI"/>
        </w:rPr>
        <w:fldChar w:fldCharType="end"/>
      </w:r>
      <w:r w:rsidRPr="00A504DB">
        <w:rPr>
          <w:sz w:val="24"/>
          <w:szCs w:val="24"/>
          <w:lang w:val="fi-FI"/>
        </w:rPr>
        <w:t>.</w:t>
      </w:r>
    </w:p>
  </w:footnote>
  <w:footnote w:id="18">
    <w:p w:rsidR="00675EE0" w:rsidRPr="00A504DB" w:rsidRDefault="00675EE0" w:rsidP="00A12911">
      <w:pPr>
        <w:pStyle w:val="FootnoteText"/>
        <w:ind w:left="567" w:hanging="567"/>
        <w:rPr>
          <w:sz w:val="24"/>
          <w:szCs w:val="24"/>
          <w:lang w:val="fi-FI"/>
        </w:rPr>
      </w:pPr>
      <w:r w:rsidRPr="00A504DB">
        <w:rPr>
          <w:rStyle w:val="FootnoteReference"/>
          <w:sz w:val="24"/>
          <w:szCs w:val="24"/>
          <w:lang w:val="fi-FI"/>
        </w:rPr>
        <w:footnoteRef/>
      </w:r>
      <w:r w:rsidR="00A504DB">
        <w:rPr>
          <w:sz w:val="24"/>
          <w:szCs w:val="24"/>
          <w:lang w:val="fi-FI"/>
        </w:rPr>
        <w:tab/>
      </w:r>
      <w:r w:rsidRPr="00A504DB">
        <w:rPr>
          <w:sz w:val="24"/>
          <w:szCs w:val="24"/>
          <w:lang w:val="fi-FI"/>
        </w:rPr>
        <w:t>EUVL L 317, 4.11.2014,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FI"/>
    <w:docVar w:name="dvnumam" w:val="0"/>
    <w:docVar w:name="dvpe" w:val="752.837"/>
    <w:docVar w:name="dvrapporteur" w:val="Esittelijä: "/>
    <w:docVar w:name="dvtitre" w:val="Euroopan parlamentin päätöslauselma xx. tammikuuta 2024 kansallisia parlamentteja koskevien perussopimusten määräysten täytäntöönpanosta(2023/2084(INI))"/>
  </w:docVars>
  <w:rsids>
    <w:rsidRoot w:val="00DA0F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470E"/>
    <w:rsid w:val="00675EE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911"/>
    <w:rsid w:val="00A1687D"/>
    <w:rsid w:val="00A43E52"/>
    <w:rsid w:val="00A4678D"/>
    <w:rsid w:val="00A504D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843"/>
    <w:rsid w:val="00D058B8"/>
    <w:rsid w:val="00D56C11"/>
    <w:rsid w:val="00D834A0"/>
    <w:rsid w:val="00D872DF"/>
    <w:rsid w:val="00D91E21"/>
    <w:rsid w:val="00DA0F5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FC356"/>
  <w15:chartTrackingRefBased/>
  <w15:docId w15:val="{8DCC0404-72C0-42F8-A821-823DF642D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5EE0"/>
    <w:pPr>
      <w:spacing w:after="240"/>
      <w:ind w:left="567" w:hanging="567"/>
    </w:pPr>
  </w:style>
  <w:style w:type="paragraph" w:customStyle="1" w:styleId="EPComma">
    <w:name w:val="EPComma"/>
    <w:basedOn w:val="Normal"/>
    <w:rsid w:val="00675EE0"/>
    <w:pPr>
      <w:spacing w:before="480" w:after="240"/>
    </w:pPr>
  </w:style>
  <w:style w:type="character" w:styleId="Hyperlink">
    <w:name w:val="Hyperlink"/>
    <w:unhideWhenUsed/>
    <w:rsid w:val="00675EE0"/>
    <w:rPr>
      <w:color w:val="0000FF"/>
      <w:u w:val="single"/>
    </w:rPr>
  </w:style>
  <w:style w:type="character" w:customStyle="1" w:styleId="NormalHanging12aChar">
    <w:name w:val="NormalHanging12a Char"/>
    <w:basedOn w:val="DefaultParagraphFont"/>
    <w:link w:val="NormalHanging12a"/>
    <w:locked/>
    <w:rsid w:val="00675EE0"/>
    <w:rPr>
      <w:sz w:val="24"/>
      <w:lang w:val="fi-FI"/>
    </w:rPr>
  </w:style>
  <w:style w:type="paragraph" w:styleId="Footer">
    <w:name w:val="footer"/>
    <w:basedOn w:val="Normal"/>
    <w:link w:val="FooterChar"/>
    <w:rsid w:val="00A504DB"/>
    <w:pPr>
      <w:tabs>
        <w:tab w:val="center" w:pos="4513"/>
        <w:tab w:val="right" w:pos="9026"/>
      </w:tabs>
    </w:pPr>
  </w:style>
  <w:style w:type="character" w:customStyle="1" w:styleId="FooterChar">
    <w:name w:val="Footer Char"/>
    <w:basedOn w:val="DefaultParagraphFont"/>
    <w:link w:val="Footer"/>
    <w:rsid w:val="00A504D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3E4F4-20EB-45D3-814F-00CC99A55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2884</Words>
  <Characters>25348</Characters>
  <Application>Microsoft Office Word</Application>
  <DocSecurity>0</DocSecurity>
  <Lines>211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2024-01-17T11:48:00Z</dcterms:created>
  <dcterms:modified xsi:type="dcterms:W3CDTF">2024-01-17T11:48:00Z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A9-0429/2023</vt:lpwstr>
  </property>
  <property fmtid="{D5CDD505-2E9C-101B-9397-08002B2CF9AE}" pid="4" name="&lt;Type&gt;">
    <vt:lpwstr>RR</vt:lpwstr>
  </property>
</Properties>
</file>