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3C5D" w:rsidTr="0010095E">
        <w:trPr>
          <w:trHeight w:hRule="exact" w:val="1418"/>
        </w:trPr>
        <w:tc>
          <w:tcPr>
            <w:tcW w:w="6804" w:type="dxa"/>
            <w:shd w:val="clear" w:color="auto" w:fill="auto"/>
            <w:vAlign w:val="center"/>
          </w:tcPr>
          <w:p w:rsidR="00751A4A" w:rsidRPr="006B3C5D" w:rsidRDefault="00864E3A" w:rsidP="0010095E">
            <w:pPr>
              <w:pStyle w:val="EPName"/>
            </w:pPr>
            <w:bookmarkStart w:id="0" w:name="_GoBack"/>
            <w:bookmarkEnd w:id="0"/>
            <w:r w:rsidRPr="006B3C5D">
              <w:t>Eiropas Parlaments</w:t>
            </w:r>
          </w:p>
          <w:p w:rsidR="00751A4A" w:rsidRPr="006B3C5D" w:rsidRDefault="00817416" w:rsidP="00756632">
            <w:pPr>
              <w:pStyle w:val="EPTerm"/>
              <w:rPr>
                <w:rStyle w:val="HideTWBExt"/>
                <w:noProof w:val="0"/>
                <w:vanish w:val="0"/>
                <w:color w:val="auto"/>
              </w:rPr>
            </w:pPr>
            <w:r w:rsidRPr="006B3C5D">
              <w:t>2019-2024</w:t>
            </w:r>
          </w:p>
        </w:tc>
        <w:tc>
          <w:tcPr>
            <w:tcW w:w="2268" w:type="dxa"/>
            <w:shd w:val="clear" w:color="auto" w:fill="auto"/>
          </w:tcPr>
          <w:p w:rsidR="00751A4A" w:rsidRPr="006B3C5D" w:rsidRDefault="00187494" w:rsidP="0010095E">
            <w:pPr>
              <w:pStyle w:val="EPLogo"/>
            </w:pPr>
            <w:r w:rsidRPr="006B3C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3C5D" w:rsidRDefault="00D058B8" w:rsidP="004C5D52">
      <w:pPr>
        <w:pStyle w:val="LineTop"/>
      </w:pPr>
    </w:p>
    <w:p w:rsidR="00680577" w:rsidRPr="006B3C5D" w:rsidRDefault="00864E3A" w:rsidP="00680577">
      <w:pPr>
        <w:pStyle w:val="EPBodyTA1"/>
      </w:pPr>
      <w:r w:rsidRPr="006B3C5D">
        <w:t>PIEŅEMTIE TEKSTI</w:t>
      </w:r>
    </w:p>
    <w:p w:rsidR="00D058B8" w:rsidRPr="006B3C5D" w:rsidRDefault="00D058B8" w:rsidP="00D058B8">
      <w:pPr>
        <w:pStyle w:val="LineBottom"/>
      </w:pPr>
    </w:p>
    <w:p w:rsidR="00864E3A" w:rsidRPr="006B3C5D" w:rsidRDefault="00864E3A" w:rsidP="00864E3A">
      <w:pPr>
        <w:pStyle w:val="ATHeading1"/>
      </w:pPr>
      <w:bookmarkStart w:id="1" w:name="TANumber"/>
      <w:r w:rsidRPr="006B3C5D">
        <w:t>P9_TA(2024)00</w:t>
      </w:r>
      <w:bookmarkEnd w:id="1"/>
      <w:r w:rsidR="006B3C5D" w:rsidRPr="006B3C5D">
        <w:t>23</w:t>
      </w:r>
    </w:p>
    <w:p w:rsidR="00864E3A" w:rsidRPr="006B3C5D" w:rsidRDefault="00864E3A" w:rsidP="00864E3A">
      <w:pPr>
        <w:pStyle w:val="ATHeading2"/>
      </w:pPr>
      <w:bookmarkStart w:id="2" w:name="title"/>
      <w:r w:rsidRPr="006B3C5D">
        <w:t>Līguma noteikumu par valstu parlamentiem īstenošana</w:t>
      </w:r>
      <w:bookmarkEnd w:id="2"/>
    </w:p>
    <w:p w:rsidR="00864E3A" w:rsidRPr="006B3C5D" w:rsidRDefault="00864E3A" w:rsidP="00864E3A">
      <w:pPr>
        <w:rPr>
          <w:i/>
          <w:vanish/>
        </w:rPr>
      </w:pPr>
      <w:r w:rsidRPr="006B3C5D">
        <w:rPr>
          <w:i/>
        </w:rPr>
        <w:fldChar w:fldCharType="begin"/>
      </w:r>
      <w:r w:rsidRPr="006B3C5D">
        <w:rPr>
          <w:i/>
        </w:rPr>
        <w:instrText xml:space="preserve"> TC"(</w:instrText>
      </w:r>
      <w:bookmarkStart w:id="3" w:name="DocNumber"/>
      <w:r w:rsidRPr="006B3C5D">
        <w:rPr>
          <w:i/>
        </w:rPr>
        <w:instrText>A9-0429/2023</w:instrText>
      </w:r>
      <w:bookmarkEnd w:id="3"/>
      <w:r w:rsidRPr="006B3C5D">
        <w:rPr>
          <w:i/>
        </w:rPr>
        <w:instrText xml:space="preserve"> - Referents: </w:instrText>
      </w:r>
      <w:proofErr w:type="spellStart"/>
      <w:r w:rsidRPr="006B3C5D">
        <w:rPr>
          <w:i/>
        </w:rPr>
        <w:instrText>Paulo</w:instrText>
      </w:r>
      <w:proofErr w:type="spellEnd"/>
      <w:r w:rsidRPr="006B3C5D">
        <w:rPr>
          <w:i/>
        </w:rPr>
        <w:instrText xml:space="preserve"> </w:instrText>
      </w:r>
      <w:proofErr w:type="spellStart"/>
      <w:r w:rsidRPr="006B3C5D">
        <w:rPr>
          <w:i/>
        </w:rPr>
        <w:instrText>Rangel</w:instrText>
      </w:r>
      <w:proofErr w:type="spellEnd"/>
      <w:r w:rsidRPr="006B3C5D">
        <w:rPr>
          <w:i/>
        </w:rPr>
        <w:instrText xml:space="preserve">)"\l3 \n&gt; \* MERGEFORMAT </w:instrText>
      </w:r>
      <w:r w:rsidRPr="006B3C5D">
        <w:rPr>
          <w:i/>
        </w:rPr>
        <w:fldChar w:fldCharType="end"/>
      </w:r>
    </w:p>
    <w:p w:rsidR="00864E3A" w:rsidRPr="006B3C5D" w:rsidRDefault="00864E3A" w:rsidP="00864E3A">
      <w:pPr>
        <w:rPr>
          <w:vanish/>
        </w:rPr>
      </w:pPr>
      <w:bookmarkStart w:id="4" w:name="Commission"/>
      <w:r w:rsidRPr="006B3C5D">
        <w:rPr>
          <w:vanish/>
        </w:rPr>
        <w:t>Konstitucionālo jautājumu komiteja</w:t>
      </w:r>
      <w:bookmarkEnd w:id="4"/>
    </w:p>
    <w:p w:rsidR="00864E3A" w:rsidRPr="006B3C5D" w:rsidRDefault="00864E3A" w:rsidP="00864E3A">
      <w:pPr>
        <w:rPr>
          <w:vanish/>
        </w:rPr>
      </w:pPr>
      <w:bookmarkStart w:id="5" w:name="PE"/>
      <w:r w:rsidRPr="006B3C5D">
        <w:rPr>
          <w:vanish/>
        </w:rPr>
        <w:t>PE752.837</w:t>
      </w:r>
      <w:bookmarkEnd w:id="5"/>
    </w:p>
    <w:p w:rsidR="00932485" w:rsidRPr="006B3C5D" w:rsidRDefault="00864E3A" w:rsidP="00B34CD9">
      <w:pPr>
        <w:pStyle w:val="ATHeading3"/>
      </w:pPr>
      <w:bookmarkStart w:id="6" w:name="Sujet"/>
      <w:r w:rsidRPr="006B3C5D">
        <w:t xml:space="preserve">Eiropas Parlamenta 2024. gada </w:t>
      </w:r>
      <w:r w:rsidR="00B34CD9" w:rsidRPr="006B3C5D">
        <w:t>17</w:t>
      </w:r>
      <w:r w:rsidRPr="006B3C5D">
        <w:t xml:space="preserve">. </w:t>
      </w:r>
      <w:r w:rsidR="00B34CD9" w:rsidRPr="006B3C5D">
        <w:t>janvāra</w:t>
      </w:r>
      <w:r w:rsidRPr="006B3C5D">
        <w:t xml:space="preserve"> rezolūcija par Līguma noteikumu par valstu parlamentiem īstenošanu</w:t>
      </w:r>
      <w:bookmarkEnd w:id="6"/>
      <w:r w:rsidRPr="006B3C5D">
        <w:t xml:space="preserve"> </w:t>
      </w:r>
      <w:bookmarkStart w:id="7" w:name="References"/>
      <w:r w:rsidRPr="006B3C5D">
        <w:t>(2023/2084(INI))</w:t>
      </w:r>
      <w:bookmarkStart w:id="8" w:name="TextBodyBegin"/>
      <w:bookmarkEnd w:id="7"/>
      <w:bookmarkEnd w:id="8"/>
    </w:p>
    <w:p w:rsidR="00932485" w:rsidRPr="006B3C5D" w:rsidRDefault="00932485" w:rsidP="00932485">
      <w:pPr>
        <w:pStyle w:val="EPComma"/>
      </w:pPr>
      <w:r w:rsidRPr="006B3C5D">
        <w:rPr>
          <w:i/>
        </w:rPr>
        <w:t>Eiropas Parlaments</w:t>
      </w:r>
      <w:r w:rsidRPr="006B3C5D">
        <w:t>,</w:t>
      </w:r>
    </w:p>
    <w:p w:rsidR="00932485" w:rsidRPr="006B3C5D" w:rsidRDefault="00932485" w:rsidP="00932485">
      <w:pPr>
        <w:pStyle w:val="NormalHanging12a"/>
      </w:pPr>
      <w:r w:rsidRPr="006B3C5D">
        <w:t>–</w:t>
      </w:r>
      <w:r w:rsidRPr="006B3C5D">
        <w:tab/>
        <w:t>ņemot vērā Līgumu par Eiropas Savienību (LES), jo īpaši tā 5. pantu par kompetences piešķiršanas principu un subsidiaritāti, 10. panta 1. punktu par pārstāvības demokrātiju, 10. panta 2. punktu par ES pilsoņu pārstāvēšanu, 10. panta 3. punktu par ES pilsoņu tiesībām līdzdarboties Savienības demokrātiskajā dzīvē, 10. panta 4. punktu par Eiropas politisko partiju lomu, 11. pantu par līdzdalības demokrātiju, 12. pantu par valstu parlamentu lomu, 48. panta 3. punktu par parasto pārskatīšanas procedūru un 48. panta 7. punktu (pārejas klauzula),</w:t>
      </w:r>
    </w:p>
    <w:p w:rsidR="00932485" w:rsidRPr="006B3C5D" w:rsidRDefault="00932485" w:rsidP="00932485">
      <w:pPr>
        <w:pStyle w:val="NormalHanging12a"/>
      </w:pPr>
      <w:r w:rsidRPr="006B3C5D">
        <w:t>–</w:t>
      </w:r>
      <w:r w:rsidRPr="006B3C5D">
        <w:tab/>
        <w:t>ņemot vērā Amsterdamas līgumam pievienoto Protokolu Nr. 1 par valstu parlamentu lomu Eiropas Savienībā</w:t>
      </w:r>
      <w:r w:rsidRPr="006B3C5D">
        <w:rPr>
          <w:rStyle w:val="FootnoteReference"/>
        </w:rPr>
        <w:footnoteReference w:id="1"/>
      </w:r>
      <w:r w:rsidRPr="006B3C5D">
        <w:t xml:space="preserve"> un Lisabonas līgumam pievienoto Protokolu Nr. 2 par subsidiaritātes un proporcionalitātes principu piemērošanu</w:t>
      </w:r>
      <w:r w:rsidRPr="006B3C5D">
        <w:rPr>
          <w:rStyle w:val="FootnoteReference"/>
        </w:rPr>
        <w:footnoteReference w:id="2"/>
      </w:r>
      <w:r w:rsidRPr="006B3C5D">
        <w:t>,</w:t>
      </w:r>
    </w:p>
    <w:p w:rsidR="00932485" w:rsidRPr="006B3C5D" w:rsidRDefault="00932485" w:rsidP="00932485">
      <w:pPr>
        <w:pStyle w:val="NormalHanging12a"/>
      </w:pPr>
      <w:r w:rsidRPr="006B3C5D">
        <w:t>–</w:t>
      </w:r>
      <w:r w:rsidRPr="006B3C5D">
        <w:tab/>
        <w:t xml:space="preserve">ņemot vērā Līguma par Eiropas Savienības darbību (LESD) 15. pantu un Eiropas Savienības </w:t>
      </w:r>
      <w:proofErr w:type="spellStart"/>
      <w:r w:rsidRPr="006B3C5D">
        <w:t>Pamattiesību</w:t>
      </w:r>
      <w:proofErr w:type="spellEnd"/>
      <w:r w:rsidRPr="006B3C5D">
        <w:t xml:space="preserve"> hartas 41. un 42. pantu,</w:t>
      </w:r>
    </w:p>
    <w:p w:rsidR="00932485" w:rsidRPr="006B3C5D" w:rsidRDefault="00932485" w:rsidP="00932485">
      <w:pPr>
        <w:pStyle w:val="NormalHanging12a"/>
      </w:pPr>
      <w:r w:rsidRPr="006B3C5D">
        <w:t>–</w:t>
      </w:r>
      <w:r w:rsidRPr="006B3C5D">
        <w:tab/>
        <w:t>ņemot vērā 2009. gada 7. maija rezolūciju par Eiropas Parlamenta un dalībvalstu parlamentu attiecību veicināšanu saskaņā ar Lisabonas līgumu</w:t>
      </w:r>
      <w:r w:rsidRPr="006B3C5D">
        <w:rPr>
          <w:vertAlign w:val="superscript"/>
        </w:rPr>
        <w:footnoteReference w:id="3"/>
      </w:r>
      <w:r w:rsidRPr="006B3C5D">
        <w:t>, 2014. gada 16. aprīļa rezolūciju par Eiropas Parlamenta attiecībām ar dalībvalstu parlamentiem</w:t>
      </w:r>
      <w:r w:rsidRPr="006B3C5D">
        <w:rPr>
          <w:vertAlign w:val="superscript"/>
        </w:rPr>
        <w:footnoteReference w:id="4"/>
      </w:r>
      <w:r w:rsidRPr="006B3C5D">
        <w:t xml:space="preserve"> un 2018. gada 19. aprīļa rezolūciju par Līguma noteikumu par dalībvalstu parlamentiem īstenošanu</w:t>
      </w:r>
      <w:r w:rsidRPr="006B3C5D">
        <w:rPr>
          <w:vertAlign w:val="superscript"/>
        </w:rPr>
        <w:footnoteReference w:id="5"/>
      </w:r>
      <w:r w:rsidRPr="006B3C5D">
        <w:t xml:space="preserve">, </w:t>
      </w:r>
    </w:p>
    <w:p w:rsidR="00932485" w:rsidRPr="006B3C5D" w:rsidRDefault="00932485" w:rsidP="00932485">
      <w:pPr>
        <w:pStyle w:val="NormalHanging12a"/>
      </w:pPr>
      <w:r w:rsidRPr="006B3C5D">
        <w:t>–</w:t>
      </w:r>
      <w:r w:rsidRPr="006B3C5D">
        <w:tab/>
        <w:t>ņemot vērā priekšlikumu Eiropas Parlamenta un Padomes regulai par Eiropas politisko partiju un Eiropas politisko fondu statusu un finansēšanu (COM(2021)0734),</w:t>
      </w:r>
    </w:p>
    <w:p w:rsidR="00932485" w:rsidRPr="006B3C5D" w:rsidRDefault="00932485" w:rsidP="00932485">
      <w:pPr>
        <w:pStyle w:val="NormalHanging12a"/>
      </w:pPr>
      <w:r w:rsidRPr="006B3C5D">
        <w:lastRenderedPageBreak/>
        <w:t>–</w:t>
      </w:r>
      <w:r w:rsidRPr="006B3C5D">
        <w:tab/>
        <w:t>ņemot vērā Komisijas 2019. gada 11. jūlijā publicēto 2018. gada ziņojumu par subsidiaritātes principa un proporcionalitātes principa piemērošanu un par attiecībām ar valstu parlamentiem (COM(2019)0333), 2020. gada 30. jūnijā publicēto 2019. gada ziņojumu (COM(2020)0272), 2021. gada 23. jūlijā publicēto 2020. gada ziņojumu (COM(2021)0417) un 2022. gada 1. augustā publicēto 2021. gada ziņojumu (COM(2022)0366),</w:t>
      </w:r>
    </w:p>
    <w:p w:rsidR="00932485" w:rsidRPr="006B3C5D" w:rsidRDefault="00932485" w:rsidP="00932485">
      <w:pPr>
        <w:pStyle w:val="NormalHanging12a"/>
      </w:pPr>
      <w:r w:rsidRPr="006B3C5D">
        <w:t>–</w:t>
      </w:r>
      <w:r w:rsidRPr="006B3C5D">
        <w:tab/>
        <w:t>ņemot vērā Eiropas Parlamenta Direktorāta attiecībām ar valstu parlamentiem gada ziņojumus, jo īpaši 2022. gada ziņojumu par attiecībām starp Eiropas Parlamentu un dalībvalstu parlamentiem,</w:t>
      </w:r>
    </w:p>
    <w:p w:rsidR="00932485" w:rsidRPr="006B3C5D" w:rsidRDefault="00932485" w:rsidP="00932485">
      <w:pPr>
        <w:pStyle w:val="NormalHanging12a"/>
      </w:pPr>
      <w:r w:rsidRPr="006B3C5D">
        <w:t>–</w:t>
      </w:r>
      <w:r w:rsidRPr="006B3C5D">
        <w:tab/>
        <w:t>ņemot vērā 2021. gada 20. janvāra rezolūciju par Eiropas Savienības tiesību aktu piemērošanas pārraudzību 2017., 2018. un 2019. gadā</w:t>
      </w:r>
      <w:r w:rsidRPr="006B3C5D">
        <w:rPr>
          <w:vertAlign w:val="superscript"/>
        </w:rPr>
        <w:footnoteReference w:id="6"/>
      </w:r>
      <w:r w:rsidRPr="006B3C5D">
        <w:t xml:space="preserve"> un 2022. gada 19. maija rezolūciju par Komisijas 2021. gada ziņojumu par tiesiskumu</w:t>
      </w:r>
      <w:r w:rsidRPr="006B3C5D">
        <w:rPr>
          <w:vertAlign w:val="superscript"/>
        </w:rPr>
        <w:footnoteReference w:id="7"/>
      </w:r>
      <w:r w:rsidRPr="006B3C5D">
        <w:t>,</w:t>
      </w:r>
    </w:p>
    <w:p w:rsidR="00932485" w:rsidRPr="006B3C5D" w:rsidRDefault="00932485" w:rsidP="00932485">
      <w:pPr>
        <w:pStyle w:val="NormalHanging12a"/>
      </w:pPr>
      <w:r w:rsidRPr="006B3C5D">
        <w:t>–</w:t>
      </w:r>
      <w:r w:rsidRPr="006B3C5D">
        <w:tab/>
        <w:t>ņemot vērā 2021. gada 24. jūnija rezolūciju par Eiropas Savienības tiesību aktu normatīvo atbilstību, subsidiaritāti un proporcionalitāti — ziņojums par labāku likumdošanas procesu (2017., 2018. un 2019. gads)</w:t>
      </w:r>
      <w:r w:rsidRPr="006B3C5D">
        <w:rPr>
          <w:vertAlign w:val="superscript"/>
        </w:rPr>
        <w:footnoteReference w:id="8"/>
      </w:r>
      <w:r w:rsidRPr="006B3C5D">
        <w:t>,</w:t>
      </w:r>
    </w:p>
    <w:p w:rsidR="00932485" w:rsidRPr="006B3C5D" w:rsidRDefault="00932485" w:rsidP="00932485">
      <w:pPr>
        <w:pStyle w:val="NormalHanging12a"/>
      </w:pPr>
      <w:r w:rsidRPr="006B3C5D">
        <w:t>–</w:t>
      </w:r>
      <w:r w:rsidRPr="006B3C5D">
        <w:tab/>
        <w:t>ņemot vērā Subsidiaritātes, proporcionalitātes un scenārija “Darīt mazāk, bet efektīvāk” jautājumu darba grupas 2018. gada 10. jūlija ziņojumu “</w:t>
      </w:r>
      <w:proofErr w:type="spellStart"/>
      <w:r w:rsidRPr="006B3C5D">
        <w:rPr>
          <w:i/>
          <w:iCs/>
        </w:rPr>
        <w:t>Active</w:t>
      </w:r>
      <w:proofErr w:type="spellEnd"/>
      <w:r w:rsidRPr="006B3C5D">
        <w:rPr>
          <w:i/>
          <w:iCs/>
        </w:rPr>
        <w:t xml:space="preserve"> </w:t>
      </w:r>
      <w:proofErr w:type="spellStart"/>
      <w:r w:rsidRPr="006B3C5D">
        <w:rPr>
          <w:i/>
          <w:iCs/>
        </w:rPr>
        <w:t>subsidiarity</w:t>
      </w:r>
      <w:proofErr w:type="spellEnd"/>
      <w:r w:rsidRPr="006B3C5D">
        <w:rPr>
          <w:i/>
          <w:iCs/>
        </w:rPr>
        <w:t xml:space="preserve"> – a </w:t>
      </w:r>
      <w:proofErr w:type="spellStart"/>
      <w:r w:rsidRPr="006B3C5D">
        <w:rPr>
          <w:i/>
          <w:iCs/>
        </w:rPr>
        <w:t>new</w:t>
      </w:r>
      <w:proofErr w:type="spellEnd"/>
      <w:r w:rsidRPr="006B3C5D">
        <w:rPr>
          <w:i/>
          <w:iCs/>
        </w:rPr>
        <w:t xml:space="preserve"> </w:t>
      </w:r>
      <w:proofErr w:type="spellStart"/>
      <w:r w:rsidRPr="006B3C5D">
        <w:rPr>
          <w:i/>
          <w:iCs/>
        </w:rPr>
        <w:t>way</w:t>
      </w:r>
      <w:proofErr w:type="spellEnd"/>
      <w:r w:rsidRPr="006B3C5D">
        <w:rPr>
          <w:i/>
          <w:iCs/>
        </w:rPr>
        <w:t xml:space="preserve"> </w:t>
      </w:r>
      <w:proofErr w:type="spellStart"/>
      <w:r w:rsidRPr="006B3C5D">
        <w:rPr>
          <w:i/>
          <w:iCs/>
        </w:rPr>
        <w:t>of</w:t>
      </w:r>
      <w:proofErr w:type="spellEnd"/>
      <w:r w:rsidRPr="006B3C5D">
        <w:rPr>
          <w:i/>
          <w:iCs/>
        </w:rPr>
        <w:t xml:space="preserve"> </w:t>
      </w:r>
      <w:proofErr w:type="spellStart"/>
      <w:r w:rsidRPr="006B3C5D">
        <w:rPr>
          <w:i/>
          <w:iCs/>
        </w:rPr>
        <w:t>working</w:t>
      </w:r>
      <w:proofErr w:type="spellEnd"/>
      <w:r w:rsidRPr="006B3C5D">
        <w:t>” (“Aktīva subsidiaritāte — jauns darba veids”)</w:t>
      </w:r>
      <w:r w:rsidRPr="006B3C5D">
        <w:rPr>
          <w:vertAlign w:val="superscript"/>
        </w:rPr>
        <w:footnoteReference w:id="9"/>
      </w:r>
      <w:r w:rsidRPr="006B3C5D">
        <w:t>;</w:t>
      </w:r>
    </w:p>
    <w:p w:rsidR="00932485" w:rsidRPr="006B3C5D" w:rsidRDefault="00932485" w:rsidP="00932485">
      <w:pPr>
        <w:pStyle w:val="NormalHanging12a"/>
      </w:pPr>
      <w:r w:rsidRPr="006B3C5D">
        <w:t>–</w:t>
      </w:r>
      <w:r w:rsidRPr="006B3C5D">
        <w:tab/>
        <w:t>ņemot vērā 2020. gada 15. janvāra rezolūciju par Eiropas Parlamenta nostāju attiecībā uz konferenci par Eiropas nākotni</w:t>
      </w:r>
      <w:r w:rsidRPr="006B3C5D">
        <w:rPr>
          <w:vertAlign w:val="superscript"/>
        </w:rPr>
        <w:footnoteReference w:id="10"/>
      </w:r>
      <w:r w:rsidRPr="006B3C5D">
        <w:t xml:space="preserve"> un 2022. gada 4. maija rezolūciju par turpmākajiem pasākumiem saistībā ar konferences par Eiropas nākotni secinājumiem</w:t>
      </w:r>
      <w:r w:rsidRPr="006B3C5D">
        <w:rPr>
          <w:vertAlign w:val="superscript"/>
        </w:rPr>
        <w:footnoteReference w:id="11"/>
      </w:r>
      <w:r w:rsidRPr="006B3C5D">
        <w:t>,</w:t>
      </w:r>
    </w:p>
    <w:p w:rsidR="00932485" w:rsidRPr="006B3C5D" w:rsidRDefault="00932485" w:rsidP="00932485">
      <w:pPr>
        <w:pStyle w:val="NormalHanging12a"/>
      </w:pPr>
      <w:r w:rsidRPr="006B3C5D">
        <w:t>–</w:t>
      </w:r>
      <w:r w:rsidRPr="006B3C5D">
        <w:tab/>
        <w:t>ņemot vērā 2022. gada 9. jūnija rezolūciju par aicinājumu sasaukt konventu, lai grozītu Līgumus</w:t>
      </w:r>
      <w:r w:rsidRPr="006B3C5D">
        <w:rPr>
          <w:vertAlign w:val="superscript"/>
        </w:rPr>
        <w:footnoteReference w:id="12"/>
      </w:r>
      <w:r w:rsidRPr="006B3C5D">
        <w:t>,</w:t>
      </w:r>
    </w:p>
    <w:p w:rsidR="00932485" w:rsidRPr="006B3C5D" w:rsidRDefault="00932485" w:rsidP="00932485">
      <w:pPr>
        <w:pStyle w:val="NormalHanging12a"/>
      </w:pPr>
      <w:r w:rsidRPr="006B3C5D">
        <w:t>–</w:t>
      </w:r>
      <w:r w:rsidRPr="006B3C5D">
        <w:tab/>
        <w:t>ņemot vērā 2023. gada 22. novembra rezolūciju par Eiropas Parlamenta priekšlikumiem attiecībā uz Līgumu grozīšanu</w:t>
      </w:r>
      <w:r w:rsidRPr="006B3C5D">
        <w:rPr>
          <w:rStyle w:val="FootnoteReference"/>
        </w:rPr>
        <w:footnoteReference w:id="13"/>
      </w:r>
      <w:r w:rsidRPr="006B3C5D">
        <w:t>,</w:t>
      </w:r>
    </w:p>
    <w:p w:rsidR="00932485" w:rsidRPr="006B3C5D" w:rsidRDefault="00932485" w:rsidP="00932485">
      <w:pPr>
        <w:pStyle w:val="NormalHanging12a"/>
      </w:pPr>
      <w:r w:rsidRPr="006B3C5D">
        <w:t>–</w:t>
      </w:r>
      <w:r w:rsidRPr="006B3C5D">
        <w:tab/>
        <w:t>ņemot vērā Līguma par stabilitāti, koordināciju un pārvaldību ekonomiskajā un monetārajā savienībā (LSKP) 13. pantu, kurā paredzēts organizēt starpparlamentu konferences, lai apspriestu budžeta politiku un citus jautājumus, uz ko attiecas Līgums,</w:t>
      </w:r>
    </w:p>
    <w:p w:rsidR="00932485" w:rsidRPr="006B3C5D" w:rsidRDefault="00932485" w:rsidP="00932485">
      <w:pPr>
        <w:pStyle w:val="NormalHanging12a"/>
      </w:pPr>
      <w:r w:rsidRPr="006B3C5D">
        <w:t>–</w:t>
      </w:r>
      <w:r w:rsidRPr="006B3C5D">
        <w:tab/>
        <w:t>ņemot vērā 2023. gada 15. marta rezolūciju par Eiropas ekonomikas politikas koordinēšanas pusgadu</w:t>
      </w:r>
      <w:r w:rsidRPr="006B3C5D">
        <w:rPr>
          <w:vertAlign w:val="superscript"/>
        </w:rPr>
        <w:footnoteReference w:id="14"/>
      </w:r>
      <w:r w:rsidRPr="006B3C5D">
        <w:t>,</w:t>
      </w:r>
    </w:p>
    <w:p w:rsidR="00932485" w:rsidRPr="006B3C5D" w:rsidRDefault="00932485" w:rsidP="00932485">
      <w:pPr>
        <w:pStyle w:val="NormalHanging12a"/>
      </w:pPr>
      <w:r w:rsidRPr="006B3C5D">
        <w:lastRenderedPageBreak/>
        <w:t>–</w:t>
      </w:r>
      <w:r w:rsidRPr="006B3C5D">
        <w:tab/>
        <w:t>ņemot vērā prezidentūras secinājumus pēc Eiropas Savienības parlamentu priekšsēdētāju konferences, kas notika Prāgā 2023. gada 24. un 25. aprīlī</w:t>
      </w:r>
      <w:r w:rsidRPr="006B3C5D">
        <w:rPr>
          <w:vertAlign w:val="superscript"/>
        </w:rPr>
        <w:footnoteReference w:id="15"/>
      </w:r>
      <w:r w:rsidRPr="006B3C5D">
        <w:t>,</w:t>
      </w:r>
    </w:p>
    <w:p w:rsidR="00932485" w:rsidRPr="006B3C5D" w:rsidRDefault="00932485" w:rsidP="00932485">
      <w:pPr>
        <w:pStyle w:val="NormalHanging12a"/>
      </w:pPr>
      <w:r w:rsidRPr="006B3C5D">
        <w:t>–</w:t>
      </w:r>
      <w:r w:rsidRPr="006B3C5D">
        <w:tab/>
        <w:t>ņemot vērā 2023. gada 14.–16. maijā Stokholmā notikušās LXIX Eiropas lietu komiteju konferences (</w:t>
      </w:r>
      <w:r w:rsidRPr="006B3C5D">
        <w:rPr>
          <w:i/>
          <w:iCs/>
        </w:rPr>
        <w:t>COSAC</w:t>
      </w:r>
      <w:r w:rsidRPr="006B3C5D">
        <w:t>) plenārsēdes secinājumus</w:t>
      </w:r>
      <w:r w:rsidRPr="006B3C5D">
        <w:rPr>
          <w:vertAlign w:val="superscript"/>
        </w:rPr>
        <w:footnoteReference w:id="16"/>
      </w:r>
      <w:r w:rsidRPr="006B3C5D">
        <w:t>,</w:t>
      </w:r>
    </w:p>
    <w:p w:rsidR="00932485" w:rsidRPr="006B3C5D" w:rsidRDefault="00932485" w:rsidP="00932485">
      <w:pPr>
        <w:pStyle w:val="NormalHanging12a"/>
        <w:rPr>
          <w:i/>
        </w:rPr>
      </w:pPr>
      <w:r w:rsidRPr="006B3C5D">
        <w:t>–</w:t>
      </w:r>
      <w:r w:rsidRPr="006B3C5D">
        <w:tab/>
        <w:t>ņemot vērā 2023. gada 30. jūnijā un 1. jūlijā Leonā notikušajā Konferencē par godu Starptautiskajai parlamentārisma dienai pieņemto Leonas deklarāciju par parlamentārismu “</w:t>
      </w:r>
      <w:proofErr w:type="spellStart"/>
      <w:r w:rsidRPr="006B3C5D">
        <w:rPr>
          <w:i/>
          <w:iCs/>
        </w:rPr>
        <w:t>Strengthening</w:t>
      </w:r>
      <w:proofErr w:type="spellEnd"/>
      <w:r w:rsidRPr="006B3C5D">
        <w:rPr>
          <w:i/>
          <w:iCs/>
        </w:rPr>
        <w:t xml:space="preserve"> </w:t>
      </w:r>
      <w:proofErr w:type="spellStart"/>
      <w:r w:rsidRPr="006B3C5D">
        <w:rPr>
          <w:i/>
          <w:iCs/>
        </w:rPr>
        <w:t>Parliaments</w:t>
      </w:r>
      <w:proofErr w:type="spellEnd"/>
      <w:r w:rsidRPr="006B3C5D">
        <w:rPr>
          <w:i/>
          <w:iCs/>
        </w:rPr>
        <w:t xml:space="preserve"> to </w:t>
      </w:r>
      <w:proofErr w:type="spellStart"/>
      <w:r w:rsidRPr="006B3C5D">
        <w:rPr>
          <w:i/>
          <w:iCs/>
        </w:rPr>
        <w:t>Enhance</w:t>
      </w:r>
      <w:proofErr w:type="spellEnd"/>
      <w:r w:rsidRPr="006B3C5D">
        <w:rPr>
          <w:i/>
          <w:iCs/>
        </w:rPr>
        <w:t xml:space="preserve"> </w:t>
      </w:r>
      <w:proofErr w:type="spellStart"/>
      <w:r w:rsidRPr="006B3C5D">
        <w:rPr>
          <w:i/>
          <w:iCs/>
        </w:rPr>
        <w:t>Democracy</w:t>
      </w:r>
      <w:proofErr w:type="spellEnd"/>
      <w:r w:rsidRPr="006B3C5D">
        <w:t>” (“Parlamentu stiprināšana nolūkā veicināt demokrātiju”)</w:t>
      </w:r>
      <w:r w:rsidRPr="006B3C5D">
        <w:rPr>
          <w:vertAlign w:val="superscript"/>
        </w:rPr>
        <w:footnoteReference w:id="17"/>
      </w:r>
      <w:r w:rsidRPr="006B3C5D">
        <w:t>,</w:t>
      </w:r>
    </w:p>
    <w:p w:rsidR="00932485" w:rsidRPr="006B3C5D" w:rsidRDefault="00932485" w:rsidP="00932485">
      <w:pPr>
        <w:pStyle w:val="NormalHanging12a"/>
      </w:pPr>
      <w:r w:rsidRPr="006B3C5D">
        <w:t>–</w:t>
      </w:r>
      <w:r w:rsidRPr="006B3C5D">
        <w:tab/>
        <w:t>ņemot vērā Reglamenta 54. pantu, kā arī 1. panta 1. punkta e) apakšpunktu un 3. pielikumu Priekšsēdētāju konferences 2002. gada 12. decembra lēmumā par procedūru patstāvīgo ziņojumu sagatavošanas atļaujas piešķiršanai,</w:t>
      </w:r>
    </w:p>
    <w:p w:rsidR="00932485" w:rsidRPr="006B3C5D" w:rsidRDefault="00932485" w:rsidP="00932485">
      <w:pPr>
        <w:pStyle w:val="NormalHanging12a"/>
      </w:pPr>
      <w:r w:rsidRPr="006B3C5D">
        <w:t>–</w:t>
      </w:r>
      <w:r w:rsidRPr="006B3C5D">
        <w:tab/>
        <w:t>ņemot vērā Konstitucionālo jautājumu komitejas ziņojumu (A9-0429/2023),</w:t>
      </w:r>
    </w:p>
    <w:p w:rsidR="00932485" w:rsidRPr="006B3C5D" w:rsidRDefault="00932485" w:rsidP="00932485">
      <w:pPr>
        <w:pStyle w:val="NormalHanging12a"/>
      </w:pPr>
      <w:r w:rsidRPr="006B3C5D">
        <w:t>A.</w:t>
      </w:r>
      <w:r w:rsidRPr="006B3C5D">
        <w:tab/>
        <w:t xml:space="preserve">tā kā valstu parlamentu aktīvai līdzdalībai Eiropas lietās un pastiprinātai kontrolei pār valstu valdībām ir būtiska nozīme ES institucionālās sistēmas demokrātiskās </w:t>
      </w:r>
      <w:proofErr w:type="spellStart"/>
      <w:r w:rsidRPr="006B3C5D">
        <w:t>pārskatatbildības</w:t>
      </w:r>
      <w:proofErr w:type="spellEnd"/>
      <w:r w:rsidRPr="006B3C5D">
        <w:t xml:space="preserve"> un leģitimitātes nodrošināšanā;</w:t>
      </w:r>
    </w:p>
    <w:p w:rsidR="00932485" w:rsidRPr="006B3C5D" w:rsidRDefault="00932485" w:rsidP="00932485">
      <w:pPr>
        <w:pStyle w:val="NormalHanging12a"/>
      </w:pPr>
      <w:r w:rsidRPr="006B3C5D">
        <w:t>B.</w:t>
      </w:r>
      <w:r w:rsidRPr="006B3C5D">
        <w:tab/>
        <w:t>tā kā valstu parlamenti “aktīvi palīdz nodrošināt Savienības sekmīgu darbību” (LES 12. pants) un kopā ar Eiropas Parlamentu tiem ir būtiska nozīme ES projekta demokrātiskās leģitimitātes stiprināšanā, iedzīvotāju uzticēšanās veicināšanā un Eiropas projekta ilgtspējas un noturības veicināšanā;</w:t>
      </w:r>
    </w:p>
    <w:p w:rsidR="00932485" w:rsidRPr="006B3C5D" w:rsidRDefault="00932485" w:rsidP="00932485">
      <w:pPr>
        <w:pStyle w:val="NormalHanging12a"/>
      </w:pPr>
      <w:r w:rsidRPr="006B3C5D">
        <w:t>C.</w:t>
      </w:r>
      <w:r w:rsidRPr="006B3C5D">
        <w:tab/>
        <w:t>tā kā pašreizējie instrumenti valstu parlamentu līdzdalībai Eiropas lietās lielā mērā nav zināmi gan lēmumu pieņēmējiem, gan sabiedrībai kopumā; tā kā jāpalielina informētība par šiem instrumentiem;</w:t>
      </w:r>
    </w:p>
    <w:p w:rsidR="00932485" w:rsidRPr="006B3C5D" w:rsidRDefault="00932485" w:rsidP="00932485">
      <w:pPr>
        <w:pStyle w:val="NormalHanging12a"/>
      </w:pPr>
      <w:r w:rsidRPr="006B3C5D">
        <w:t>D.</w:t>
      </w:r>
      <w:r w:rsidRPr="006B3C5D">
        <w:tab/>
        <w:t xml:space="preserve">tā kā valstu valdību parlamentārā </w:t>
      </w:r>
      <w:proofErr w:type="spellStart"/>
      <w:r w:rsidRPr="006B3C5D">
        <w:t>pārskatatbildība</w:t>
      </w:r>
      <w:proofErr w:type="spellEnd"/>
      <w:r w:rsidRPr="006B3C5D">
        <w:t xml:space="preserve"> un to kontrole saistībā ar Eiropas lietām, kas atkarīga no konkrētajām valstu praksēm, ir valstu parlamentu nozīmes stūrakmens pašreizējā Eiropas Līgumu struktūrā; </w:t>
      </w:r>
    </w:p>
    <w:p w:rsidR="00932485" w:rsidRPr="006B3C5D" w:rsidRDefault="00932485" w:rsidP="00932485">
      <w:pPr>
        <w:pStyle w:val="NormalHanging12a"/>
      </w:pPr>
      <w:r w:rsidRPr="006B3C5D">
        <w:t>E.</w:t>
      </w:r>
      <w:r w:rsidRPr="006B3C5D">
        <w:tab/>
        <w:t xml:space="preserve">tā kā šo </w:t>
      </w:r>
      <w:proofErr w:type="spellStart"/>
      <w:r w:rsidRPr="006B3C5D">
        <w:t>pārskatatbildību</w:t>
      </w:r>
      <w:proofErr w:type="spellEnd"/>
      <w:r w:rsidRPr="006B3C5D">
        <w:t xml:space="preserve"> un kontroli var veicināt, palielinot </w:t>
      </w:r>
      <w:proofErr w:type="spellStart"/>
      <w:r w:rsidRPr="006B3C5D">
        <w:t>pārredzamību</w:t>
      </w:r>
      <w:proofErr w:type="spellEnd"/>
      <w:r w:rsidRPr="006B3C5D">
        <w:t xml:space="preserve"> Padomē, jo īpaši attiecībā uz dalībvalstu balsošanas rezultātiem; tā kā valstu parlamentiem un Eiropas Parlamentam būtu jāpalielina spiediens uz Padomi rīkoties pārredzamāk un uzņemties lielāku atbildību visā likumdošanas procesā; tā kā turklāt piekļuve citu ES iestāžu dokumentiem ļauj valstu parlamentiem pienācīgi veikt pārbaudi;</w:t>
      </w:r>
    </w:p>
    <w:p w:rsidR="00932485" w:rsidRPr="006B3C5D" w:rsidRDefault="00932485" w:rsidP="00932485">
      <w:pPr>
        <w:pStyle w:val="NormalHanging12a"/>
      </w:pPr>
      <w:r w:rsidRPr="006B3C5D">
        <w:t>F.</w:t>
      </w:r>
      <w:r w:rsidRPr="006B3C5D">
        <w:tab/>
        <w:t xml:space="preserve">tā kā </w:t>
      </w:r>
      <w:proofErr w:type="spellStart"/>
      <w:r w:rsidRPr="006B3C5D">
        <w:t>pārredzamības</w:t>
      </w:r>
      <w:proofErr w:type="spellEnd"/>
      <w:r w:rsidRPr="006B3C5D">
        <w:t xml:space="preserve"> trūkums ES likumdošanas un lēmumu pieņemšanas procesos var apdraudēt gan valstu parlamentu prerogatīvas saskaņā ar Līgumiem un attiecīgajiem protokoliem, gan jo īpaši to lomu savu valstu valdību, kas pārstāvētas Padomē, kontrolē;</w:t>
      </w:r>
    </w:p>
    <w:p w:rsidR="00932485" w:rsidRPr="006B3C5D" w:rsidRDefault="00932485" w:rsidP="00932485">
      <w:pPr>
        <w:pStyle w:val="NormalHanging12a"/>
      </w:pPr>
      <w:r w:rsidRPr="006B3C5D">
        <w:lastRenderedPageBreak/>
        <w:t>G.</w:t>
      </w:r>
      <w:r w:rsidRPr="006B3C5D">
        <w:tab/>
        <w:t>tā kā parlamentārais plurālisms bagātina debates Eiropas līmenī un tādējādi sniedz lielu labumu Savienībai un parlamentāro minoritāšu pārstāvībai Eiropas lietās un palīdz līdzsvarot vairākumu katrā parlamentā, vienlaikus pilnībā respektējot to un atbilstoši to proporcijai; tā kā nacionālo parlamentāro minoritāšu viedokļi un pārstāvība būtu jāņem vērā ES līmenī un tie varētu būt noderīgi, cita starpā, turpmākajā ES Līgumu pārskatīšanas procesā, vienlaikus ievērojot valstu parlamentu kompetences attiecībā uz to pārstāvību;</w:t>
      </w:r>
    </w:p>
    <w:p w:rsidR="00932485" w:rsidRPr="006B3C5D" w:rsidRDefault="00932485" w:rsidP="00932485">
      <w:pPr>
        <w:pStyle w:val="NormalHanging12a"/>
      </w:pPr>
      <w:r w:rsidRPr="006B3C5D">
        <w:t>H.</w:t>
      </w:r>
      <w:r w:rsidRPr="006B3C5D">
        <w:tab/>
        <w:t>tā kā Protokolā Nr. 2 (6. pantā) ir atzīts, ka valstu parlamenti var apspriesties ar reģionālajiem parlamentiem ar likumdošanas pilnvarām, taču reģionālo parlamentu loma ir atkarīga no valstu tiesību aktiem un ļoti bieži ir tikai konsultatīva; tā kā Komisijai, Padomei, dalībvalstīm un to parlamentiem būtu jāņem vērā to reģionālo parlamentu loma, kuriem ir likumdošanas pilnvaras, un jāveicina to iesaiste, jo īpaši gadījumos, kad var tikt skartas reģionu ekskluzīvās kompetences;</w:t>
      </w:r>
    </w:p>
    <w:p w:rsidR="00932485" w:rsidRPr="006B3C5D" w:rsidRDefault="00932485" w:rsidP="00932485">
      <w:pPr>
        <w:pStyle w:val="NormalHanging12a"/>
      </w:pPr>
      <w:r w:rsidRPr="006B3C5D">
        <w:t>I.</w:t>
      </w:r>
      <w:r w:rsidRPr="006B3C5D">
        <w:tab/>
        <w:t>tā kā daudziem Reģionu komitejas locekļiem ir reģionālas vēlētas varas pilnvaras; tā kā varētu notikt debates par Reģionu komitejas lomu reģionālo parlamentu tuvināšanā vispārējam integrācijas procesam un Eiropas demokrātijas stiprināšanā;</w:t>
      </w:r>
    </w:p>
    <w:p w:rsidR="00932485" w:rsidRPr="006B3C5D" w:rsidRDefault="00932485" w:rsidP="00932485">
      <w:pPr>
        <w:pStyle w:val="NormalHanging12a"/>
      </w:pPr>
      <w:r w:rsidRPr="006B3C5D">
        <w:t>J.</w:t>
      </w:r>
      <w:r w:rsidRPr="006B3C5D">
        <w:tab/>
        <w:t>tā kā valstu parlamenti un to loma ES institucionālajā sistēmā ir aplūkota vairākos priekšlikumos, kas ietverti ziņojumā par Konferences par Eiropas nākotni (</w:t>
      </w:r>
      <w:proofErr w:type="spellStart"/>
      <w:r w:rsidRPr="006B3C5D">
        <w:rPr>
          <w:i/>
        </w:rPr>
        <w:t>CoFoE</w:t>
      </w:r>
      <w:proofErr w:type="spellEnd"/>
      <w:r w:rsidRPr="006B3C5D">
        <w:t xml:space="preserve">) galīgajiem rezultātiem; tā kā </w:t>
      </w:r>
      <w:proofErr w:type="spellStart"/>
      <w:r w:rsidRPr="006B3C5D">
        <w:rPr>
          <w:i/>
        </w:rPr>
        <w:t>CoFoE</w:t>
      </w:r>
      <w:proofErr w:type="spellEnd"/>
      <w:r w:rsidRPr="006B3C5D">
        <w:t xml:space="preserve"> pieredze liecina par auglīgo aliansi starp valstu parlamentiem un Eiropas Parlamentu;</w:t>
      </w:r>
    </w:p>
    <w:p w:rsidR="00932485" w:rsidRPr="006B3C5D" w:rsidRDefault="00932485" w:rsidP="00932485">
      <w:pPr>
        <w:pStyle w:val="NormalHanging12a"/>
      </w:pPr>
      <w:r w:rsidRPr="006B3C5D">
        <w:t>K.</w:t>
      </w:r>
      <w:r w:rsidRPr="006B3C5D">
        <w:tab/>
        <w:t>tā kā valstu parlamentiem ir nozīme jebkurā Eiropas Līgumu pārskatīšanā, jo īpaši attiecībā uz mērķi stiprināt ES parlamentāro dimensiju un demokrātisko dzīvi; tā kā Eiropas Parlaments 2022. gada 9. jūnija rezolūcijā aicināja sasaukt konventu, lai grozītu Līgumus;</w:t>
      </w:r>
    </w:p>
    <w:p w:rsidR="00932485" w:rsidRPr="006B3C5D" w:rsidRDefault="00932485" w:rsidP="00932485">
      <w:pPr>
        <w:pStyle w:val="NormalHanging12a"/>
      </w:pPr>
      <w:r w:rsidRPr="006B3C5D">
        <w:t>L.</w:t>
      </w:r>
      <w:r w:rsidRPr="006B3C5D">
        <w:tab/>
        <w:t>tā kā Eiropas publiskās telpas izveidi varētu veicināt, Eiropas darba kārtībā iekļaujot virkni forumu, un šādus forumus varētu organizēt kopējas “Eiropas nedēļas” ietvaros, valstu un reģionālo parlamentu palātu deputātiem apspriežot Eiropas jautājumus vienlaikus ar komisāriem, ar Eiropas Parlamenta deputātiem un ar Padomes prezidentūras ministriem; tā kā patiesas Eiropas publiskās sfēras attīstība nāktu par labu arī iedzīvotāju lielākai informētībai, līdzdalībai un dialogam ar tiem;</w:t>
      </w:r>
    </w:p>
    <w:p w:rsidR="00932485" w:rsidRPr="006B3C5D" w:rsidRDefault="00932485" w:rsidP="00932485">
      <w:pPr>
        <w:pStyle w:val="NormalHanging12a"/>
      </w:pPr>
      <w:r w:rsidRPr="006B3C5D">
        <w:t>M.</w:t>
      </w:r>
      <w:r w:rsidRPr="006B3C5D">
        <w:tab/>
        <w:t xml:space="preserve">tā kā būtu jāstiprina arī valstu parlamentu iesaiste ES lietās, izmantojot tematisku, uz komitejām balstītu vai </w:t>
      </w:r>
      <w:proofErr w:type="spellStart"/>
      <w:r w:rsidRPr="006B3C5D">
        <w:rPr>
          <w:i/>
          <w:iCs/>
        </w:rPr>
        <w:t>ad</w:t>
      </w:r>
      <w:proofErr w:type="spellEnd"/>
      <w:r w:rsidRPr="006B3C5D">
        <w:rPr>
          <w:i/>
          <w:iCs/>
        </w:rPr>
        <w:t> </w:t>
      </w:r>
      <w:proofErr w:type="spellStart"/>
      <w:r w:rsidRPr="006B3C5D">
        <w:rPr>
          <w:i/>
          <w:iCs/>
        </w:rPr>
        <w:t>hoc</w:t>
      </w:r>
      <w:proofErr w:type="spellEnd"/>
      <w:r w:rsidRPr="006B3C5D">
        <w:t xml:space="preserve"> pieeju; tā kā </w:t>
      </w:r>
      <w:proofErr w:type="spellStart"/>
      <w:r w:rsidRPr="006B3C5D">
        <w:t>starpparlamentāro</w:t>
      </w:r>
      <w:proofErr w:type="spellEnd"/>
      <w:r w:rsidRPr="006B3C5D">
        <w:t xml:space="preserve"> komiteju sanāksmju (</w:t>
      </w:r>
      <w:r w:rsidRPr="006B3C5D">
        <w:rPr>
          <w:i/>
          <w:iCs/>
        </w:rPr>
        <w:t>ICM</w:t>
      </w:r>
      <w:r w:rsidRPr="006B3C5D">
        <w:t>) formāts būtu vēl vairāk jāuzlabo;</w:t>
      </w:r>
    </w:p>
    <w:p w:rsidR="00932485" w:rsidRPr="006B3C5D" w:rsidRDefault="00932485" w:rsidP="00932485">
      <w:pPr>
        <w:pStyle w:val="NormalHanging12a"/>
      </w:pPr>
      <w:r w:rsidRPr="006B3C5D">
        <w:t>N.</w:t>
      </w:r>
      <w:r w:rsidRPr="006B3C5D">
        <w:tab/>
        <w:t>tā kā valstu parlamenti izrāda interesi ciešāk iesaistīties ES politikas un tiesību aktu satura veidošanā, nevis tikai agrīnās brīdināšanas sistēmā (ABS), kas attiecas tikai uz subsidiaritāti;</w:t>
      </w:r>
    </w:p>
    <w:p w:rsidR="00932485" w:rsidRPr="006B3C5D" w:rsidRDefault="00932485" w:rsidP="00932485">
      <w:pPr>
        <w:pStyle w:val="NormalHanging12a"/>
      </w:pPr>
      <w:r w:rsidRPr="006B3C5D">
        <w:t>O.</w:t>
      </w:r>
      <w:r w:rsidRPr="006B3C5D">
        <w:tab/>
        <w:t>tā kā valstu parlamentu tiesību ieviešana attiecībā uz subsidiaritātes principa ievērošanas kontroli, pamatojoties uz ABS, ir pastiprinājusi valstu parlamentu iesaisti ES lēmumu pieņemšanā;</w:t>
      </w:r>
    </w:p>
    <w:p w:rsidR="00932485" w:rsidRPr="006B3C5D" w:rsidRDefault="00932485" w:rsidP="00932485">
      <w:pPr>
        <w:pStyle w:val="NormalHanging12a"/>
      </w:pPr>
      <w:r w:rsidRPr="006B3C5D">
        <w:t>P.</w:t>
      </w:r>
      <w:r w:rsidRPr="006B3C5D">
        <w:tab/>
        <w:t xml:space="preserve">tā kā valstu parlamentu iesniegtie pamatotie atzinumi stiprina Eiropas likumdošanas procesu, novērtējot atbilstību subsidiaritātes principam; tā kā Protokola Nr. 1 4. pantā noteiktais astoņu nedēļu laikposms ir izrādījies nepietiekams, lai savlaicīgi uzraudzītu </w:t>
      </w:r>
      <w:r w:rsidRPr="006B3C5D">
        <w:lastRenderedPageBreak/>
        <w:t>subsidiaritātes principa ievērošanu, un nākamas Līguma pārskatīšanas laikā tas būtu jāpagarina;</w:t>
      </w:r>
    </w:p>
    <w:p w:rsidR="00932485" w:rsidRPr="006B3C5D" w:rsidRDefault="00932485" w:rsidP="00932485">
      <w:pPr>
        <w:pStyle w:val="NormalHanging12a"/>
      </w:pPr>
      <w:r w:rsidRPr="006B3C5D">
        <w:t>Q.</w:t>
      </w:r>
      <w:r w:rsidRPr="006B3C5D">
        <w:tab/>
        <w:t>tā kā Eiropas politiskajām partijām ir izšķiroša nozīme ES un valstu parlamentu tuvināšanā; tā kā regulatīvie šķēršļi kavē jēgpilnāku sadarbību starp Eiropas politiskajām partijām un valstu partijām; tā kā var apsvērt inovatīvus un spēcīgākus sadarbības instrumentus starp valstu parlamentiem un Eiropas Parlamentu, tostarp intensīvāku dialogu starp politiskajām saimēm un grupām;</w:t>
      </w:r>
    </w:p>
    <w:p w:rsidR="00932485" w:rsidRPr="006B3C5D" w:rsidRDefault="00932485" w:rsidP="00932485">
      <w:pPr>
        <w:pStyle w:val="NormalHanging12a"/>
      </w:pPr>
      <w:r w:rsidRPr="006B3C5D">
        <w:t>R.</w:t>
      </w:r>
      <w:r w:rsidRPr="006B3C5D">
        <w:tab/>
        <w:t>tā kā 2018. gada īstenošanas ziņojumā tika ieteikts dot iespēju valstu parlamentiem iesniegt konstruktīvus priekšlikumus izskatīšanai Komisijā, pienācīgi ņemot vērā Komisijas iniciatīvas tiesības;</w:t>
      </w:r>
    </w:p>
    <w:p w:rsidR="00932485" w:rsidRPr="006B3C5D" w:rsidRDefault="00932485" w:rsidP="00932485">
      <w:pPr>
        <w:pStyle w:val="NormalHanging12a"/>
      </w:pPr>
      <w:r w:rsidRPr="006B3C5D">
        <w:t>S.</w:t>
      </w:r>
      <w:r w:rsidRPr="006B3C5D">
        <w:tab/>
        <w:t xml:space="preserve">tā kā </w:t>
      </w:r>
      <w:proofErr w:type="spellStart"/>
      <w:r w:rsidRPr="006B3C5D">
        <w:rPr>
          <w:i/>
        </w:rPr>
        <w:t>CoFoE</w:t>
      </w:r>
      <w:proofErr w:type="spellEnd"/>
      <w:r w:rsidRPr="006B3C5D">
        <w:t xml:space="preserve"> laikā tika ieteikts valstu parlamentiem un reģionālajiem parlamentiem ar likumdošanas pilnvarām “dot iespēju ierosināt tiesību aktu priekšlikumus Eiropas līmenī”, kas tiem ļautu ierosināt konstruktīvus priekšlikumus izskatīšanai Komisijā, pienācīgi ņemot vērā Komisijas iniciatīvas tiesības, vispirms nodrošinot Parlamenta atbalstu; tā kā pašreizējā </w:t>
      </w:r>
      <w:proofErr w:type="spellStart"/>
      <w:r w:rsidRPr="006B3C5D">
        <w:t>sasaukuma</w:t>
      </w:r>
      <w:proofErr w:type="spellEnd"/>
      <w:r w:rsidRPr="006B3C5D">
        <w:t xml:space="preserve"> laikā vairākkārt ir uzsvērts mērķis panākt pilnvērtīgas Eiropas Parlamenta iniciatīvas tiesības;</w:t>
      </w:r>
    </w:p>
    <w:p w:rsidR="00932485" w:rsidRPr="006B3C5D" w:rsidRDefault="00932485" w:rsidP="00932485">
      <w:pPr>
        <w:pStyle w:val="NormalHanging12a"/>
        <w:rPr>
          <w:szCs w:val="24"/>
        </w:rPr>
      </w:pPr>
      <w:r w:rsidRPr="006B3C5D">
        <w:t>T.</w:t>
      </w:r>
      <w:r w:rsidRPr="006B3C5D">
        <w:tab/>
        <w:t xml:space="preserve">tā kā Parlaments 2022. gada 9. jūnija rezolūcijā aicināja noteikt </w:t>
      </w:r>
      <w:r w:rsidRPr="006B3C5D">
        <w:rPr>
          <w:shd w:val="clear" w:color="auto" w:fill="FFFFFF"/>
        </w:rPr>
        <w:t>Eiropas Parlamentam vispārējas tiešas likumdošanas iniciatīvas tiesības</w:t>
      </w:r>
      <w:r w:rsidRPr="006B3C5D">
        <w:t>; tā kā pēc šo tiesību piešķiršanas “zaļās kartītes” procedūras būtu jāattiecina arī uz Parlamentu;</w:t>
      </w:r>
    </w:p>
    <w:p w:rsidR="00932485" w:rsidRPr="006B3C5D" w:rsidRDefault="00932485" w:rsidP="00932485">
      <w:pPr>
        <w:pStyle w:val="NormalHanging12a"/>
      </w:pPr>
      <w:r w:rsidRPr="006B3C5D">
        <w:t>U.</w:t>
      </w:r>
      <w:r w:rsidRPr="006B3C5D">
        <w:tab/>
        <w:t>tā kā “sarkanās kartītes” procedūras īstenošanu nevar uzskatīt par piemērotu un konstruktīvu instrumentu attiecībā uz mērķi palielināt valstu parlamentu līdzdalību Eiropas integrācijas procesā;</w:t>
      </w:r>
    </w:p>
    <w:p w:rsidR="00932485" w:rsidRPr="006B3C5D" w:rsidRDefault="00932485" w:rsidP="00932485">
      <w:pPr>
        <w:pStyle w:val="NormalHanging12a"/>
      </w:pPr>
      <w:r w:rsidRPr="006B3C5D">
        <w:t>V.</w:t>
      </w:r>
      <w:r w:rsidRPr="006B3C5D">
        <w:tab/>
        <w:t xml:space="preserve">tā kā </w:t>
      </w:r>
      <w:r w:rsidRPr="006B3C5D">
        <w:rPr>
          <w:i/>
        </w:rPr>
        <w:t>IPEX</w:t>
      </w:r>
      <w:r w:rsidRPr="006B3C5D">
        <w:t> — platforma pastāvīgai informācijas apmaiņai starp valstu parlamentiem un starp valstu parlamentiem un Eiropas iestādēm — būtu jāattīsta saskaņā ar tās digitālo stratēģiju; tā kā Eiropas Parlamentam tajā ir galvenā atbalsta loma;</w:t>
      </w:r>
    </w:p>
    <w:p w:rsidR="00932485" w:rsidRPr="006B3C5D" w:rsidRDefault="00932485" w:rsidP="00932485">
      <w:pPr>
        <w:pStyle w:val="NormalHanging12a"/>
      </w:pPr>
      <w:r w:rsidRPr="006B3C5D">
        <w:t>W.</w:t>
      </w:r>
      <w:r w:rsidRPr="006B3C5D">
        <w:tab/>
        <w:t xml:space="preserve">tā kā valstu parlamentiem ir attiecīga kompetence brīvības, drošības un tiesiskuma jomā saskaņā ar LESD 70., 85. un 88. pantu un tādēļ tiem turpmāk vajadzētu būt svarīgai lomai attiecībā uz Savienības drošības un aizsardzības politiku, arī pamatojoties uz </w:t>
      </w:r>
      <w:proofErr w:type="spellStart"/>
      <w:r w:rsidRPr="006B3C5D">
        <w:t>starpparlamentāro</w:t>
      </w:r>
      <w:proofErr w:type="spellEnd"/>
      <w:r w:rsidRPr="006B3C5D">
        <w:t xml:space="preserve"> konferenci (</w:t>
      </w:r>
      <w:r w:rsidRPr="006B3C5D">
        <w:rPr>
          <w:i/>
          <w:iCs/>
        </w:rPr>
        <w:t>IPC</w:t>
      </w:r>
      <w:r w:rsidRPr="006B3C5D">
        <w:t>) par kopējo ārpolitiku un drošības politiku un kopējo drošības un aizsardzības politiku (KĀDP/KDAP), kā noteikts Protokola Nr. 1 10. pantā,</w:t>
      </w:r>
    </w:p>
    <w:p w:rsidR="00932485" w:rsidRPr="006B3C5D" w:rsidRDefault="00932485" w:rsidP="00932485">
      <w:pPr>
        <w:pStyle w:val="NormalHanging12a"/>
        <w:rPr>
          <w:b/>
          <w:i/>
        </w:rPr>
      </w:pPr>
      <w:r w:rsidRPr="006B3C5D">
        <w:rPr>
          <w:b/>
          <w:i/>
        </w:rPr>
        <w:t>Valdības darbības kontrole Eiropas jautājumos</w:t>
      </w:r>
    </w:p>
    <w:p w:rsidR="00932485" w:rsidRPr="006B3C5D" w:rsidRDefault="00932485" w:rsidP="00932485">
      <w:pPr>
        <w:pStyle w:val="NormalHanging12a"/>
      </w:pPr>
      <w:r w:rsidRPr="006B3C5D">
        <w:t>1.</w:t>
      </w:r>
      <w:r w:rsidRPr="006B3C5D">
        <w:tab/>
        <w:t>uzskata, ka valstu parlamentu tiesību un pienākumu īstenošana, kas izriet no Lisabonas līguma, ir palielinājusi to nozīmi Eiropas konstitucionālajā sistēmā, tādējādi nodrošinot lielāku plurālismu, demokrātisko leģitimitāti un labāku Savienības darbību;</w:t>
      </w:r>
    </w:p>
    <w:p w:rsidR="00932485" w:rsidRPr="006B3C5D" w:rsidRDefault="00932485" w:rsidP="00932485">
      <w:pPr>
        <w:ind w:left="567" w:hanging="567"/>
      </w:pPr>
      <w:r w:rsidRPr="006B3C5D">
        <w:t>2.</w:t>
      </w:r>
      <w:r w:rsidRPr="006B3C5D">
        <w:tab/>
        <w:t xml:space="preserve">uzskata, ka valstu valdību </w:t>
      </w:r>
      <w:proofErr w:type="spellStart"/>
      <w:r w:rsidRPr="006B3C5D">
        <w:t>pārskatatbildība</w:t>
      </w:r>
      <w:proofErr w:type="spellEnd"/>
      <w:r w:rsidRPr="006B3C5D">
        <w:t xml:space="preserve"> valstu parlamentiem, kas atzīta LES 10. panta 2. punktā, ir valstu parlamentu palātu lomas stūrakmens Eiropas Savienībā; uzskata, ka valstu parlamenti ir partneri ES institucionālā līdzsvara saglabāšanā; mudina valstu parlamentus pilnībā izmantot savas Eiropas funkcijas, lai varētu tieši ietekmēt un kontrolēt Eiropas politikas saturu, jo īpaši uzraugot savu valstu valdības, kas darbojas kā Eiropadomes locekles; aicina valstu un reģionālo parlamentu deputātus veicināt Eiropas apziņu lēmumu pieņemšanā un atzīt ES politikas tiešo ietekmi uz saviem vēlētājiem; atzinīgi vērtē labo pieredzi, kas gūta sadarbībā starp valstu parlamentiem un </w:t>
      </w:r>
      <w:r w:rsidRPr="006B3C5D">
        <w:lastRenderedPageBreak/>
        <w:t>Eiropas Parlamentu, un uzskata, ka valstu parlamentiem un Eiropas Parlamentam ir potenciāls kļūt par dabiskiem sabiedrotajiem, veidojot spēcīgāku ES parlamentāro dimensiju;</w:t>
      </w:r>
    </w:p>
    <w:p w:rsidR="00932485" w:rsidRPr="006B3C5D" w:rsidRDefault="00932485" w:rsidP="00932485">
      <w:pPr>
        <w:ind w:left="567" w:hanging="567"/>
      </w:pPr>
      <w:r w:rsidRPr="006B3C5D">
        <w:t>3.</w:t>
      </w:r>
      <w:r w:rsidRPr="006B3C5D">
        <w:tab/>
        <w:t xml:space="preserve">aicina dalībvalstis nodrošināt, ka valstu parlamentiem tiek atvēlēts pietiekami daudz laika, kapacitātes, resursu un vajadzīgās piekļuves informācijai, lai tie varētu pildīt savu konstitucionālo uzdevumu — kontrolēt un tādējādi </w:t>
      </w:r>
      <w:proofErr w:type="spellStart"/>
      <w:r w:rsidRPr="006B3C5D">
        <w:t>leģitimizēt</w:t>
      </w:r>
      <w:proofErr w:type="spellEnd"/>
      <w:r w:rsidRPr="006B3C5D">
        <w:t xml:space="preserve"> valstu valdību darbību, kad šīs valdības rīkojas Eiropas līmenī; atgādina, cik svarīga ir piekļuve informācijai, un atzīst, ka Padomei ir jāpieņem nepieciešamie dokumentu drošības pasākumi, vienlaikus nodrošinot, ka valstu parlamenti var veikt demokrātisku savu attiecīgo valdību kontroli, cita starpā nodrošinot piekļuvi Padomes tiesību aktu datubāzei, vienlaikus pilnībā ievērojot konfidencialitāti;</w:t>
      </w:r>
    </w:p>
    <w:p w:rsidR="00932485" w:rsidRPr="006B3C5D" w:rsidRDefault="00932485" w:rsidP="00932485">
      <w:pPr>
        <w:pStyle w:val="NormalHanging12a"/>
      </w:pPr>
      <w:r w:rsidRPr="006B3C5D">
        <w:t>4.</w:t>
      </w:r>
      <w:r w:rsidRPr="006B3C5D">
        <w:tab/>
        <w:t xml:space="preserve">uzskata, ka ES iestāžu darba metožu un lēmumu pieņemšanas procesu </w:t>
      </w:r>
      <w:proofErr w:type="spellStart"/>
      <w:r w:rsidRPr="006B3C5D">
        <w:t>pārredzamība</w:t>
      </w:r>
      <w:proofErr w:type="spellEnd"/>
      <w:r w:rsidRPr="006B3C5D">
        <w:t xml:space="preserve"> ir priekšnosacījums, lai valstu parlamentiem nodrošinātu no Līgumiem izrietošās institucionālās lomas efektīvu īstenošanu; tādēļ aicina publiskot dalībvalstu balsošanas rezultātus un nostājas Padomē; turklāt aicina valstu parlamentus pilnībā izmantot to attiecīgās kompetences, cita starpā, šajā nolūkā pielāgojot savu iekšējo organizāciju, laika grafikus un reglamentus, lai tie varētu to veikt; apņemas un mudina valstu parlamentus ieviest inovatīvākus un spēcīgākus sadarbības instrumentus politiskā un administratīvā līmenī, tostarp intensīvākus apmaiņas un dialoga veidus ar Eiropas politiskajām saimēm un politiskajām grupām;</w:t>
      </w:r>
    </w:p>
    <w:p w:rsidR="00932485" w:rsidRPr="006B3C5D" w:rsidRDefault="00932485" w:rsidP="00932485">
      <w:pPr>
        <w:pStyle w:val="NormalHanging12a"/>
      </w:pPr>
      <w:r w:rsidRPr="006B3C5D">
        <w:t>5.</w:t>
      </w:r>
      <w:r w:rsidRPr="006B3C5D">
        <w:tab/>
        <w:t xml:space="preserve">rosina veidot pastiprinātu politisko dialogu starp Eiropas iestādēm un valstu parlamentiem un atgādina, ka lēmumi ir jāpieņem saskaņā ar konstitucionālajām kompetencēm, ES Līgumiem un ES </w:t>
      </w:r>
      <w:proofErr w:type="spellStart"/>
      <w:r w:rsidRPr="006B3C5D">
        <w:rPr>
          <w:i/>
          <w:iCs/>
        </w:rPr>
        <w:t>acquis</w:t>
      </w:r>
      <w:proofErr w:type="spellEnd"/>
      <w:r w:rsidRPr="006B3C5D">
        <w:t xml:space="preserve"> un ņemot vērā vietējo, reģionālo, valstu un Eiropas struktūru attiecīgo lēmumu pieņemšanas kompetenču skaidru sadalījumu;</w:t>
      </w:r>
    </w:p>
    <w:p w:rsidR="00932485" w:rsidRPr="006B3C5D" w:rsidRDefault="00932485" w:rsidP="00932485">
      <w:pPr>
        <w:pStyle w:val="NormalHanging12a"/>
      </w:pPr>
      <w:r w:rsidRPr="006B3C5D">
        <w:t>6.</w:t>
      </w:r>
      <w:r w:rsidRPr="006B3C5D">
        <w:tab/>
        <w:t>norāda, ka Eiropas pusgada saskaņošana ar valstu parlamentu darba kārtībām varētu vēl vairāk veicināt ekonomikas politikas koordinēšanu, vienlaikus uzsverot, ka, īstenojot šādu saskaņošanu, nedrīkst neņemt vērā pašpārvaldes pilnvaras un katras parlamenta palātas konkrēto reglamentu;</w:t>
      </w:r>
    </w:p>
    <w:p w:rsidR="00932485" w:rsidRPr="006B3C5D" w:rsidRDefault="00932485" w:rsidP="00932485">
      <w:pPr>
        <w:pStyle w:val="NormalHanging12a"/>
      </w:pPr>
      <w:r w:rsidRPr="006B3C5D">
        <w:t>7.</w:t>
      </w:r>
      <w:r w:rsidRPr="006B3C5D">
        <w:tab/>
        <w:t>aicina paredzēt valstu parlamentiem lielāku lomu saistībā ar valsts periodu dialogam par budžetu un ekonomikas politiku, kura laikā valstu parlamenti varētu sadarboties, apspriest un sniegt ieguldījumu Eiropas pusgadā, dodot savām valdībām mandātu to attiecībās ar Komisiju un Padomi;</w:t>
      </w:r>
    </w:p>
    <w:p w:rsidR="00932485" w:rsidRPr="006B3C5D" w:rsidRDefault="00932485" w:rsidP="00932485">
      <w:pPr>
        <w:pStyle w:val="NormalHanging12a"/>
        <w:rPr>
          <w:b/>
          <w:i/>
        </w:rPr>
      </w:pPr>
      <w:r w:rsidRPr="006B3C5D">
        <w:rPr>
          <w:b/>
          <w:i/>
        </w:rPr>
        <w:t>Eiropas publiskās telpas izveide</w:t>
      </w:r>
    </w:p>
    <w:p w:rsidR="00932485" w:rsidRPr="006B3C5D" w:rsidRDefault="00932485" w:rsidP="00932485">
      <w:pPr>
        <w:pStyle w:val="NormalHanging12a"/>
      </w:pPr>
      <w:r w:rsidRPr="006B3C5D">
        <w:t>8.</w:t>
      </w:r>
      <w:r w:rsidRPr="006B3C5D">
        <w:tab/>
        <w:t>šajā sakarā uzsver dažādu politisko partiju locekļu proporcionālas pārstāvības nozīmīgumu; tāpēc iesaka, lai valstu parlamentu delegācijas, kuras darbojas Eiropas iestādēs, atspoguļotu politisko daudzveidību;</w:t>
      </w:r>
    </w:p>
    <w:p w:rsidR="00932485" w:rsidRPr="006B3C5D" w:rsidRDefault="00932485" w:rsidP="00932485">
      <w:pPr>
        <w:pStyle w:val="NormalHanging12a"/>
      </w:pPr>
      <w:r w:rsidRPr="006B3C5D">
        <w:t>9.</w:t>
      </w:r>
      <w:r w:rsidRPr="006B3C5D">
        <w:tab/>
        <w:t>norāda, ka parlamenta vairākuma saistošā griba būtu jāpauž valstu parlamentu sniegtajos atzinumos ABS ietvaros vai ārpus tās; tomēr atbalsta ideju valstu parlamentu politiskajam mazākumam dot iespēju izteikt savu atšķirīgo viedokli, ko tad varētu iekļaut šādu atzinumu pielikumos;</w:t>
      </w:r>
    </w:p>
    <w:p w:rsidR="00932485" w:rsidRPr="006B3C5D" w:rsidRDefault="00932485" w:rsidP="00932485">
      <w:pPr>
        <w:pStyle w:val="NormalHanging12a"/>
      </w:pPr>
      <w:r w:rsidRPr="006B3C5D">
        <w:t>10.</w:t>
      </w:r>
      <w:r w:rsidRPr="006B3C5D">
        <w:tab/>
        <w:t xml:space="preserve">uzskata, ka mijiedarbību ar valstu parlamentiem var netieši stiprināt, dodot iespējas Eiropas politiskajām partijām; atkārtoti pauž jau izsenis pausto aicinājumu ļaut šīm partijām aktīvi iesaistīties dalībvalstu politiskajās jomās un atbalstīt to sastāvā esošās partijas gadījumos, kad tiek skarti ES jautājumi; aicina ātri pabeigt pārstrādāt Eiropas </w:t>
      </w:r>
      <w:r w:rsidRPr="006B3C5D">
        <w:lastRenderedPageBreak/>
        <w:t xml:space="preserve">Parlamenta un Padomes 2014. gada 22. oktobra Regulu (ES, </w:t>
      </w:r>
      <w:r w:rsidRPr="006B3C5D">
        <w:rPr>
          <w:i/>
          <w:iCs/>
        </w:rPr>
        <w:t>Euratom</w:t>
      </w:r>
      <w:r w:rsidRPr="006B3C5D">
        <w:t>) Nr. 1141/2014 par Eiropas politisko partiju un Eiropas politisko fondu statusu un finansēšanu</w:t>
      </w:r>
      <w:r w:rsidRPr="006B3C5D">
        <w:rPr>
          <w:rStyle w:val="FootnoteReference"/>
        </w:rPr>
        <w:footnoteReference w:id="18"/>
      </w:r>
      <w:r w:rsidRPr="006B3C5D">
        <w:t xml:space="preserve">, lai Eiropas politiskās partijas varētu atbalstīt savas </w:t>
      </w:r>
      <w:proofErr w:type="spellStart"/>
      <w:r w:rsidRPr="006B3C5D">
        <w:t>dalībpartijas</w:t>
      </w:r>
      <w:proofErr w:type="spellEnd"/>
      <w:r w:rsidRPr="006B3C5D">
        <w:t xml:space="preserve"> Eiropas Parlamenta vēlēšanu un referenduma kampaņu kampaņās par ES jautājumiem;</w:t>
      </w:r>
    </w:p>
    <w:p w:rsidR="00932485" w:rsidRPr="006B3C5D" w:rsidRDefault="00932485" w:rsidP="00932485">
      <w:pPr>
        <w:pStyle w:val="NormalHanging12a"/>
      </w:pPr>
      <w:r w:rsidRPr="006B3C5D">
        <w:t>11.</w:t>
      </w:r>
      <w:r w:rsidRPr="006B3C5D">
        <w:tab/>
        <w:t xml:space="preserve">uzskata, ka ikgadējas Eiropas nedēļas izveide ļautu Eiropas Parlamenta deputātiem, komisāriem un Padomes prezidentūras ministriem stāties visu valstu un — attiecīgā gadījumā — reģionālo parlamentu priekšā, lai kopā ar valstu parlamentu deputātiem apspriestu un izskaidrotu Eiropas darba kārtību; ierosina sākt diskusiju par kopējas politiskas deklarācijas vai </w:t>
      </w:r>
      <w:proofErr w:type="spellStart"/>
      <w:r w:rsidRPr="006B3C5D">
        <w:t>pamatnolīguma</w:t>
      </w:r>
      <w:proofErr w:type="spellEnd"/>
      <w:r w:rsidRPr="006B3C5D">
        <w:t xml:space="preserve"> izstrādi starp valstu parlamentiem un Eiropas Parlamentu par ierosinātās Eiropas nedēļas organizēšanu, lai nodrošinātu saskaņotāku sadarbības satvaru politiskā, institucionālā un administratīvā līmenī; uzskata, ka ierosinātajā Eiropas nedēļā būtu jāņem vērā pieredze, kas gūta pašreizējos un iepriekšējos forumos, piemēram, parlamentārajā nedēļā, ko rīko Eiropas pusgada konference, un </w:t>
      </w:r>
      <w:r w:rsidRPr="006B3C5D">
        <w:rPr>
          <w:i/>
          <w:iCs/>
        </w:rPr>
        <w:t>IPC</w:t>
      </w:r>
      <w:r w:rsidRPr="006B3C5D">
        <w:t xml:space="preserve"> par stabilitāti, ekonomikas koordināciju un pārvaldību Eiropas Savienībā, kā arī </w:t>
      </w:r>
      <w:proofErr w:type="spellStart"/>
      <w:r w:rsidRPr="006B3C5D">
        <w:rPr>
          <w:i/>
          <w:iCs/>
        </w:rPr>
        <w:t>CoFoE</w:t>
      </w:r>
      <w:proofErr w:type="spellEnd"/>
      <w:r w:rsidRPr="006B3C5D">
        <w:t>; turklāt pauž pārliecību, ka politisko saimju sanāksmes, kā arī tikšanās starp valsts un Eiropas politiskajām grupām un to iekšienē ES parlamentārās sadarbības kontekstā varētu sniegt pievienoto vērtību īstenu Eiropas politisko debašu veidā;</w:t>
      </w:r>
    </w:p>
    <w:p w:rsidR="00932485" w:rsidRPr="006B3C5D" w:rsidRDefault="00932485" w:rsidP="00932485">
      <w:pPr>
        <w:pStyle w:val="NormalHanging12a"/>
      </w:pPr>
      <w:r w:rsidRPr="006B3C5D">
        <w:t>12.</w:t>
      </w:r>
      <w:r w:rsidRPr="006B3C5D">
        <w:tab/>
        <w:t>uzskata, ka kandidātvalstu parlamentu ciešāka iesaistīšana ir būtisks instruments, kā panākt, lai ES paplašināšanās stratēģija būtu sekmīga; ierosina ierosinātajā Eiropas nedēļā iesaistīt kandidātvalstu parlamentu pārstāvjus;</w:t>
      </w:r>
    </w:p>
    <w:p w:rsidR="00932485" w:rsidRPr="006B3C5D" w:rsidRDefault="00932485" w:rsidP="00932485">
      <w:pPr>
        <w:pStyle w:val="NormalHanging12a"/>
        <w:rPr>
          <w:b/>
          <w:i/>
        </w:rPr>
      </w:pPr>
      <w:r w:rsidRPr="006B3C5D">
        <w:rPr>
          <w:b/>
          <w:i/>
        </w:rPr>
        <w:t>Atbalsts agrīnās brīdināšanas sistēmas reformai</w:t>
      </w:r>
    </w:p>
    <w:p w:rsidR="00932485" w:rsidRPr="006B3C5D" w:rsidRDefault="00932485" w:rsidP="00932485">
      <w:pPr>
        <w:pStyle w:val="NormalHanging12a"/>
      </w:pPr>
      <w:r w:rsidRPr="006B3C5D">
        <w:t>13.</w:t>
      </w:r>
      <w:r w:rsidRPr="006B3C5D">
        <w:tab/>
        <w:t>uzsver, ka visbūtiskākā valstu parlamentu prerogatīva, ko paredz Lisabonas līgums, ir to spēja kontrolēt subsidiaritātes principa ievērošanu ES likumdošanas procedūru sākumposmā;</w:t>
      </w:r>
    </w:p>
    <w:p w:rsidR="00932485" w:rsidRPr="006B3C5D" w:rsidRDefault="00932485" w:rsidP="00932485">
      <w:pPr>
        <w:pStyle w:val="NormalHanging12a"/>
      </w:pPr>
      <w:r w:rsidRPr="006B3C5D">
        <w:t>14.</w:t>
      </w:r>
      <w:r w:rsidRPr="006B3C5D">
        <w:tab/>
        <w:t>norāda, ka tādas procedūras kā “dzeltenās” vai “oranžās” kartītes netiek plaši izmantotas; ierosina, ka visām ES iestādēm un dalībvalstīm būtu jāvienojas par kopīgu izpratni attiecībā uz subsidiaritātes un proporcionalitātes principiem, kas sākotnēji pievienoti Amsterdamas līgumam, attiecīgo Eiropas Savienības Tiesas judikatūru un pašas Komisijas praksi; uzskata, ka šīs kopīgās izpratnes veidošanā būtu jāiekļauj visi subsidiaritātes elementi un to varētu veicināt ar jauniem sadarbības instrumentiem;</w:t>
      </w:r>
    </w:p>
    <w:p w:rsidR="00932485" w:rsidRPr="006B3C5D" w:rsidRDefault="00932485" w:rsidP="00932485">
      <w:pPr>
        <w:pStyle w:val="NormalHanging12a"/>
      </w:pPr>
      <w:r w:rsidRPr="006B3C5D">
        <w:t>15.</w:t>
      </w:r>
      <w:r w:rsidRPr="006B3C5D">
        <w:tab/>
        <w:t>ņem vērā valstu parlamentu prasību pagarināt astoņu nedēļu periodu, kura laikā tie var iesniegt pamatotus atzinumus saskaņā ar Protokola Nr. 1 3. pantu; tomēr uzsver, ka pašreizējā Līgumā šāds pagarinājums nav paredzēts; norāda, ka Komisija, nosakot valstu parlamentiem paredzēto astoņu nedēļu periodu pamatotu atzinumu iesniegšanai, ietekmes mazināšanas nolūkā kopš 2019. gada sāka izslēgt svētku periodu gada beigās; tādēļ uzskata, ka divpadsmit nedēļu perioda ieviešana būtu jāskata nākamās Līguma pārskatīšanas laikā;</w:t>
      </w:r>
    </w:p>
    <w:p w:rsidR="00932485" w:rsidRPr="006B3C5D" w:rsidRDefault="00932485" w:rsidP="00932485">
      <w:pPr>
        <w:pStyle w:val="NormalHanging12a"/>
      </w:pPr>
      <w:r w:rsidRPr="006B3C5D">
        <w:t>16.</w:t>
      </w:r>
      <w:r w:rsidRPr="006B3C5D">
        <w:tab/>
        <w:t xml:space="preserve">aicina valstu parlamentus savos galīgajos pamatotajos atzinumos, ko tie </w:t>
      </w:r>
      <w:proofErr w:type="spellStart"/>
      <w:r w:rsidRPr="006B3C5D">
        <w:t>nosūta</w:t>
      </w:r>
      <w:proofErr w:type="spellEnd"/>
      <w:r w:rsidRPr="006B3C5D">
        <w:t xml:space="preserve"> Parlamenta, Padomes un Komisijas priekšsēdētājiem, iekļaut reģionālo parlamentu ar likumdošanas pilnvarām pamatotus atzinumus gadījumos, kad tiek skartas reģionu </w:t>
      </w:r>
      <w:r w:rsidRPr="006B3C5D">
        <w:lastRenderedPageBreak/>
        <w:t>ekskluzīvās kompetences;</w:t>
      </w:r>
    </w:p>
    <w:p w:rsidR="00932485" w:rsidRPr="006B3C5D" w:rsidRDefault="00932485" w:rsidP="00932485">
      <w:pPr>
        <w:pStyle w:val="NormalHanging12a"/>
      </w:pPr>
      <w:r w:rsidRPr="006B3C5D">
        <w:t>17.</w:t>
      </w:r>
      <w:r w:rsidRPr="006B3C5D">
        <w:tab/>
        <w:t>ierosina izveidot sistēmu, ko dažkārt dēvē par “zaļās kartītes” procedūru, saskaņā ar kuru vismaz viena trešdaļa dalībvalstu parlamentu var pieprasīt, lai Komisija vai Eiropas Parlaments pēc tam, kad tam ir piešķirtas vispārējas tiešas iniciatīvas tiesības, iesniedz priekšlikumus, kuru mērķis ir pozitīvi ietekmēt Eiropas debates; šajā saistībā ierosina, ka Komisijai vai Eiropas Parlamentam varētu būt rīcības brīvība vai nu ņemt vērā šos priekšlikumus, vai sniegt oficiālu atbildi, norādot šādas rīcības iemeslus; norāda, ka šāda procedūra nevar sastāvēt no iniciatīvas tiesībām vai tiesībām atsaukt vai grozīt tiesību aktus, jo tā varētu graut Savienības metodi un kompetenču sadali valsts un Eiropas līmenī, tādējādi pārkāpjot Līgumus;</w:t>
      </w:r>
    </w:p>
    <w:p w:rsidR="00932485" w:rsidRPr="006B3C5D" w:rsidRDefault="00932485" w:rsidP="00932485">
      <w:pPr>
        <w:pStyle w:val="NormalHanging12a"/>
        <w:rPr>
          <w:b/>
          <w:i/>
        </w:rPr>
      </w:pPr>
      <w:r w:rsidRPr="006B3C5D">
        <w:rPr>
          <w:b/>
          <w:i/>
        </w:rPr>
        <w:t>Informācijas saņemšanas tiesību īstenošana</w:t>
      </w:r>
    </w:p>
    <w:p w:rsidR="00932485" w:rsidRPr="006B3C5D" w:rsidRDefault="00932485" w:rsidP="00932485">
      <w:pPr>
        <w:pStyle w:val="NormalHanging12a"/>
      </w:pPr>
      <w:r w:rsidRPr="006B3C5D">
        <w:t>18.</w:t>
      </w:r>
      <w:r w:rsidRPr="006B3C5D">
        <w:tab/>
        <w:t>atkārtoti apstiprina, ka LES 12. pants un Protokols Nr. 1 sniedz valstu parlamentiem tiesības saņemt informāciju tieši no Eiropas iestādēm; ierosina tiesības saņemt informāciju attiecināt arī uz reģionālajiem parlamentiem ar likumdošanas pilnvarām;</w:t>
      </w:r>
    </w:p>
    <w:p w:rsidR="00932485" w:rsidRPr="006B3C5D" w:rsidRDefault="00932485" w:rsidP="00932485">
      <w:pPr>
        <w:pStyle w:val="NormalHanging12a"/>
      </w:pPr>
      <w:r w:rsidRPr="006B3C5D">
        <w:t>19.</w:t>
      </w:r>
      <w:r w:rsidRPr="006B3C5D">
        <w:tab/>
        <w:t xml:space="preserve">iesaka valstu parlamentiem savlaicīgi izmantot </w:t>
      </w:r>
      <w:r w:rsidRPr="006B3C5D">
        <w:rPr>
          <w:i/>
        </w:rPr>
        <w:t>IPEX</w:t>
      </w:r>
      <w:r w:rsidRPr="006B3C5D">
        <w:t xml:space="preserve"> platformu, lai nodrošinātu valsts kontroles mehānisma agrīnu uzsākšanu; iesaka izmantot </w:t>
      </w:r>
      <w:r w:rsidRPr="006B3C5D">
        <w:rPr>
          <w:i/>
        </w:rPr>
        <w:t>IPEX</w:t>
      </w:r>
      <w:r w:rsidRPr="006B3C5D">
        <w:t xml:space="preserve"> kā kanālu sistemātiskai informācijas apmaiņai un agrīnai brīdināšanai par bažām saistībā ar subsidiaritāti; atzinīgi vērtē atjaunināto </w:t>
      </w:r>
      <w:r w:rsidRPr="006B3C5D">
        <w:rPr>
          <w:i/>
        </w:rPr>
        <w:t>IPEX</w:t>
      </w:r>
      <w:r w:rsidRPr="006B3C5D">
        <w:t xml:space="preserve"> pamatnostādņu versiju, kura tika apstiprināta ģenerālsekretāru sanāksmē 2023. gada februārī un kurā aprakstīta jaunā </w:t>
      </w:r>
      <w:r w:rsidRPr="006B3C5D">
        <w:rPr>
          <w:i/>
        </w:rPr>
        <w:t>IPEX</w:t>
      </w:r>
      <w:r w:rsidRPr="006B3C5D">
        <w:t xml:space="preserve"> platformas versija un šīs jaunās versijas piedāvātās iespējas un rīki;</w:t>
      </w:r>
    </w:p>
    <w:p w:rsidR="00932485" w:rsidRPr="006B3C5D" w:rsidRDefault="00932485" w:rsidP="00932485">
      <w:pPr>
        <w:pStyle w:val="NormalHanging12a"/>
        <w:rPr>
          <w:b/>
          <w:i/>
        </w:rPr>
      </w:pPr>
      <w:r w:rsidRPr="006B3C5D">
        <w:rPr>
          <w:b/>
          <w:i/>
        </w:rPr>
        <w:t>Labākas iestāžu sadarbības apsvēršana</w:t>
      </w:r>
    </w:p>
    <w:p w:rsidR="00932485" w:rsidRPr="006B3C5D" w:rsidRDefault="00932485" w:rsidP="00932485">
      <w:pPr>
        <w:pStyle w:val="NormalHanging12a"/>
      </w:pPr>
      <w:r w:rsidRPr="006B3C5D">
        <w:t>20.</w:t>
      </w:r>
      <w:r w:rsidRPr="006B3C5D">
        <w:tab/>
        <w:t>ņem vērā pašreizējo sadarbību starp Eiropas Parlamentu un valstu parlamentiem Eiropas lietu komiteju konferencē (</w:t>
      </w:r>
      <w:r w:rsidRPr="006B3C5D">
        <w:rPr>
          <w:i/>
          <w:iCs/>
        </w:rPr>
        <w:t>COSAC</w:t>
      </w:r>
      <w:r w:rsidRPr="006B3C5D">
        <w:t xml:space="preserve">) un </w:t>
      </w:r>
      <w:r w:rsidRPr="006B3C5D">
        <w:rPr>
          <w:i/>
          <w:iCs/>
        </w:rPr>
        <w:t>IPC</w:t>
      </w:r>
      <w:r w:rsidRPr="006B3C5D">
        <w:t xml:space="preserve"> par KĀDP, un LSKP 13. panta ietvaros; turklāt ņem vērā arī jaunākos parlamentārās sadarbības veidus, piemēram, Kopīgo parlamentārās uzraudzības grupu Eiropola jautājumos un </w:t>
      </w:r>
      <w:r w:rsidRPr="006B3C5D">
        <w:rPr>
          <w:i/>
          <w:iCs/>
        </w:rPr>
        <w:t>ICM</w:t>
      </w:r>
      <w:r w:rsidRPr="006B3C5D">
        <w:t xml:space="preserve"> par </w:t>
      </w:r>
      <w:proofErr w:type="spellStart"/>
      <w:r w:rsidRPr="006B3C5D">
        <w:rPr>
          <w:i/>
          <w:iCs/>
        </w:rPr>
        <w:t>Eurojust</w:t>
      </w:r>
      <w:proofErr w:type="spellEnd"/>
      <w:r w:rsidRPr="006B3C5D">
        <w:t xml:space="preserve"> novērtēšanu; uzsver, ka šāda sadarbība būtu jāattīsta, pamatojoties uz vienprātības principu, informācijas apmaiņu un apspriešanos, lai valstu parlamenti īstenotu kontroli pār to attiecīgajām valdībām un administrācijām;</w:t>
      </w:r>
    </w:p>
    <w:p w:rsidR="00932485" w:rsidRPr="006B3C5D" w:rsidRDefault="00932485" w:rsidP="00932485">
      <w:pPr>
        <w:pStyle w:val="NormalHanging12a"/>
      </w:pPr>
      <w:r w:rsidRPr="006B3C5D">
        <w:t>21.</w:t>
      </w:r>
      <w:r w:rsidRPr="006B3C5D">
        <w:tab/>
        <w:t>atgādina, ka pašreizējo attiecību sistēma starp Savienības un valstu parlamentiem būtu jāvienkāršo un jāsaskaņo, lai to padarītu efektīvāku un iedarbīgāku; šajā sakarā prasa pārskatīt saistības starp Savienību un tās dalībvalstu parlamentiem esošo platformu un forumu ietvaros ar mērķi stiprināt šīs attiecības un tās pielāgot pašreizējām vajadzībām; mudina Eiropas iestādes un reģionālos parlamentus ar likumdošanas pilnvarām aktīvāk iesaistīties un tiešāk savstarpēji mijiedarboties, vienlaikus pilnībā ievērojot valstu parlamentu lomu un kompetences;</w:t>
      </w:r>
    </w:p>
    <w:p w:rsidR="00932485" w:rsidRPr="006B3C5D" w:rsidRDefault="00932485" w:rsidP="00932485">
      <w:pPr>
        <w:pStyle w:val="NormalHanging12a"/>
      </w:pPr>
      <w:r w:rsidRPr="006B3C5D">
        <w:t>22.</w:t>
      </w:r>
      <w:r w:rsidRPr="006B3C5D">
        <w:tab/>
        <w:t>norāda, ka politiskā un tehniskā dialoga pastiprināšana starp parlamenta komitejām, kā arī politiskajām grupām gan valstu, gan Eiropas līmenī būtu produktīvs solis pilnīgas parlamentu sadarbības virzienā; šajā nolūkā ierosina palielināt informētību valstu līmenī par iespējamiem sadarbības instrumentiem; tādēļ ierosina piešķirt papildu resursus šā mērķa sasniegšanai, cita starpā lai finansētu videokonferenču izmantošanu, darbinieku apmaiņu vai izmēģinājuma projektus;</w:t>
      </w:r>
    </w:p>
    <w:p w:rsidR="00932485" w:rsidRPr="006B3C5D" w:rsidRDefault="00932485" w:rsidP="00932485">
      <w:pPr>
        <w:pStyle w:val="NormalHanging12a"/>
      </w:pPr>
      <w:r w:rsidRPr="006B3C5D">
        <w:t>23.</w:t>
      </w:r>
      <w:r w:rsidRPr="006B3C5D">
        <w:tab/>
        <w:t xml:space="preserve">atzīst ar Protokola Nr. 1 9. un 10. pantu izveidoto </w:t>
      </w:r>
      <w:r w:rsidRPr="006B3C5D">
        <w:rPr>
          <w:i/>
          <w:iCs/>
        </w:rPr>
        <w:t>ICM</w:t>
      </w:r>
      <w:r w:rsidRPr="006B3C5D">
        <w:t xml:space="preserve"> nozīmi un “komiteju metodes” </w:t>
      </w:r>
      <w:r w:rsidRPr="006B3C5D">
        <w:lastRenderedPageBreak/>
        <w:t xml:space="preserve">panākumus parlamentu sadarbībā; uzskata, ka labāku sadarbību starp iestādēm varētu panākt, ja Eiropas Parlamenta deputāti un valstu parlamenti vairāk atbilstu </w:t>
      </w:r>
      <w:r w:rsidRPr="006B3C5D">
        <w:rPr>
          <w:i/>
          <w:iCs/>
        </w:rPr>
        <w:t>ICM</w:t>
      </w:r>
      <w:r w:rsidRPr="006B3C5D">
        <w:t xml:space="preserve"> un šīs sanāksmes sagatavotu, izmantojot ciešāku sadarbību; uzskata, ka reglamentu varētu mainīt, lai reglamentētu ciešākas sadarbības formas starp valstu parlamentiem un Eiropas Parlamentu, pilnībā ievērojot to institucionālās kompetences un to sadalījumu;</w:t>
      </w:r>
    </w:p>
    <w:p w:rsidR="00932485" w:rsidRPr="006B3C5D" w:rsidRDefault="00932485" w:rsidP="00B34CD9">
      <w:pPr>
        <w:pStyle w:val="NormalHanging12a"/>
      </w:pPr>
      <w:r w:rsidRPr="006B3C5D">
        <w:t>24.</w:t>
      </w:r>
      <w:r w:rsidRPr="006B3C5D">
        <w:tab/>
        <w:t xml:space="preserve">iesaka valstu parlamentus pilnībā iesaistīt KDAP nepārtrauktā uzlabošanā; uzskata, ka šāda iesaiste jāveicina ciešā sadarbībā ar Eiropas Parlamentu atbilstoši Protokola Nr. 1 10. pantam un pilnībā ievērojot valstu konstitūciju noteikumus attiecībā uz drošības un aizsardzības politiku; aicina valstu parlamentus detalizētāk izskatīt iespēju aizsardzības spējas noteikt par prioritāti ES līmenī, tostarp izmantojot valstu parlamentu pārstāvju un Eiropas Parlamenta deputātu kopīgās </w:t>
      </w:r>
      <w:proofErr w:type="spellStart"/>
      <w:r w:rsidRPr="006B3C5D">
        <w:t>starpparlamentārās</w:t>
      </w:r>
      <w:proofErr w:type="spellEnd"/>
      <w:r w:rsidRPr="006B3C5D">
        <w:t xml:space="preserve"> sanāksmes par KĀDP/KDAP un politisko dialogu;</w:t>
      </w:r>
    </w:p>
    <w:p w:rsidR="00932485" w:rsidRPr="006B3C5D" w:rsidRDefault="00932485" w:rsidP="00932485">
      <w:pPr>
        <w:pStyle w:val="NormalHanging12a"/>
      </w:pPr>
      <w:r w:rsidRPr="006B3C5D">
        <w:t>25.</w:t>
      </w:r>
      <w:r w:rsidRPr="006B3C5D">
        <w:tab/>
        <w:t>atgādina, ka ir svarīgi uzlabot sadarbību un dialogu starp valstu parlamentiem un Eiropas Parlamentu par izmeklēšanas tiesībām;</w:t>
      </w:r>
    </w:p>
    <w:p w:rsidR="00932485" w:rsidRPr="006B3C5D" w:rsidRDefault="00932485" w:rsidP="00932485">
      <w:pPr>
        <w:pStyle w:val="NormalHanging12a"/>
        <w:jc w:val="center"/>
        <w:rPr>
          <w:i/>
        </w:rPr>
      </w:pPr>
      <w:r w:rsidRPr="006B3C5D">
        <w:rPr>
          <w:i/>
        </w:rPr>
        <w:t>°</w:t>
      </w:r>
    </w:p>
    <w:p w:rsidR="00932485" w:rsidRPr="006B3C5D" w:rsidRDefault="00932485" w:rsidP="00932485">
      <w:pPr>
        <w:pStyle w:val="NormalHanging12a"/>
        <w:jc w:val="center"/>
        <w:rPr>
          <w:i/>
        </w:rPr>
      </w:pPr>
      <w:r w:rsidRPr="006B3C5D">
        <w:rPr>
          <w:i/>
        </w:rPr>
        <w:t>°</w:t>
      </w:r>
      <w:r w:rsidRPr="006B3C5D">
        <w:rPr>
          <w:i/>
        </w:rPr>
        <w:tab/>
        <w:t>°</w:t>
      </w:r>
    </w:p>
    <w:p w:rsidR="00932485" w:rsidRPr="006B3C5D" w:rsidRDefault="00932485" w:rsidP="00B34CD9">
      <w:pPr>
        <w:pStyle w:val="NormalHanging12a"/>
      </w:pPr>
      <w:r w:rsidRPr="006B3C5D">
        <w:t>26.</w:t>
      </w:r>
      <w:r w:rsidRPr="006B3C5D">
        <w:tab/>
        <w:t>uzdod priekšsēdētājai šo rezolūciju nosūtīt Padomei, Komisijai, kā arī dalībvalstu valdībām un parlamentiem.</w:t>
      </w:r>
    </w:p>
    <w:p w:rsidR="00B34CD9" w:rsidRPr="006B3C5D" w:rsidRDefault="00B34CD9" w:rsidP="00864E3A">
      <w:bookmarkStart w:id="9" w:name="TextBodyEnd"/>
      <w:bookmarkEnd w:id="9"/>
    </w:p>
    <w:p w:rsidR="00E365E1" w:rsidRPr="006B3C5D" w:rsidRDefault="00E365E1" w:rsidP="00864E3A"/>
    <w:sectPr w:rsidR="00E365E1" w:rsidRPr="006B3C5D" w:rsidSect="007E38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E3A" w:rsidRPr="007E380E" w:rsidRDefault="00864E3A">
      <w:r w:rsidRPr="007E380E">
        <w:separator/>
      </w:r>
    </w:p>
  </w:endnote>
  <w:endnote w:type="continuationSeparator" w:id="0">
    <w:p w:rsidR="00864E3A" w:rsidRPr="007E380E" w:rsidRDefault="00864E3A">
      <w:r w:rsidRPr="007E38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38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38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38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E3A" w:rsidRPr="007E380E" w:rsidRDefault="00864E3A">
      <w:r w:rsidRPr="007E380E">
        <w:separator/>
      </w:r>
    </w:p>
  </w:footnote>
  <w:footnote w:type="continuationSeparator" w:id="0">
    <w:p w:rsidR="00864E3A" w:rsidRPr="007E380E" w:rsidRDefault="00864E3A">
      <w:r w:rsidRPr="007E380E">
        <w:continuationSeparator/>
      </w:r>
    </w:p>
  </w:footnote>
  <w:footnote w:id="1">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202, 7.6.2016., 203. lpp.</w:t>
      </w:r>
    </w:p>
  </w:footnote>
  <w:footnote w:id="2">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115, 9.5.2008., 206. lpp.</w:t>
      </w:r>
    </w:p>
  </w:footnote>
  <w:footnote w:id="3">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212 E, 5.8.2010., 94. lpp.</w:t>
      </w:r>
    </w:p>
  </w:footnote>
  <w:footnote w:id="4">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443, 22.12.2017., 40. lpp.</w:t>
      </w:r>
    </w:p>
  </w:footnote>
  <w:footnote w:id="5">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390, 18.11.2019., 121. lpp.</w:t>
      </w:r>
    </w:p>
  </w:footnote>
  <w:footnote w:id="6">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456, 10.11.2021., 56. lpp.</w:t>
      </w:r>
    </w:p>
  </w:footnote>
  <w:footnote w:id="7">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479, 16.12.2022., 18. lpp.</w:t>
      </w:r>
    </w:p>
  </w:footnote>
  <w:footnote w:id="8">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81, 18.2.2022., 74. lpp.</w:t>
      </w:r>
    </w:p>
  </w:footnote>
  <w:footnote w:id="9">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w:t>
      </w:r>
      <w:proofErr w:type="spellStart"/>
      <w:r w:rsidRPr="007E380E">
        <w:rPr>
          <w:i/>
          <w:iCs/>
          <w:sz w:val="24"/>
          <w:lang w:val="lv-LV"/>
        </w:rPr>
        <w:t>Active</w:t>
      </w:r>
      <w:proofErr w:type="spellEnd"/>
      <w:r w:rsidRPr="007E380E">
        <w:rPr>
          <w:i/>
          <w:iCs/>
          <w:sz w:val="24"/>
          <w:lang w:val="lv-LV"/>
        </w:rPr>
        <w:t xml:space="preserve"> </w:t>
      </w:r>
      <w:proofErr w:type="spellStart"/>
      <w:r w:rsidRPr="007E380E">
        <w:rPr>
          <w:i/>
          <w:iCs/>
          <w:sz w:val="24"/>
          <w:lang w:val="lv-LV"/>
        </w:rPr>
        <w:t>subsidiarity</w:t>
      </w:r>
      <w:proofErr w:type="spellEnd"/>
      <w:r w:rsidRPr="007E380E">
        <w:rPr>
          <w:i/>
          <w:iCs/>
          <w:sz w:val="24"/>
          <w:lang w:val="lv-LV"/>
        </w:rPr>
        <w:t xml:space="preserve"> – a </w:t>
      </w:r>
      <w:proofErr w:type="spellStart"/>
      <w:r w:rsidRPr="007E380E">
        <w:rPr>
          <w:i/>
          <w:iCs/>
          <w:sz w:val="24"/>
          <w:lang w:val="lv-LV"/>
        </w:rPr>
        <w:t>new</w:t>
      </w:r>
      <w:proofErr w:type="spellEnd"/>
      <w:r w:rsidRPr="007E380E">
        <w:rPr>
          <w:i/>
          <w:iCs/>
          <w:sz w:val="24"/>
          <w:lang w:val="lv-LV"/>
        </w:rPr>
        <w:t xml:space="preserve"> </w:t>
      </w:r>
      <w:proofErr w:type="spellStart"/>
      <w:r w:rsidRPr="007E380E">
        <w:rPr>
          <w:i/>
          <w:iCs/>
          <w:sz w:val="24"/>
          <w:lang w:val="lv-LV"/>
        </w:rPr>
        <w:t>way</w:t>
      </w:r>
      <w:proofErr w:type="spellEnd"/>
      <w:r w:rsidRPr="007E380E">
        <w:rPr>
          <w:i/>
          <w:iCs/>
          <w:sz w:val="24"/>
          <w:lang w:val="lv-LV"/>
        </w:rPr>
        <w:t xml:space="preserve"> </w:t>
      </w:r>
      <w:proofErr w:type="spellStart"/>
      <w:r w:rsidRPr="007E380E">
        <w:rPr>
          <w:i/>
          <w:iCs/>
          <w:sz w:val="24"/>
          <w:lang w:val="lv-LV"/>
        </w:rPr>
        <w:t>of</w:t>
      </w:r>
      <w:proofErr w:type="spellEnd"/>
      <w:r w:rsidRPr="007E380E">
        <w:rPr>
          <w:i/>
          <w:iCs/>
          <w:sz w:val="24"/>
          <w:lang w:val="lv-LV"/>
        </w:rPr>
        <w:t xml:space="preserve"> </w:t>
      </w:r>
      <w:proofErr w:type="spellStart"/>
      <w:r w:rsidRPr="007E380E">
        <w:rPr>
          <w:i/>
          <w:iCs/>
          <w:sz w:val="24"/>
          <w:lang w:val="lv-LV"/>
        </w:rPr>
        <w:t>working</w:t>
      </w:r>
      <w:proofErr w:type="spellEnd"/>
      <w:r w:rsidRPr="007E380E">
        <w:rPr>
          <w:sz w:val="24"/>
          <w:lang w:val="lv-LV"/>
        </w:rPr>
        <w:t xml:space="preserve">”, Subsidiaritātes, proporcionalitātes un scenārija “Darīt mazāk, bet efektīvāk” jautājumu darba grupas </w:t>
      </w:r>
      <w:r w:rsidR="006B3C5D">
        <w:fldChar w:fldCharType="begin"/>
      </w:r>
      <w:r w:rsidR="006B3C5D" w:rsidRPr="006B3C5D">
        <w:rPr>
          <w:lang w:val="lv-LV"/>
        </w:rPr>
        <w:instrText xml:space="preserve"> HYPERLINK "https://commission.europa.eu/system/files/2018-09/report-task-force-subsidiarity-proportionality-and-doing-less-more-efficiently_en.pdf" </w:instrText>
      </w:r>
      <w:r w:rsidR="006B3C5D">
        <w:fldChar w:fldCharType="separate"/>
      </w:r>
      <w:r w:rsidRPr="007E380E">
        <w:rPr>
          <w:rStyle w:val="Hyperlink"/>
          <w:sz w:val="24"/>
          <w:lang w:val="lv-LV"/>
        </w:rPr>
        <w:t>ziņojums</w:t>
      </w:r>
      <w:r w:rsidR="006B3C5D">
        <w:rPr>
          <w:rStyle w:val="Hyperlink"/>
          <w:sz w:val="24"/>
          <w:lang w:val="lv-LV"/>
        </w:rPr>
        <w:fldChar w:fldCharType="end"/>
      </w:r>
      <w:r w:rsidRPr="007E380E">
        <w:rPr>
          <w:sz w:val="24"/>
          <w:lang w:val="lv-LV"/>
        </w:rPr>
        <w:t>, 2018. gada 10. jūlijs.</w:t>
      </w:r>
    </w:p>
  </w:footnote>
  <w:footnote w:id="10">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270, 7.7.2021., 71. lpp.</w:t>
      </w:r>
    </w:p>
  </w:footnote>
  <w:footnote w:id="11">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465, 6.12.2022., 109. lpp.</w:t>
      </w:r>
    </w:p>
  </w:footnote>
  <w:footnote w:id="12">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OV C 493, 27.12.2022., 130. lpp.</w:t>
      </w:r>
    </w:p>
  </w:footnote>
  <w:footnote w:id="13">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Pieņemtie teksti, P9_TA(2023)0427.</w:t>
      </w:r>
    </w:p>
  </w:footnote>
  <w:footnote w:id="14">
    <w:p w:rsidR="00932485" w:rsidRPr="007E380E" w:rsidRDefault="00932485" w:rsidP="007E380E">
      <w:pPr>
        <w:pStyle w:val="FootnoteText"/>
        <w:ind w:left="567" w:hanging="567"/>
        <w:rPr>
          <w:sz w:val="24"/>
          <w:lang w:val="lv-LV"/>
        </w:rPr>
      </w:pPr>
      <w:r w:rsidRPr="007E380E">
        <w:rPr>
          <w:rStyle w:val="FootnoteReference"/>
          <w:sz w:val="24"/>
          <w:lang w:val="lv-LV"/>
        </w:rPr>
        <w:footnoteRef/>
      </w:r>
      <w:r w:rsidR="007E380E" w:rsidRPr="007E380E">
        <w:rPr>
          <w:sz w:val="24"/>
          <w:lang w:val="lv-LV"/>
        </w:rPr>
        <w:t xml:space="preserve"> </w:t>
      </w:r>
      <w:r w:rsidR="007E380E" w:rsidRPr="007E380E">
        <w:rPr>
          <w:sz w:val="24"/>
          <w:lang w:val="lv-LV"/>
        </w:rPr>
        <w:tab/>
      </w:r>
      <w:r w:rsidRPr="007E380E">
        <w:rPr>
          <w:sz w:val="24"/>
          <w:lang w:val="lv-LV"/>
        </w:rPr>
        <w:t>Pieņemtie teksti, P9_TA(2023)0078.</w:t>
      </w:r>
    </w:p>
  </w:footnote>
  <w:footnote w:id="15">
    <w:p w:rsidR="00932485" w:rsidRPr="00B34CD9" w:rsidRDefault="00932485" w:rsidP="007E380E">
      <w:pPr>
        <w:pStyle w:val="FootnoteText"/>
        <w:ind w:left="567" w:hanging="567"/>
        <w:rPr>
          <w:color w:val="000000"/>
          <w:sz w:val="24"/>
          <w:szCs w:val="24"/>
          <w:lang w:val="lv-LV"/>
        </w:rPr>
      </w:pPr>
      <w:r w:rsidRPr="00B34CD9">
        <w:rPr>
          <w:rStyle w:val="FootnoteReference"/>
          <w:sz w:val="24"/>
          <w:szCs w:val="24"/>
          <w:lang w:val="lv-LV"/>
        </w:rPr>
        <w:footnoteRef/>
      </w:r>
      <w:r w:rsidR="006B3C5D">
        <w:fldChar w:fldCharType="begin"/>
      </w:r>
      <w:r w:rsidR="00254702" w:rsidRPr="006B3C5D">
        <w:rPr>
          <w:lang w:val="pl-PL"/>
        </w:rPr>
        <w:instrText>HYPERLINK "\\\\PRESBRUANASC01\\VERIF\\Work\\plenary\\LV\\Rr\\</w:instrText>
      </w:r>
      <w:r w:rsidR="00254702" w:rsidRPr="006B3C5D">
        <w:rPr>
          <w:lang w:val="pl-PL"/>
        </w:rPr>
        <w:tab/>
        <w:instrText>https:\\parleu2022.cz\\wp-content\\uploads\\2023\\04\\EUSC-Prague-Presidency-Conclusions-final-EN-1.pdf"</w:instrText>
      </w:r>
      <w:r w:rsidR="006B3C5D">
        <w:fldChar w:fldCharType="separate"/>
      </w:r>
      <w:r w:rsidR="00B34CD9" w:rsidRPr="00B34CD9">
        <w:rPr>
          <w:rStyle w:val="Hyperlink"/>
          <w:sz w:val="24"/>
          <w:szCs w:val="24"/>
          <w:lang w:val="lv-LV"/>
        </w:rPr>
        <w:t xml:space="preserve"> </w:t>
      </w:r>
      <w:r w:rsidR="00B34CD9" w:rsidRPr="00B34CD9">
        <w:rPr>
          <w:rStyle w:val="Hyperlink"/>
          <w:sz w:val="24"/>
          <w:szCs w:val="24"/>
          <w:lang w:val="lv-LV"/>
        </w:rPr>
        <w:tab/>
        <w:t>https://parleu2022.cz/wp-content/uploads/2023/04/EUSC-Prague-Presidency-Conclusions-final-EN-1.pdf</w:t>
      </w:r>
      <w:r w:rsidR="006B3C5D">
        <w:rPr>
          <w:rStyle w:val="Hyperlink"/>
          <w:sz w:val="24"/>
          <w:szCs w:val="24"/>
          <w:lang w:val="lv-LV"/>
        </w:rPr>
        <w:fldChar w:fldCharType="end"/>
      </w:r>
      <w:r w:rsidRPr="00B34CD9">
        <w:rPr>
          <w:color w:val="000000"/>
          <w:sz w:val="24"/>
          <w:szCs w:val="24"/>
          <w:lang w:val="lv-LV"/>
        </w:rPr>
        <w:t>.</w:t>
      </w:r>
    </w:p>
  </w:footnote>
  <w:footnote w:id="16">
    <w:p w:rsidR="00932485" w:rsidRPr="00B34CD9" w:rsidRDefault="00932485" w:rsidP="007E380E">
      <w:pPr>
        <w:pStyle w:val="FootnoteText"/>
        <w:ind w:left="567" w:hanging="567"/>
        <w:rPr>
          <w:color w:val="000000"/>
          <w:sz w:val="24"/>
          <w:szCs w:val="24"/>
          <w:lang w:val="lv-LV"/>
        </w:rPr>
      </w:pPr>
      <w:r w:rsidRPr="00B34CD9">
        <w:rPr>
          <w:rStyle w:val="FootnoteReference"/>
          <w:sz w:val="24"/>
          <w:szCs w:val="24"/>
          <w:lang w:val="lv-LV"/>
        </w:rPr>
        <w:footnoteRef/>
      </w:r>
      <w:r w:rsidRPr="00B34CD9">
        <w:rPr>
          <w:rStyle w:val="FootnoteReference"/>
          <w:sz w:val="24"/>
          <w:szCs w:val="24"/>
          <w:lang w:val="lv-LV"/>
        </w:rPr>
        <w:t xml:space="preserve"> </w:t>
      </w:r>
      <w:r w:rsidR="00B34CD9" w:rsidRPr="00B34CD9">
        <w:rPr>
          <w:sz w:val="24"/>
          <w:szCs w:val="24"/>
          <w:lang w:val="lv-LV"/>
        </w:rPr>
        <w:tab/>
      </w:r>
      <w:r w:rsidR="006B3C5D">
        <w:fldChar w:fldCharType="begin"/>
      </w:r>
      <w:r w:rsidR="006B3C5D" w:rsidRPr="006B3C5D">
        <w:rPr>
          <w:lang w:val="lv-LV"/>
        </w:rPr>
        <w:instrText xml:space="preserve"> HYPERLINK "https://secure.ipe</w:instrText>
      </w:r>
      <w:r w:rsidR="006B3C5D" w:rsidRPr="006B3C5D">
        <w:rPr>
          <w:lang w:val="lv-LV"/>
        </w:rPr>
        <w:instrText xml:space="preserve">x.eu/IPEXL-WEB/download/file/8a8629a88827df1e018828991e660000/Contribution%20adopted%20by%20the%20LXIX%20COSAC.pdf" </w:instrText>
      </w:r>
      <w:r w:rsidR="006B3C5D">
        <w:fldChar w:fldCharType="separate"/>
      </w:r>
      <w:r w:rsidRPr="00B34CD9">
        <w:rPr>
          <w:rStyle w:val="Hyperlink"/>
          <w:sz w:val="24"/>
          <w:szCs w:val="24"/>
          <w:lang w:val="lv-LV"/>
        </w:rPr>
        <w:t>https://secure.ipex.eu/IPEXL-WEB/download/file/8a8629a88827df1e018828991e660000/Contribution%20adopted%20by%20the%20LXIX%20COSAC.pdf</w:t>
      </w:r>
      <w:r w:rsidR="006B3C5D">
        <w:rPr>
          <w:rStyle w:val="Hyperlink"/>
          <w:sz w:val="24"/>
          <w:szCs w:val="24"/>
          <w:lang w:val="lv-LV"/>
        </w:rPr>
        <w:fldChar w:fldCharType="end"/>
      </w:r>
      <w:r w:rsidRPr="00B34CD9">
        <w:rPr>
          <w:color w:val="000000"/>
          <w:sz w:val="24"/>
          <w:szCs w:val="24"/>
          <w:lang w:val="lv-LV"/>
        </w:rPr>
        <w:t>.</w:t>
      </w:r>
    </w:p>
  </w:footnote>
  <w:footnote w:id="17">
    <w:p w:rsidR="00932485" w:rsidRPr="00B34CD9" w:rsidRDefault="00932485" w:rsidP="007E380E">
      <w:pPr>
        <w:pStyle w:val="FootnoteText"/>
        <w:ind w:left="567" w:hanging="567"/>
        <w:rPr>
          <w:sz w:val="24"/>
          <w:szCs w:val="24"/>
          <w:lang w:val="lv-LV"/>
        </w:rPr>
      </w:pPr>
      <w:r w:rsidRPr="00B34CD9">
        <w:rPr>
          <w:rStyle w:val="FootnoteReference"/>
          <w:sz w:val="24"/>
          <w:szCs w:val="24"/>
          <w:lang w:val="lv-LV"/>
        </w:rPr>
        <w:footnoteRef/>
      </w:r>
      <w:r w:rsidRPr="00B34CD9">
        <w:rPr>
          <w:rStyle w:val="FootnoteReference"/>
          <w:sz w:val="24"/>
          <w:szCs w:val="24"/>
          <w:lang w:val="lv-LV"/>
        </w:rPr>
        <w:t xml:space="preserve"> </w:t>
      </w:r>
      <w:r w:rsidR="00B34CD9" w:rsidRPr="00B34CD9">
        <w:rPr>
          <w:sz w:val="24"/>
          <w:szCs w:val="24"/>
          <w:lang w:val="lv-LV"/>
        </w:rPr>
        <w:tab/>
      </w:r>
      <w:r w:rsidR="006B3C5D">
        <w:fldChar w:fldCharType="begin"/>
      </w:r>
      <w:r w:rsidR="006B3C5D" w:rsidRPr="006B3C5D">
        <w:rPr>
          <w:lang w:val="lv-LV"/>
        </w:rPr>
        <w:instrText xml:space="preserve"> HYPERLINK "https://www.congreso.es/backoffice_doc/prensa/notas_prensa/99181_1688138271277.pdf" </w:instrText>
      </w:r>
      <w:r w:rsidR="006B3C5D">
        <w:fldChar w:fldCharType="separate"/>
      </w:r>
      <w:r w:rsidR="00B34CD9" w:rsidRPr="00C662DB">
        <w:rPr>
          <w:rStyle w:val="Hyperlink"/>
          <w:sz w:val="24"/>
          <w:szCs w:val="24"/>
          <w:lang w:val="lv-LV"/>
        </w:rPr>
        <w:t>https://www.congreso.es/backoffice_doc/prensa/notas_prensa/99181_1688138271277.</w:t>
      </w:r>
      <w:r w:rsidR="00B34CD9" w:rsidRPr="00C662DB">
        <w:rPr>
          <w:rStyle w:val="Hyperlink"/>
          <w:sz w:val="24"/>
          <w:szCs w:val="24"/>
          <w:lang w:val="lv-LV"/>
        </w:rPr>
        <w:br/>
        <w:t>pdf</w:t>
      </w:r>
      <w:r w:rsidR="006B3C5D">
        <w:rPr>
          <w:rStyle w:val="Hyperlink"/>
          <w:sz w:val="24"/>
          <w:szCs w:val="24"/>
          <w:lang w:val="lv-LV"/>
        </w:rPr>
        <w:fldChar w:fldCharType="end"/>
      </w:r>
      <w:r w:rsidRPr="00B34CD9">
        <w:rPr>
          <w:sz w:val="24"/>
          <w:szCs w:val="24"/>
          <w:lang w:val="lv-LV"/>
        </w:rPr>
        <w:t>.</w:t>
      </w:r>
    </w:p>
  </w:footnote>
  <w:footnote w:id="18">
    <w:p w:rsidR="00932485" w:rsidRPr="00B34CD9" w:rsidRDefault="00932485" w:rsidP="007E380E">
      <w:pPr>
        <w:pStyle w:val="FootnoteText"/>
        <w:ind w:left="567" w:hanging="567"/>
        <w:rPr>
          <w:sz w:val="24"/>
          <w:szCs w:val="24"/>
          <w:lang w:val="lv-LV"/>
        </w:rPr>
      </w:pPr>
      <w:r w:rsidRPr="00B34CD9">
        <w:rPr>
          <w:rStyle w:val="FootnoteReference"/>
          <w:sz w:val="24"/>
          <w:szCs w:val="24"/>
          <w:lang w:val="lv-LV"/>
        </w:rPr>
        <w:footnoteRef/>
      </w:r>
      <w:r w:rsidRPr="00B34CD9">
        <w:rPr>
          <w:sz w:val="24"/>
          <w:szCs w:val="24"/>
          <w:lang w:val="lv-LV"/>
        </w:rPr>
        <w:t xml:space="preserve"> </w:t>
      </w:r>
      <w:r w:rsidR="00B34CD9" w:rsidRPr="00B34CD9">
        <w:rPr>
          <w:sz w:val="24"/>
          <w:szCs w:val="24"/>
          <w:lang w:val="lv-LV"/>
        </w:rPr>
        <w:tab/>
      </w:r>
      <w:r w:rsidRPr="00B34CD9">
        <w:rPr>
          <w:sz w:val="24"/>
          <w:szCs w:val="24"/>
          <w:lang w:val="lv-LV"/>
        </w:rPr>
        <w:t>OV L 317, 4.11.2014.,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38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38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38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LV"/>
    <w:docVar w:name="dvnumam" w:val="0"/>
    <w:docVar w:name="dvpe" w:val="752.837"/>
    <w:docVar w:name="dvrapporteur" w:val="Referents: "/>
    <w:docVar w:name="dvtitre" w:val="Eiropas Parlamenta 2024. gada XX. XXX  rezolūcija par Līguma noteikumu par valstu parlamentiem īstenošanu(2023/2084(INI))"/>
  </w:docVars>
  <w:rsids>
    <w:rsidRoot w:val="00864E3A"/>
    <w:rsid w:val="00002272"/>
    <w:rsid w:val="00064002"/>
    <w:rsid w:val="000677B9"/>
    <w:rsid w:val="000831BA"/>
    <w:rsid w:val="000A42CC"/>
    <w:rsid w:val="000E7DD9"/>
    <w:rsid w:val="0010095E"/>
    <w:rsid w:val="00125B37"/>
    <w:rsid w:val="00187494"/>
    <w:rsid w:val="001F32AE"/>
    <w:rsid w:val="0025470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C5D"/>
    <w:rsid w:val="006F74FA"/>
    <w:rsid w:val="00731ADD"/>
    <w:rsid w:val="00734777"/>
    <w:rsid w:val="00747932"/>
    <w:rsid w:val="00751A4A"/>
    <w:rsid w:val="00756632"/>
    <w:rsid w:val="00762C74"/>
    <w:rsid w:val="00786EC0"/>
    <w:rsid w:val="007D1690"/>
    <w:rsid w:val="007E22AD"/>
    <w:rsid w:val="007E380E"/>
    <w:rsid w:val="00817416"/>
    <w:rsid w:val="00842779"/>
    <w:rsid w:val="00864E3A"/>
    <w:rsid w:val="00865F67"/>
    <w:rsid w:val="00881A7B"/>
    <w:rsid w:val="008840E5"/>
    <w:rsid w:val="00887B3E"/>
    <w:rsid w:val="008C2AC6"/>
    <w:rsid w:val="00930C23"/>
    <w:rsid w:val="0093193B"/>
    <w:rsid w:val="00932485"/>
    <w:rsid w:val="009509D8"/>
    <w:rsid w:val="00950B64"/>
    <w:rsid w:val="00981893"/>
    <w:rsid w:val="00A1687D"/>
    <w:rsid w:val="00A43E52"/>
    <w:rsid w:val="00A4678D"/>
    <w:rsid w:val="00A778C7"/>
    <w:rsid w:val="00AB441E"/>
    <w:rsid w:val="00AB6293"/>
    <w:rsid w:val="00AE0928"/>
    <w:rsid w:val="00AF3B82"/>
    <w:rsid w:val="00B12E95"/>
    <w:rsid w:val="00B22876"/>
    <w:rsid w:val="00B34CD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AF79D"/>
  <w15:chartTrackingRefBased/>
  <w15:docId w15:val="{2F7F3380-08DA-4A20-9F25-340F13F1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32485"/>
    <w:rPr>
      <w:b/>
    </w:rPr>
  </w:style>
  <w:style w:type="paragraph" w:customStyle="1" w:styleId="NormalHanging12a">
    <w:name w:val="NormalHanging12a"/>
    <w:basedOn w:val="Normal"/>
    <w:link w:val="NormalHanging12aChar"/>
    <w:rsid w:val="00932485"/>
    <w:pPr>
      <w:spacing w:after="240"/>
      <w:ind w:left="567" w:hanging="567"/>
    </w:pPr>
  </w:style>
  <w:style w:type="paragraph" w:customStyle="1" w:styleId="EPComma">
    <w:name w:val="EPComma"/>
    <w:basedOn w:val="Normal"/>
    <w:rsid w:val="00932485"/>
    <w:pPr>
      <w:spacing w:before="480" w:after="240"/>
    </w:pPr>
  </w:style>
  <w:style w:type="character" w:styleId="Hyperlink">
    <w:name w:val="Hyperlink"/>
    <w:unhideWhenUsed/>
    <w:rsid w:val="00932485"/>
    <w:rPr>
      <w:color w:val="0000FF"/>
      <w:u w:val="single"/>
    </w:rPr>
  </w:style>
  <w:style w:type="character" w:customStyle="1" w:styleId="NormalHanging12aChar">
    <w:name w:val="NormalHanging12a Char"/>
    <w:basedOn w:val="DefaultParagraphFont"/>
    <w:link w:val="NormalHanging12a"/>
    <w:locked/>
    <w:rsid w:val="0093248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921B2-B506-44D9-AC93-D77700ED3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3050</Words>
  <Characters>20641</Characters>
  <Application>Microsoft Office Word</Application>
  <DocSecurity>0</DocSecurity>
  <Lines>332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2024-01-17T13:49:00Z</dcterms:created>
  <dcterms:modified xsi:type="dcterms:W3CDTF">2024-01-17T13:49:00Z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A9-0429/2023</vt:lpwstr>
  </property>
  <property fmtid="{D5CDD505-2E9C-101B-9397-08002B2CF9AE}" pid="4" name="&lt;Type&gt;">
    <vt:lpwstr>RR</vt:lpwstr>
  </property>
</Properties>
</file>