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26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2691" w:rsidRDefault="004E3D86" w:rsidP="0010095E">
            <w:pPr>
              <w:pStyle w:val="EPName"/>
            </w:pPr>
            <w:r w:rsidRPr="009B2691">
              <w:t>Parlament Europejski</w:t>
            </w:r>
          </w:p>
          <w:p w:rsidR="00751A4A" w:rsidRPr="009B26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26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B2691" w:rsidRDefault="00187494" w:rsidP="0010095E">
            <w:pPr>
              <w:pStyle w:val="EPLogo"/>
            </w:pPr>
            <w:r w:rsidRPr="009B26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2691" w:rsidRDefault="00D058B8" w:rsidP="004C5D52">
      <w:pPr>
        <w:pStyle w:val="LineTop"/>
      </w:pPr>
    </w:p>
    <w:p w:rsidR="00680577" w:rsidRPr="009B2691" w:rsidRDefault="004E3D86" w:rsidP="00680577">
      <w:pPr>
        <w:pStyle w:val="EPBodyTA1"/>
      </w:pPr>
      <w:r w:rsidRPr="009B2691">
        <w:t>TEKSTY PRZYJĘTE</w:t>
      </w:r>
    </w:p>
    <w:p w:rsidR="00D058B8" w:rsidRPr="009B2691" w:rsidRDefault="00D058B8" w:rsidP="00D058B8">
      <w:pPr>
        <w:pStyle w:val="LineBottom"/>
      </w:pPr>
    </w:p>
    <w:p w:rsidR="004E3D86" w:rsidRPr="009B2691" w:rsidRDefault="004E3D86" w:rsidP="004E3D86">
      <w:pPr>
        <w:pStyle w:val="ATHeading1"/>
      </w:pPr>
      <w:bookmarkStart w:id="0" w:name="TANumber"/>
      <w:r w:rsidRPr="009B2691">
        <w:t>P9_TA(2024)00</w:t>
      </w:r>
      <w:bookmarkEnd w:id="0"/>
      <w:r w:rsidR="00E30D1A">
        <w:t>23</w:t>
      </w:r>
    </w:p>
    <w:p w:rsidR="004E3D86" w:rsidRPr="009E03BA" w:rsidRDefault="009E03BA" w:rsidP="004E3D86">
      <w:pPr>
        <w:pStyle w:val="ATHeading2"/>
      </w:pPr>
      <w:r w:rsidRPr="009E03BA">
        <w:t>Wdrożenie postanowień Traktatu dotyczących parlamentów narodowych</w:t>
      </w:r>
    </w:p>
    <w:p w:rsidR="004E3D86" w:rsidRPr="009B2691" w:rsidRDefault="004E3D86" w:rsidP="004E3D86">
      <w:pPr>
        <w:rPr>
          <w:i/>
          <w:vanish/>
        </w:rPr>
      </w:pPr>
      <w:r w:rsidRPr="009B2691">
        <w:rPr>
          <w:i/>
        </w:rPr>
        <w:fldChar w:fldCharType="begin"/>
      </w:r>
      <w:r w:rsidRPr="009B2691">
        <w:rPr>
          <w:i/>
        </w:rPr>
        <w:instrText xml:space="preserve"> TC"(</w:instrText>
      </w:r>
      <w:bookmarkStart w:id="1" w:name="DocNumber"/>
      <w:r w:rsidRPr="009B2691">
        <w:rPr>
          <w:i/>
        </w:rPr>
        <w:instrText>A9-0429/2023</w:instrText>
      </w:r>
      <w:bookmarkEnd w:id="1"/>
      <w:r w:rsidRPr="009B2691">
        <w:rPr>
          <w:i/>
        </w:rPr>
        <w:instrText xml:space="preserve"> - Sprawozdawca: Paulo </w:instrText>
      </w:r>
      <w:proofErr w:type="spellStart"/>
      <w:r w:rsidRPr="009B2691">
        <w:rPr>
          <w:i/>
        </w:rPr>
        <w:instrText>Rangel</w:instrText>
      </w:r>
      <w:proofErr w:type="spellEnd"/>
      <w:proofErr w:type="gramStart"/>
      <w:r w:rsidRPr="009B2691">
        <w:rPr>
          <w:i/>
        </w:rPr>
        <w:instrText>)"\l</w:instrText>
      </w:r>
      <w:proofErr w:type="gramEnd"/>
      <w:r w:rsidRPr="009B2691">
        <w:rPr>
          <w:i/>
        </w:rPr>
        <w:instrText xml:space="preserve">3 \n&gt; \* MERGEFORMAT </w:instrText>
      </w:r>
      <w:r w:rsidRPr="009B2691">
        <w:rPr>
          <w:i/>
        </w:rPr>
        <w:fldChar w:fldCharType="end"/>
      </w:r>
    </w:p>
    <w:p w:rsidR="004E3D86" w:rsidRPr="009B2691" w:rsidRDefault="004E3D86" w:rsidP="004E3D86">
      <w:pPr>
        <w:rPr>
          <w:vanish/>
        </w:rPr>
      </w:pPr>
      <w:bookmarkStart w:id="2" w:name="Commission"/>
      <w:r w:rsidRPr="009B2691">
        <w:rPr>
          <w:vanish/>
        </w:rPr>
        <w:t>Komisja Spraw Konstytucyjnych</w:t>
      </w:r>
      <w:bookmarkEnd w:id="2"/>
    </w:p>
    <w:p w:rsidR="004E3D86" w:rsidRPr="009B2691" w:rsidRDefault="004E3D86" w:rsidP="004E3D86">
      <w:pPr>
        <w:rPr>
          <w:vanish/>
        </w:rPr>
      </w:pPr>
      <w:bookmarkStart w:id="3" w:name="PE"/>
      <w:r w:rsidRPr="009B2691">
        <w:rPr>
          <w:vanish/>
        </w:rPr>
        <w:t>PE752.837</w:t>
      </w:r>
      <w:bookmarkEnd w:id="3"/>
    </w:p>
    <w:p w:rsidR="004E3D86" w:rsidRPr="009B2691" w:rsidRDefault="004E3D86" w:rsidP="004E3D86">
      <w:pPr>
        <w:pStyle w:val="ATHeading3"/>
      </w:pPr>
      <w:bookmarkStart w:id="4" w:name="Sujet"/>
      <w:r w:rsidRPr="009B2691">
        <w:t xml:space="preserve">Rezolucja Parlamentu Europejskiego z dnia </w:t>
      </w:r>
      <w:r w:rsidR="00E30D1A">
        <w:t>17</w:t>
      </w:r>
      <w:bookmarkStart w:id="5" w:name="_GoBack"/>
      <w:bookmarkEnd w:id="5"/>
      <w:r w:rsidR="009E03BA">
        <w:t xml:space="preserve"> stycznia</w:t>
      </w:r>
      <w:r w:rsidRPr="009B2691">
        <w:t xml:space="preserve"> 2024 r. w sprawie stosowania postanowień Traktatu dotyczących parlamentów narodowych</w:t>
      </w:r>
      <w:bookmarkEnd w:id="4"/>
      <w:r w:rsidRPr="009B2691">
        <w:t xml:space="preserve"> </w:t>
      </w:r>
      <w:bookmarkStart w:id="6" w:name="References"/>
      <w:r w:rsidRPr="009B2691">
        <w:t>(2023/2084(INI))</w:t>
      </w:r>
      <w:bookmarkEnd w:id="6"/>
    </w:p>
    <w:p w:rsidR="004E3D86" w:rsidRPr="009B2691" w:rsidRDefault="004E3D86" w:rsidP="004E3D86"/>
    <w:p w:rsidR="00EE3032" w:rsidRPr="009B2691" w:rsidRDefault="00EE3032" w:rsidP="00EE3032">
      <w:pPr>
        <w:pStyle w:val="EPComma"/>
      </w:pPr>
      <w:bookmarkStart w:id="7" w:name="TextBodyBegin"/>
      <w:bookmarkEnd w:id="7"/>
      <w:r w:rsidRPr="009B2691">
        <w:rPr>
          <w:i/>
        </w:rPr>
        <w:t>Parlament Europejski</w:t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Traktat o Unii Europejskiej (TUE), w szczególności jego art. 5 o przyznawaniu kompetencji oraz pomocniczości, art. 10 ust. 1 o demokracji przedstawicielskiej, art. 10 ust. 2 o reprezentowaniu obywateli UE, art. 10 ust. 3 o prawie obywateli UE do uczestnictwa w życiu demokratycznym Unii, art. 10 ust. 4 o roli europejskich partii politycznych, art. 11 o demokracji uczestniczącej, art. 12 o roli parlamentów narodowych, art. 48 ust. 3 o zwykłej procedurze zmiany oraz art. 48 ust. 7 (klauzula pomostowa),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Protokół nr 1 w sprawie roli parlamentów narodowych w Unii Europejskiej</w:t>
      </w:r>
      <w:r w:rsidRPr="009B2691">
        <w:rPr>
          <w:rStyle w:val="FootnoteReference"/>
        </w:rPr>
        <w:footnoteReference w:id="1"/>
      </w:r>
      <w:r w:rsidRPr="009B2691">
        <w:t>, załączony do traktatu z Amsterdamu, jak również Protokół nr 2 w sprawie stosowania zasad pomocniczości i proporcjonalności</w:t>
      </w:r>
      <w:r w:rsidRPr="009B2691">
        <w:rPr>
          <w:rStyle w:val="FootnoteReference"/>
        </w:rPr>
        <w:footnoteReference w:id="2"/>
      </w:r>
      <w:r w:rsidRPr="009B2691">
        <w:t>, załączony do Traktatu z Lizbony,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art. 15 Traktatu o funkcjonowaniu Unii Europejskiej (TFUE) oraz art. 41 i 42 Karty praw podstawowych Unii Europejskiej,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swoje rezolucje z 7 maja 2009 r. w sprawie rozwoju stosunków pomiędzy Parlamentem Europejskim a parlamentami krajowymi w kontekście postanowień traktatu z Lizbony</w:t>
      </w:r>
      <w:r w:rsidRPr="009B2691">
        <w:rPr>
          <w:vertAlign w:val="superscript"/>
        </w:rPr>
        <w:footnoteReference w:id="3"/>
      </w:r>
      <w:r w:rsidRPr="009B2691">
        <w:t>, z 16 kwietnia 2014 r. w sprawie stosunków między Parlamentem Europejskim a parlamentami narodowymi</w:t>
      </w:r>
      <w:r w:rsidRPr="009B2691">
        <w:rPr>
          <w:vertAlign w:val="superscript"/>
        </w:rPr>
        <w:footnoteReference w:id="4"/>
      </w:r>
      <w:r w:rsidRPr="009B2691">
        <w:t xml:space="preserve"> oraz z 19 kwietnia 2018 r. w sprawie stosowania postanowień Traktatu dotyczących parlamentów narodowych</w:t>
      </w:r>
      <w:r w:rsidRPr="009B2691">
        <w:rPr>
          <w:vertAlign w:val="superscript"/>
        </w:rPr>
        <w:footnoteReference w:id="5"/>
      </w:r>
      <w:r w:rsidRPr="009B2691">
        <w:t xml:space="preserve">, </w:t>
      </w:r>
    </w:p>
    <w:p w:rsidR="00EE3032" w:rsidRPr="009B2691" w:rsidRDefault="00EE3032" w:rsidP="00EE3032">
      <w:pPr>
        <w:pStyle w:val="NormalHanging12a"/>
      </w:pPr>
      <w:r w:rsidRPr="009B2691">
        <w:lastRenderedPageBreak/>
        <w:t>–</w:t>
      </w:r>
      <w:r w:rsidRPr="009B2691">
        <w:tab/>
        <w:t>uwzględniając wniosek dotyczący rozporządzenia Parlamentu Europejskiego i Rady w sprawie statutu i finansowania europejskich partii politycznych i europejskich fundacji politycznych (COM(2021)0734),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sprawozdanie roczne Komisji w sprawie stosowania zasad pomocniczości i proporcjonalności oraz w sprawie stosunków z parlamentami narodowymi za rok 2018 z dnia 11 lipca 2019 r. (COM</w:t>
      </w:r>
      <w:proofErr w:type="gramStart"/>
      <w:r w:rsidRPr="009B2691">
        <w:t>(2019)0333), za</w:t>
      </w:r>
      <w:proofErr w:type="gramEnd"/>
      <w:r w:rsidRPr="009B2691">
        <w:t xml:space="preserve"> rok 2019 z dnia 30 czerwca 2020 r. (COM(2020)0272), za rok 2020 z dnia 23 lipca 2021 r. (COM(2021)0417) oraz za rok 2021 z dnia 1 sierpnia 2022 r. (COM(2022)0366),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sprawozdania roczne Dyrekcji ds. Stosunków z Parlamentami Narodowymi w Parlamencie Europejskim, w szczególności sprawozdanie na temat stosunków między Parlamentem Europejskim a parlamentami narodowymi z 2022 r.,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swoje rezolucje z 20 stycznia 2021 r. w sprawie kontroli stosowania prawa Unii Europejskiej w latach 2017, 2018 i 2019</w:t>
      </w:r>
      <w:r w:rsidRPr="009B2691">
        <w:rPr>
          <w:vertAlign w:val="superscript"/>
        </w:rPr>
        <w:footnoteReference w:id="6"/>
      </w:r>
      <w:r w:rsidRPr="009B2691">
        <w:t xml:space="preserve"> oraz z 19 maja 2022 r. w sprawie sprawozdania Komisji na temat praworządności z 2021 r.</w:t>
      </w:r>
      <w:r w:rsidRPr="009B2691">
        <w:rPr>
          <w:vertAlign w:val="superscript"/>
        </w:rPr>
        <w:footnoteReference w:id="7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swoją rezolucję z 24 czerwca 2021 r. w sprawie sprawności regulacyjnej Unii Europejskiej oraz pomocniczości i proporcjonalności – sprawozdanie w sprawie lepszego stanowienia prawa obejmujące lata 2017, 2018 i 2019</w:t>
      </w:r>
      <w:r w:rsidRPr="009B2691">
        <w:rPr>
          <w:vertAlign w:val="superscript"/>
        </w:rPr>
        <w:footnoteReference w:id="8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 xml:space="preserve">uwzględniając sprawozdanie grupy zadaniowej ds. zasad pomocniczości, proporcjonalności i „robić mniej, ale efektywniej” z dnia 10 lipca 2018 r. zatytułowane „Active </w:t>
      </w:r>
      <w:proofErr w:type="spellStart"/>
      <w:r w:rsidRPr="009B2691">
        <w:t>subsidiarity</w:t>
      </w:r>
      <w:proofErr w:type="spellEnd"/>
      <w:r w:rsidRPr="009B2691">
        <w:t xml:space="preserve"> – a </w:t>
      </w:r>
      <w:proofErr w:type="spellStart"/>
      <w:r w:rsidRPr="009B2691">
        <w:t>new</w:t>
      </w:r>
      <w:proofErr w:type="spellEnd"/>
      <w:r w:rsidRPr="009B2691">
        <w:t xml:space="preserve"> </w:t>
      </w:r>
      <w:proofErr w:type="spellStart"/>
      <w:r w:rsidRPr="009B2691">
        <w:t>way</w:t>
      </w:r>
      <w:proofErr w:type="spellEnd"/>
      <w:r w:rsidRPr="009B2691">
        <w:t xml:space="preserve"> of </w:t>
      </w:r>
      <w:proofErr w:type="spellStart"/>
      <w:r w:rsidRPr="009B2691">
        <w:t>working</w:t>
      </w:r>
      <w:proofErr w:type="spellEnd"/>
      <w:r w:rsidRPr="009B2691">
        <w:t>” [„Aktywna pomocniczość – nowy sposób pracy”]</w:t>
      </w:r>
      <w:r w:rsidRPr="009B2691">
        <w:rPr>
          <w:vertAlign w:val="superscript"/>
        </w:rPr>
        <w:footnoteReference w:id="9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swoje rezolucje z 15 stycznia 2020 r. w sprawie stanowiska Parlamentu Europejskiego dotyczącego konferencji w sprawie przyszłości Europy</w:t>
      </w:r>
      <w:r w:rsidRPr="009B2691">
        <w:rPr>
          <w:vertAlign w:val="superscript"/>
        </w:rPr>
        <w:footnoteReference w:id="10"/>
      </w:r>
      <w:r w:rsidRPr="009B2691">
        <w:t xml:space="preserve"> oraz z 4 maja 2022 r. w sprawie działań następczych w związku z konkluzjami Konferencji w sprawie przyszłości Europy</w:t>
      </w:r>
      <w:r w:rsidRPr="009B2691">
        <w:rPr>
          <w:vertAlign w:val="superscript"/>
        </w:rPr>
        <w:footnoteReference w:id="11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swoją rezolucję z 9 czerwca 2022 r. w sprawie apelu o zwołanie konwentu w celu zmiany traktatów</w:t>
      </w:r>
      <w:r w:rsidRPr="009B2691">
        <w:rPr>
          <w:vertAlign w:val="superscript"/>
        </w:rPr>
        <w:footnoteReference w:id="12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swoją rezolucję z 22 listopada 2023 r. w sprawie propozycji Parlamentu Europejskiego dotyczących zmiany Traktatów</w:t>
      </w:r>
      <w:r w:rsidRPr="009B2691">
        <w:rPr>
          <w:rStyle w:val="FootnoteReference"/>
        </w:rPr>
        <w:footnoteReference w:id="13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 xml:space="preserve">uwzględniając art. 13 Traktatu o stabilności, koordynacji i zarządzaniu w unii gospodarczej i walutowej, który przewiduje organizowanie konferencji międzyparlamentarnych w celu omawiania polityki budżetowej oraz innych kwestii </w:t>
      </w:r>
      <w:r w:rsidRPr="009B2691">
        <w:lastRenderedPageBreak/>
        <w:t>objętych Traktatem,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swoją rezolucję z 15 marca 2023 r. w sprawie europejskiego semestru na rzecz koordynacji polityki gospodarczej – 2023 r.</w:t>
      </w:r>
      <w:r w:rsidRPr="009B2691">
        <w:rPr>
          <w:vertAlign w:val="superscript"/>
        </w:rPr>
        <w:footnoteReference w:id="14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konkluzje prezydencji po Konferencji Przewodniczących Parlamentów Unii Europejskiej, która odbyła się w Pradze 24 i 25 kwietnia 2023 r.</w:t>
      </w:r>
      <w:r w:rsidRPr="009B2691">
        <w:rPr>
          <w:vertAlign w:val="superscript"/>
        </w:rPr>
        <w:footnoteReference w:id="15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konkluzje z posiedzenia plenarnego LXIX Konferencji Komisji do Spraw Unijnych Parlamentów Unii Europejskiej (COSAC), które odbyło się w Sztokholmie od 14 do 16 maja 2023 r.</w:t>
      </w:r>
      <w:r w:rsidRPr="009B2691">
        <w:rPr>
          <w:vertAlign w:val="superscript"/>
        </w:rPr>
        <w:footnoteReference w:id="16"/>
      </w:r>
      <w:r w:rsidRPr="009B2691">
        <w:t>,</w:t>
      </w:r>
    </w:p>
    <w:p w:rsidR="00EE3032" w:rsidRPr="009B2691" w:rsidRDefault="00EE3032" w:rsidP="00EE3032">
      <w:pPr>
        <w:pStyle w:val="NormalHanging12a"/>
        <w:rPr>
          <w:i/>
        </w:rPr>
      </w:pPr>
      <w:r w:rsidRPr="009B2691">
        <w:t>–</w:t>
      </w:r>
      <w:r w:rsidRPr="009B2691">
        <w:tab/>
        <w:t xml:space="preserve">uwzględniając deklarację z </w:t>
      </w:r>
      <w:proofErr w:type="spellStart"/>
      <w:r w:rsidRPr="009B2691">
        <w:t>Léon</w:t>
      </w:r>
      <w:proofErr w:type="spellEnd"/>
      <w:r w:rsidRPr="009B2691">
        <w:t xml:space="preserve"> w sprawie parlamentaryzmu przyjętą na konferencji z okazji Międzynarodowego Dnia Parlamentaryzmu – Wzmacnianie parlamentów w celu umocnienia demokracji, która odbyła się w </w:t>
      </w:r>
      <w:proofErr w:type="spellStart"/>
      <w:r w:rsidRPr="009B2691">
        <w:t>Léon</w:t>
      </w:r>
      <w:proofErr w:type="spellEnd"/>
      <w:r w:rsidRPr="009B2691">
        <w:t xml:space="preserve"> 30 czerwca i 1 lipca 2023 r.</w:t>
      </w:r>
      <w:r w:rsidRPr="009B2691">
        <w:rPr>
          <w:vertAlign w:val="superscript"/>
        </w:rPr>
        <w:footnoteReference w:id="17"/>
      </w:r>
      <w:r w:rsidRPr="009B2691">
        <w:t>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art. 54 Regulaminu oraz art. 1 ust. 1 lit. e) decyzji Konferencji Przewodniczących z dnia 12 grudnia 2002 r. dotyczącej procedury udzielania zgody na sporządzanie sprawozdań z własnej inicjatywy oraz załącznik 3 do tej decyzji,</w:t>
      </w:r>
    </w:p>
    <w:p w:rsidR="00EE3032" w:rsidRPr="009B2691" w:rsidRDefault="00EE3032" w:rsidP="00EE3032">
      <w:pPr>
        <w:pStyle w:val="NormalHanging12a"/>
      </w:pPr>
      <w:r w:rsidRPr="009B2691">
        <w:t>–</w:t>
      </w:r>
      <w:r w:rsidRPr="009B2691">
        <w:tab/>
        <w:t>uwzględniając sprawozdanie Komisji Spraw Konstytucyjnych (A9-0429/2023),</w:t>
      </w:r>
    </w:p>
    <w:p w:rsidR="00EE3032" w:rsidRPr="009B2691" w:rsidRDefault="00EE3032" w:rsidP="00EE3032">
      <w:pPr>
        <w:pStyle w:val="NormalHanging12a"/>
      </w:pPr>
      <w:r w:rsidRPr="009B2691">
        <w:t>A.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aktywny udział parlamentów narodowych w sprawach europejskich i wzmocniona kontrola rządów krajowych przez parlamenty narodowe mają zasadnicze znaczenie dla zapewnienia demokratycznej rozliczalności i legitymacji systemu instytucji unijnych;</w:t>
      </w:r>
    </w:p>
    <w:p w:rsidR="00EE3032" w:rsidRPr="009B2691" w:rsidRDefault="00EE3032" w:rsidP="00EE3032">
      <w:pPr>
        <w:pStyle w:val="NormalHanging12a"/>
      </w:pPr>
      <w:r w:rsidRPr="009B2691">
        <w:t>B.</w:t>
      </w:r>
      <w:r w:rsidRPr="009B2691">
        <w:tab/>
        <w:t xml:space="preserve">mając na uwadze, że parlamenty narodowe „aktywnie przyczyniają się do prawidłowego funkcjonowania Unii” (art. 12 TUE), a także wraz z Parlamentem Europejskim odgrywają zasadniczą rolę we wzmacnianiu legitymacji demokratycznej projektu europejskiego, w zwiększaniu zaufania obywateli oraz w przyczynianiu się do </w:t>
      </w:r>
      <w:proofErr w:type="spellStart"/>
      <w:r w:rsidRPr="009B2691">
        <w:t>zrównoważoności</w:t>
      </w:r>
      <w:proofErr w:type="spellEnd"/>
      <w:r w:rsidRPr="009B2691">
        <w:t xml:space="preserve"> i odporności projektu europejskiego;</w:t>
      </w:r>
    </w:p>
    <w:p w:rsidR="00EE3032" w:rsidRPr="009B2691" w:rsidRDefault="00EE3032" w:rsidP="00EE3032">
      <w:pPr>
        <w:pStyle w:val="NormalHanging12a"/>
      </w:pPr>
      <w:r w:rsidRPr="009B2691">
        <w:t>C.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istniejące narzędzia pozwalające parlamentom narodowym uczestniczyć w sprawach europejskich są w dużej mierze nieznane zarówno decydentom, jak i obywatelom; mając na uwadze, że trzeba informować o tych narzędziach;</w:t>
      </w:r>
    </w:p>
    <w:p w:rsidR="00EE3032" w:rsidRPr="009B2691" w:rsidRDefault="00EE3032" w:rsidP="00EE3032">
      <w:pPr>
        <w:pStyle w:val="NormalHanging12a"/>
      </w:pPr>
      <w:r w:rsidRPr="009B2691">
        <w:t>D.</w:t>
      </w:r>
      <w:r w:rsidRPr="009B2691">
        <w:tab/>
        <w:t>mając na uwadze, że odpowiedzialność parlamentarna i kontrola rządów krajowych w sprawach europejskich</w:t>
      </w:r>
      <w:proofErr w:type="gramStart"/>
      <w:r w:rsidRPr="009B2691">
        <w:t>, zależne</w:t>
      </w:r>
      <w:proofErr w:type="gramEnd"/>
      <w:r w:rsidRPr="009B2691">
        <w:t xml:space="preserve"> od specyfiki praktyk krajowych, stanowią podstawę roli parlamentów narodowych wynikającej z obecnych ram traktatu europejskiego; </w:t>
      </w:r>
    </w:p>
    <w:p w:rsidR="00EE3032" w:rsidRPr="009B2691" w:rsidRDefault="00EE3032" w:rsidP="00EE3032">
      <w:pPr>
        <w:pStyle w:val="NormalHanging12a"/>
      </w:pPr>
      <w:r w:rsidRPr="009B2691">
        <w:t>E.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tę rozliczalność i kontrolę może ułatwić większa przejrzystości w Radzie, zwłaszcza głosowań i stanowisk państw członkowskich; mając na uwadze, że </w:t>
      </w:r>
      <w:r w:rsidRPr="009B2691">
        <w:lastRenderedPageBreak/>
        <w:t>parlamenty narodowe i Parlament Europejski powinny zwiększyć presję na Radę, aby działała bardziej przejrzyście i ponosiła większą odpowiedzialność w całym procesie legislacyjnym; mając ponadto na uwadze, że dzięki dostępowi do dokumentów innych instytucji UE parlamenty narodowe mogą właściwie sprawować kontrolę;</w:t>
      </w:r>
    </w:p>
    <w:p w:rsidR="00EE3032" w:rsidRPr="009B2691" w:rsidRDefault="00EE3032" w:rsidP="00EE3032">
      <w:pPr>
        <w:pStyle w:val="NormalHanging12a"/>
      </w:pPr>
      <w:r w:rsidRPr="009B2691">
        <w:t>F.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brak przejrzystości w unijnych procesach legislacyjnych i decyzyjnych grozi osłabieniem nie tylko prerogatyw parlamentów narodowych wynikających z traktatów i odpowiednich protokołów, przede wszystkim ich roli w kontrolowaniu rządów krajowych reprezentowanych w Radzie;</w:t>
      </w:r>
    </w:p>
    <w:p w:rsidR="00EE3032" w:rsidRPr="009B2691" w:rsidRDefault="00EE3032" w:rsidP="00EE3032">
      <w:pPr>
        <w:pStyle w:val="NormalHanging12a"/>
      </w:pPr>
      <w:r w:rsidRPr="009B2691">
        <w:t>G.</w:t>
      </w:r>
      <w:r w:rsidRPr="009B2691">
        <w:tab/>
        <w:t>mając na uwadze, że pluralizm parlamentarny wzbogaca debatę na szczeblu europejskim, a zatem jest bardzo korzystny dla Unii i reprezentacji mniejszości parlamentarnych w sprawach europejskich oraz pomaga równoważyć większość w każdym parlamencie przy jej pełnym poszanowaniu i stosownie do jej proporcji; mając na uwadze, że poglądy i reprezentację krajowych mniejszości parlamentarnych należy brać pod uwagę na szczeblu UE i że mogą okazać się one przydatne m.in. w przyszłym przeglądzie traktatów UE, a jednocześnie należy szanować kompetencje parlamentów narodowych w zakresie ich reprezentacji;</w:t>
      </w:r>
    </w:p>
    <w:p w:rsidR="00EE3032" w:rsidRPr="009B2691" w:rsidRDefault="00EE3032" w:rsidP="00EE3032">
      <w:pPr>
        <w:pStyle w:val="NormalHanging12a"/>
      </w:pPr>
      <w:r w:rsidRPr="009B2691">
        <w:t>H.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w protokole nr 2 (art. 6) uznano, że parlamenty krajowe mogą konsultować się z parlamentami regionalnymi mającymi kompetencje ustawodawcze, jednak rola parlamentów regionalnych w dużej mierze zależy od ustaleń krajowych i bardzo często pozostaje doradcza; mając na uwadze, że Komisja, Rada, państwa członkowskie i ich parlamenty narodowe powinny brać tę rolę pod uwagę i wspierać zaangażowanie parlamentów regionalnych posiadających uprawnienia ustawodawcze, zwłaszcza gdy może to mieć wpływ na wyłączne kompetencje regionalne;</w:t>
      </w:r>
    </w:p>
    <w:p w:rsidR="00EE3032" w:rsidRPr="009B2691" w:rsidRDefault="00EE3032" w:rsidP="00EE3032">
      <w:pPr>
        <w:pStyle w:val="NormalHanging12a"/>
      </w:pPr>
      <w:r w:rsidRPr="009B2691">
        <w:t>I.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wielu członków Komitetu Regionów ma regionalny mandat wyborczy; mając na uwadze, że można by przeprowadzić debatę o roli Komitetu Regionów w zbliżaniu parlamentów regionalnych do ogólnego procesu integracji i we wzmacnianiu demokracji europejskiej;</w:t>
      </w:r>
    </w:p>
    <w:p w:rsidR="00EE3032" w:rsidRPr="009B2691" w:rsidRDefault="00EE3032" w:rsidP="00EE3032">
      <w:pPr>
        <w:pStyle w:val="NormalHanging12a"/>
      </w:pPr>
      <w:r w:rsidRPr="009B2691">
        <w:t>J.</w:t>
      </w:r>
      <w:r w:rsidRPr="009B2691">
        <w:tab/>
        <w:t>mając na uwadze, że parlamentów narodowych i ich roli w ramach instytucjonalnych UE dotyczył szereg propozycji zawartych w sprawozdaniu z wyników końcowych Konferencji w sprawie przyszłości Europy; mając na uwadze, że doświadczenia z Konferencji w sprawie przyszłości Europy ukazały owocny sojusz między parlamentami narodowymi a Parlamentem Europejskim;</w:t>
      </w:r>
    </w:p>
    <w:p w:rsidR="00EE3032" w:rsidRPr="009B2691" w:rsidRDefault="00EE3032" w:rsidP="00EE3032">
      <w:pPr>
        <w:pStyle w:val="NormalHanging12a"/>
      </w:pPr>
      <w:r w:rsidRPr="009B2691">
        <w:t>K.</w:t>
      </w:r>
      <w:r w:rsidRPr="009B2691">
        <w:tab/>
        <w:t>mając na uwadze, że parlamenty narodowe odgrywają pewną rolę we wszystkich rewizjach traktatów europejskich, zwłaszcza w celu wzmocnienia wymiaru parlamentarnego i życia demokratycznego UE; mając na uwadze, że w rezolucji z 9 czerwca 2022 r. Parlament Europejski zaapelował o zwołanie konwentu w celu rewizji traktatów;</w:t>
      </w:r>
    </w:p>
    <w:p w:rsidR="00EE3032" w:rsidRPr="009B2691" w:rsidRDefault="00EE3032" w:rsidP="00EE3032">
      <w:pPr>
        <w:pStyle w:val="NormalHanging12a"/>
      </w:pPr>
      <w:r w:rsidRPr="009B2691">
        <w:t>L.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do umocnienia europejskiej przestrzeni publicznej mógłby się przyczynić szereg forów poświęconych programowi działania UE, a takie fora można by wylansować w ramach wspólnego „Tygodnia Europejskiego”, podczas którego członkowie izb parlamentów narodowych i regionalnych omawialiby jednocześnie sprawy europejskie z komisarzami, posłami do Parlamentu Europejskiego i ministrami urzędującej prezydencji w Radzie UE; mając na uwadze, że dla rozwoju prawdziwej europejskiej sfery publicznej korzystne byłoby również zwiększenie świadomości, </w:t>
      </w:r>
      <w:r w:rsidRPr="009B2691">
        <w:lastRenderedPageBreak/>
        <w:t>uczestnictwa i dialogu z obywatelami;</w:t>
      </w:r>
    </w:p>
    <w:p w:rsidR="00EE3032" w:rsidRPr="009B2691" w:rsidRDefault="00EE3032" w:rsidP="00EE3032">
      <w:pPr>
        <w:pStyle w:val="NormalHanging12a"/>
      </w:pPr>
      <w:r w:rsidRPr="009B2691">
        <w:t>M.</w:t>
      </w:r>
      <w:r w:rsidRPr="009B2691">
        <w:tab/>
        <w:t>mając na uwadze, że należy również zwiększyć zaangażowanie parlamentów narodowych w sprawy UE w odniesieniu do poszczególnych tematów, komisji lub spraw bieżących; mając na uwadze, że format międzyparlamentarnych posiedzeń komisji należy jeszcze dopracować;</w:t>
      </w:r>
    </w:p>
    <w:p w:rsidR="00EE3032" w:rsidRPr="009B2691" w:rsidRDefault="00EE3032" w:rsidP="00EE3032">
      <w:pPr>
        <w:pStyle w:val="NormalHanging12a"/>
      </w:pPr>
      <w:r w:rsidRPr="009B2691">
        <w:t>N.</w:t>
      </w:r>
      <w:r w:rsidRPr="009B2691">
        <w:tab/>
        <w:t>mając na uwadze, że parlamenty narodowe są zainteresowane większym zaangażowaniem w treść polityki i strategii UE, a nie tylko w ramach systemu wczesnego ostrzegania (SWO), który dotyczy wyłącznie pomocniczości;</w:t>
      </w:r>
    </w:p>
    <w:p w:rsidR="00EE3032" w:rsidRPr="009B2691" w:rsidRDefault="00EE3032" w:rsidP="00EE3032">
      <w:pPr>
        <w:pStyle w:val="NormalHanging12a"/>
      </w:pPr>
      <w:r w:rsidRPr="009B2691">
        <w:t>O.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wdrożenie prawa parlamentów narodowych do kontrolowania zgodności z zasadą pomocniczości na podstawie SWO wzmocniło zaangażowanie parlamentów narodowych w proces decyzyjny UE;</w:t>
      </w:r>
    </w:p>
    <w:p w:rsidR="00EE3032" w:rsidRPr="009B2691" w:rsidRDefault="00EE3032" w:rsidP="00EE3032">
      <w:pPr>
        <w:pStyle w:val="NormalHanging12a"/>
      </w:pPr>
      <w:r w:rsidRPr="009B2691">
        <w:t>P.</w:t>
      </w:r>
      <w:r w:rsidRPr="009B2691">
        <w:tab/>
        <w:t>mając na uwadze, że uzasadnione opinie parlamentów narodowych wzmacniają europejski proces legislacyjny dzięki ocenie przestrzegania zasady pomocniczości; mając na uwadze, że ośmiotygodniowy okres określony w art. 4 protokołu nr 1 nie wystarcza, by terminowo monitorować przestrzeganie zasady pomocniczości, i należy go wydłużyć w przyszłej rewizji Traktatu;</w:t>
      </w:r>
    </w:p>
    <w:p w:rsidR="00EE3032" w:rsidRPr="009B2691" w:rsidRDefault="00EE3032" w:rsidP="00EE3032">
      <w:pPr>
        <w:pStyle w:val="NormalHanging12a"/>
      </w:pPr>
      <w:r w:rsidRPr="009B2691">
        <w:t>Q.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europejskie partie polityczne odgrywają kluczową rolę w zmniejszaniu dystansu między UE a parlamentami narodowymi; mając na uwadze, że przeszkody regulacyjne uniemożliwiają bardziej znaczące zaangażowanie europejskich partii politycznych i partii krajowych; mając na uwadze, że można rozważyć wprowadzenie innowacyjnych, skuteczniejszych narzędzi współpracy między parlamentami narodowymi a Parlamentem Europejskim, łącznie z intensywniejszym dialogiem między rodzinami politycznymi i grupami politycznymi;</w:t>
      </w:r>
    </w:p>
    <w:p w:rsidR="00EE3032" w:rsidRPr="009B2691" w:rsidRDefault="00EE3032" w:rsidP="00EE3032">
      <w:pPr>
        <w:pStyle w:val="NormalHanging12a"/>
      </w:pPr>
      <w:r w:rsidRPr="009B2691">
        <w:t>R.</w:t>
      </w:r>
      <w:r w:rsidRPr="009B2691">
        <w:tab/>
        <w:t>mając na uwadze, że w sprawozdaniu w sprawie stosowania postanowień Traktatu z 2018 r. zalecono, aby parlamenty narodowe mogły przedstawiać konstruktywne propozycje do rozważenia przez Komisję, z należytym uwzględnieniem przysługującego jej prawa inicjatywy;</w:t>
      </w:r>
    </w:p>
    <w:p w:rsidR="00EE3032" w:rsidRPr="009B2691" w:rsidRDefault="00EE3032" w:rsidP="00EE3032">
      <w:pPr>
        <w:pStyle w:val="NormalHanging12a"/>
      </w:pPr>
      <w:r w:rsidRPr="009B2691">
        <w:t>S.</w:t>
      </w:r>
      <w:r w:rsidRPr="009B2691">
        <w:tab/>
        <w:t>mając na uwadze, że Konferencja w sprawie przyszłości Europy zaleciła, aby parlamentom narodowym i parlamentom regionalnym mającym kompetencje ustawodawcze „umożliwić proponowanie inicjatywy ustawodawczej na szczeblu europejskim”, przez co mogłyby przedstawiać konstruktywne propozycje do rozważenia przez Komisję, z należytym uwzględnieniem przysługującego jej prawa inicjatywy, po uprzednim uzyskaniu poparcia Parlamentu; mając na uwadze, że w obecnej kadencji Parlament Europejski wielokrotnie zwracał uwagę na cel, jakim jest przyznanie mu pełnego prawa inicjatywy;</w:t>
      </w:r>
    </w:p>
    <w:p w:rsidR="00EE3032" w:rsidRPr="009B2691" w:rsidRDefault="00EE3032" w:rsidP="00EE3032">
      <w:pPr>
        <w:pStyle w:val="NormalHanging12a"/>
        <w:rPr>
          <w:szCs w:val="24"/>
        </w:rPr>
      </w:pPr>
      <w:r w:rsidRPr="009B2691">
        <w:t>T.</w:t>
      </w:r>
      <w:r w:rsidRPr="009B2691">
        <w:tab/>
        <w:t xml:space="preserve">mając na uwadze, że w rezolucji z 9 czerwca 2022 r. Parlament wezwał do ustanowienia </w:t>
      </w:r>
      <w:r w:rsidRPr="009B2691">
        <w:rPr>
          <w:shd w:val="clear" w:color="auto" w:fill="FFFFFF"/>
        </w:rPr>
        <w:t>ogólnego bezpośredniego prawa inicjatywy ustawodawczej dla Parlamentu Europejskiego</w:t>
      </w:r>
      <w:r w:rsidRPr="009B2691">
        <w:t>; mając na uwadze, że po przyznaniu tego prawa procedury „zielonej kartki” powinny być kierowane do Parlamentu;</w:t>
      </w:r>
    </w:p>
    <w:p w:rsidR="00EE3032" w:rsidRPr="009B2691" w:rsidRDefault="00EE3032" w:rsidP="00EE3032">
      <w:pPr>
        <w:pStyle w:val="NormalHanging12a"/>
      </w:pPr>
      <w:r w:rsidRPr="009B2691">
        <w:t>U.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nie można uznać wdrożenia procedury „czerwonej kartki” za odpowiedni ani konstruktywny sposób na zwiększenie udziału parlamentów narodowych w integracji europejskiej;</w:t>
      </w:r>
    </w:p>
    <w:p w:rsidR="00EE3032" w:rsidRPr="009B2691" w:rsidRDefault="00EE3032" w:rsidP="00EE3032">
      <w:pPr>
        <w:pStyle w:val="NormalHanging12a"/>
      </w:pPr>
      <w:r w:rsidRPr="009B2691">
        <w:lastRenderedPageBreak/>
        <w:t>V.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IPEX – czyli platformę ciągłej wymiany informacji między parlamentami narodowymi oraz między parlamentami narodowymi a instytucjami europejskimi – należy dalej rozwijać zgodnie z jej strategią cyfrową; mając na uwadze, że Parlament Europejski odgrywa w tym względzie ważną rolę wspierającą;</w:t>
      </w:r>
    </w:p>
    <w:p w:rsidR="00EE3032" w:rsidRPr="009B2691" w:rsidRDefault="00EE3032" w:rsidP="00EE3032">
      <w:pPr>
        <w:pStyle w:val="NormalHanging12a"/>
      </w:pPr>
      <w:r w:rsidRPr="009B2691">
        <w:t>W.</w:t>
      </w:r>
      <w:r w:rsidRPr="009B2691">
        <w:tab/>
      </w:r>
      <w:proofErr w:type="gramStart"/>
      <w:r w:rsidRPr="009B2691">
        <w:t>mając</w:t>
      </w:r>
      <w:proofErr w:type="gramEnd"/>
      <w:r w:rsidRPr="009B2691">
        <w:t xml:space="preserve"> na uwadze, że zgodnie z art. 70, 85 i 88 TFUE parlamenty narodowe posiadają stosowne kompetencje w obszarach wolności, bezpieczeństwa i sprawiedliwości, więc powinny odgrywać w przyszłości ważną rolę w unijnej polityce bezpieczeństwa i obrony, również na bazie konferencji międzyparlamentarnej w sprawie wspólnej polityki zagranicznej i bezpieczeństwa oraz wspólnej polityki bezpieczeństwa i obrony (</w:t>
      </w:r>
      <w:proofErr w:type="spellStart"/>
      <w:r w:rsidRPr="009B2691">
        <w:t>WPZiB</w:t>
      </w:r>
      <w:proofErr w:type="spellEnd"/>
      <w:r w:rsidRPr="009B2691">
        <w:t>/</w:t>
      </w:r>
      <w:proofErr w:type="spellStart"/>
      <w:r w:rsidRPr="009B2691">
        <w:t>WPBiO</w:t>
      </w:r>
      <w:proofErr w:type="spellEnd"/>
      <w:r w:rsidRPr="009B2691">
        <w:t>), zgodnie z art. 10 protokołu nr 1;</w:t>
      </w:r>
    </w:p>
    <w:p w:rsidR="00EE3032" w:rsidRPr="009B2691" w:rsidRDefault="00EE3032" w:rsidP="00EE3032">
      <w:pPr>
        <w:pStyle w:val="NormalHanging12a"/>
        <w:rPr>
          <w:b/>
          <w:i/>
        </w:rPr>
      </w:pPr>
      <w:r w:rsidRPr="009B2691">
        <w:rPr>
          <w:b/>
          <w:i/>
        </w:rPr>
        <w:t>Kontrola działalności rządów w sprawach europejskich</w:t>
      </w:r>
    </w:p>
    <w:p w:rsidR="00EE3032" w:rsidRPr="009B2691" w:rsidRDefault="00EE3032" w:rsidP="00EE3032">
      <w:pPr>
        <w:pStyle w:val="NormalHanging12a"/>
      </w:pPr>
      <w:r w:rsidRPr="009B2691">
        <w:t>1.</w:t>
      </w:r>
      <w:r w:rsidRPr="009B2691">
        <w:tab/>
      </w:r>
      <w:proofErr w:type="gramStart"/>
      <w:r w:rsidRPr="009B2691">
        <w:t>uważa</w:t>
      </w:r>
      <w:proofErr w:type="gramEnd"/>
      <w:r w:rsidRPr="009B2691">
        <w:t>, że wdrożenie praw i obowiązków parlamentów narodowych wynikających z Traktatu z Lizbony zwiększyło ich rolę w europejskich ramach konstytucyjnych i zapewniło w ten sposób większy pluralizm i legitymację demokratyczną oraz lepsze funkcjonowanie Unii;</w:t>
      </w:r>
    </w:p>
    <w:p w:rsidR="00EE3032" w:rsidRPr="009B2691" w:rsidRDefault="00EE3032" w:rsidP="00EE3032">
      <w:pPr>
        <w:ind w:left="567" w:hanging="567"/>
      </w:pPr>
      <w:r w:rsidRPr="009B2691">
        <w:t>2.</w:t>
      </w:r>
      <w:r w:rsidRPr="009B2691">
        <w:tab/>
      </w:r>
      <w:proofErr w:type="gramStart"/>
      <w:r w:rsidRPr="009B2691">
        <w:t>uważa</w:t>
      </w:r>
      <w:proofErr w:type="gramEnd"/>
      <w:r w:rsidRPr="009B2691">
        <w:t>, że odpowiedzialność rządów krajowych przed parlamentami narodowymi, uznana w art. 10 ust. 2 TUE, jest podstawą roli izb parlamentów narodowych w Unii Europejskiej; uważa, że parlamenty narodowe są partnerami w kwestii utrzymania równowagi instytucjonalnej UE; zachęca parlamenty narodowe, aby w pełni korzystały ze swoich uprawnień europejskich oraz wywierały bezpośredni wpływ na treść europejskich strategii politycznych i nadzorowały je, w szczególności w drodze monitorowania działalności rządów jako członków Rady Europejskiej; wzywa posłów do parlamentów narodowych i regionalnych, by rozwijali unijne sumienie przy podejmowaniu decyzji i dostrzegali bezpośredni wpływ polityki UE na swoich wyborców; pochwala dobre doświadczenia we współpracy między parlamentami narodowymi a Parlamentem Europejskim i uważa, że mogą one być naturalnymi sojusznikami w kształtowaniu silniejszego parlamentarnego wymiaru UE;</w:t>
      </w:r>
    </w:p>
    <w:p w:rsidR="00EE3032" w:rsidRPr="009B2691" w:rsidRDefault="00EE3032" w:rsidP="00EE3032">
      <w:pPr>
        <w:ind w:left="567" w:hanging="567"/>
      </w:pPr>
      <w:r w:rsidRPr="009B2691">
        <w:t>3.</w:t>
      </w:r>
      <w:r w:rsidRPr="009B2691">
        <w:tab/>
      </w:r>
      <w:proofErr w:type="gramStart"/>
      <w:r w:rsidRPr="009B2691">
        <w:t>wzywa</w:t>
      </w:r>
      <w:proofErr w:type="gramEnd"/>
      <w:r w:rsidRPr="009B2691">
        <w:t xml:space="preserve"> państwa członkowskie do zagwarantowania parlamentom narodowym wystarczająco dużo czasu, możliwości i zasobów oraz niezbędnego dostępu do informacji, aby mogły pełnić swą konstytucyjną rolę w zakresie nadzoru i legitymizować tym samym działania rządów, gdy podejmują one działania na szczeblu europejskim; przypomina o znaczeniu dostępu do informacji i uznaje, że Rada musi przyjąć niezbędne zabezpieczenia w zakresie bezpieczeństwa dokumentów, przy jednoczesnym zapewnieniu parlamentom narodowym możliwości sprawowania demokratycznej kontroli nad swoimi rządami, m.in. poprzez dostęp do bazy danych ustawodawczych Rady, i przy pełnym poszanowaniu poufności;</w:t>
      </w:r>
    </w:p>
    <w:p w:rsidR="00EE3032" w:rsidRPr="009B2691" w:rsidRDefault="00EE3032" w:rsidP="00EE3032">
      <w:pPr>
        <w:pStyle w:val="NormalHanging12a"/>
      </w:pPr>
      <w:r w:rsidRPr="009B2691">
        <w:t>4.</w:t>
      </w:r>
      <w:r w:rsidRPr="009B2691">
        <w:tab/>
      </w:r>
      <w:proofErr w:type="gramStart"/>
      <w:r w:rsidRPr="009B2691">
        <w:t>uważa</w:t>
      </w:r>
      <w:proofErr w:type="gramEnd"/>
      <w:r w:rsidRPr="009B2691">
        <w:t>, że przejrzystość metod pracy i procesu podejmowania decyzji instytucji UE stanowi warunek wstępny umożliwiający parlamentom narodowym skuteczne wypełnianie powierzonej im roli instytucjonalnej wynikającej z traktatów; wzywa zatem do ujawniania stanowisk i tego, jak państwa członkowskie głosują w Radzie; wzywa ponadto parlamenty narodowe do pełnego wykorzystania powierzonych im uprawnień, między innymi przez odpowiednie dostosowanie wewnętrznej organizacji, harmonogramów prac i regulaminów; zobowiązuje siebie oraz zachęca parlamenty narodowe do wprowadzenia bardziej innowacyjnych i skuteczniejszych narzędzi współpracy politycznej i administracyjnej, m.in. intensywniejszych form wymiany i dialogu między europejskimi politycznymi rodzinami i grupami;</w:t>
      </w:r>
    </w:p>
    <w:p w:rsidR="00EE3032" w:rsidRPr="009B2691" w:rsidRDefault="00EE3032" w:rsidP="00EE3032">
      <w:pPr>
        <w:pStyle w:val="NormalHanging12a"/>
      </w:pPr>
      <w:r w:rsidRPr="009B2691">
        <w:lastRenderedPageBreak/>
        <w:t>5.</w:t>
      </w:r>
      <w:r w:rsidRPr="009B2691">
        <w:tab/>
      </w:r>
      <w:proofErr w:type="gramStart"/>
      <w:r w:rsidRPr="009B2691">
        <w:t>zachęca</w:t>
      </w:r>
      <w:proofErr w:type="gramEnd"/>
      <w:r w:rsidRPr="009B2691">
        <w:t xml:space="preserve"> instytucje europejskie i parlamenty narodowe do wzmocnionego dialogu politycznego oraz przypomina, że decyzje należy podejmować zgodnie z uprawnieniami konstytucyjnymi, traktatami i dorobkiem prawnym UE oraz z uwzględnieniem jasno zdefiniowanych uprawnień decyzyjnych organów lokalnych, regionalnych, krajowych i europejskich;</w:t>
      </w:r>
    </w:p>
    <w:p w:rsidR="00EE3032" w:rsidRPr="009B2691" w:rsidRDefault="00EE3032" w:rsidP="00EE3032">
      <w:pPr>
        <w:pStyle w:val="NormalHanging12a"/>
      </w:pPr>
      <w:r w:rsidRPr="009B2691">
        <w:t>6.</w:t>
      </w:r>
      <w:r w:rsidRPr="009B2691">
        <w:tab/>
      </w:r>
      <w:proofErr w:type="gramStart"/>
      <w:r w:rsidRPr="009B2691">
        <w:t>uważa</w:t>
      </w:r>
      <w:proofErr w:type="gramEnd"/>
      <w:r w:rsidRPr="009B2691">
        <w:t>, że dostosowanie europejskiego semestru do programu działalności parlamentów narodowych mogłoby usprawnić koordynację polityki gospodarczej, ale podkreśla, że nie należy przy tym pomijać uprawnień do samostanowienia ani regulaminów poszczególnych izb parlamentarnych;</w:t>
      </w:r>
    </w:p>
    <w:p w:rsidR="00EE3032" w:rsidRPr="009B2691" w:rsidRDefault="00EE3032" w:rsidP="00EE3032">
      <w:pPr>
        <w:pStyle w:val="NormalHanging12a"/>
      </w:pPr>
      <w:r w:rsidRPr="009B2691">
        <w:t>7.</w:t>
      </w:r>
      <w:r w:rsidRPr="009B2691">
        <w:tab/>
      </w:r>
      <w:proofErr w:type="gramStart"/>
      <w:r w:rsidRPr="009B2691">
        <w:t>apeluje</w:t>
      </w:r>
      <w:proofErr w:type="gramEnd"/>
      <w:r w:rsidRPr="009B2691">
        <w:t>, aby parlamenty krajowe odgrywały większą rolę we wprowadzeniu krajowego okresu dialogu na temat polityki budżetowej i gospodarczej, w którym będą mogły współpracować, obradować nad europejskim semestrem i przyczynić się do jego kształtu dzięki upoważnieniu swoich rządów do reprezentacji w stosunkach z Komisją i Radą;</w:t>
      </w:r>
    </w:p>
    <w:p w:rsidR="00EE3032" w:rsidRPr="009B2691" w:rsidRDefault="00EE3032" w:rsidP="00EE3032">
      <w:pPr>
        <w:pStyle w:val="NormalHanging12a"/>
        <w:rPr>
          <w:b/>
          <w:i/>
        </w:rPr>
      </w:pPr>
      <w:r w:rsidRPr="009B2691">
        <w:rPr>
          <w:b/>
          <w:i/>
        </w:rPr>
        <w:t>Rozwój europejskiej sfery publicznej</w:t>
      </w:r>
    </w:p>
    <w:p w:rsidR="00EE3032" w:rsidRPr="009B2691" w:rsidRDefault="00EE3032" w:rsidP="00EE3032">
      <w:pPr>
        <w:pStyle w:val="NormalHanging12a"/>
      </w:pPr>
      <w:r w:rsidRPr="009B2691">
        <w:t>8.</w:t>
      </w:r>
      <w:r w:rsidRPr="009B2691">
        <w:tab/>
      </w:r>
      <w:proofErr w:type="gramStart"/>
      <w:r w:rsidRPr="009B2691">
        <w:t>podkreśla</w:t>
      </w:r>
      <w:proofErr w:type="gramEnd"/>
      <w:r w:rsidRPr="009B2691">
        <w:t xml:space="preserve"> w tym zakresie znaczenie zasady proporcjonalnej reprezentacji posłów należących do różnych partii politycznych; zaleca w związku z tym, aby delegacje parlamentów narodowych występujące przed instytucjami europejskimi odzwierciedlały różnorodność nurtów politycznych;</w:t>
      </w:r>
    </w:p>
    <w:p w:rsidR="00EE3032" w:rsidRPr="009B2691" w:rsidRDefault="00EE3032" w:rsidP="00EE3032">
      <w:pPr>
        <w:pStyle w:val="NormalHanging12a"/>
      </w:pPr>
      <w:r w:rsidRPr="009B2691">
        <w:t>9.</w:t>
      </w:r>
      <w:r w:rsidRPr="009B2691">
        <w:tab/>
      </w:r>
      <w:proofErr w:type="gramStart"/>
      <w:r w:rsidRPr="009B2691">
        <w:t>zauważa</w:t>
      </w:r>
      <w:proofErr w:type="gramEnd"/>
      <w:r w:rsidRPr="009B2691">
        <w:t>, że w opiniach wydawanych przez parlamenty narodowe w ramach SWO lub poza nim mogłaby być wyrażana wiążąca wola większości parlamentarnych; zgadza się jednak, że mniejszościom w parlamentach narodowych należy umożliwić wyrażenie odmiennego punktu widzenia, który byłby następnie uwzględniany w załącznikach do takich opinii;</w:t>
      </w:r>
    </w:p>
    <w:p w:rsidR="00EE3032" w:rsidRPr="009B2691" w:rsidRDefault="00EE3032" w:rsidP="00EE3032">
      <w:pPr>
        <w:pStyle w:val="NormalHanging12a"/>
      </w:pPr>
      <w:r w:rsidRPr="009B2691">
        <w:t>10.</w:t>
      </w:r>
      <w:r w:rsidRPr="009B2691">
        <w:tab/>
      </w:r>
      <w:proofErr w:type="gramStart"/>
      <w:r w:rsidRPr="009B2691">
        <w:t>uważa</w:t>
      </w:r>
      <w:proofErr w:type="gramEnd"/>
      <w:r w:rsidRPr="009B2691">
        <w:t xml:space="preserve">, że komunikację z parlamentami narodowymi można pośrednio ulepszyć dzięki wzmocnieniu pozycji europejskich partii politycznych; ponawia wieloletni apel, by umożliwić tym partiom aktywne angażowanie się w sfery polityczne państw członkowskich i wspieranie partii członkowskich w sprawach dotyczących UE; apeluje o szybkie przyjęcie przekształconego rozporządzenia Parlamentu Europejskiego i Rady (UE, </w:t>
      </w:r>
      <w:proofErr w:type="spellStart"/>
      <w:r w:rsidRPr="009B2691">
        <w:t>Euratom</w:t>
      </w:r>
      <w:proofErr w:type="spellEnd"/>
      <w:r w:rsidRPr="009B2691">
        <w:t>) nr 1141/2014 z dnia 22 października 2014 r. w sprawie statusu i finansowania europejskich partii politycznych i europejskich fundacji politycznych</w:t>
      </w:r>
      <w:r w:rsidRPr="009B2691">
        <w:rPr>
          <w:rStyle w:val="FootnoteReference"/>
        </w:rPr>
        <w:footnoteReference w:id="18"/>
      </w:r>
      <w:r w:rsidRPr="009B2691">
        <w:t>, aby europejskie partie polityczne mogły wspierać swoje partie członkowskie w kampanii wyborczej do Parlamentu Europejskiego i kampaniach referendalnych dotyczących spraw UE;</w:t>
      </w:r>
    </w:p>
    <w:p w:rsidR="00EE3032" w:rsidRPr="009B2691" w:rsidRDefault="00EE3032" w:rsidP="00EE3032">
      <w:pPr>
        <w:pStyle w:val="NormalHanging12a"/>
      </w:pPr>
      <w:r w:rsidRPr="009B2691">
        <w:t>11.</w:t>
      </w:r>
      <w:r w:rsidRPr="009B2691">
        <w:tab/>
      </w:r>
      <w:proofErr w:type="gramStart"/>
      <w:r w:rsidRPr="009B2691">
        <w:t>uważa</w:t>
      </w:r>
      <w:proofErr w:type="gramEnd"/>
      <w:r w:rsidRPr="009B2691">
        <w:t xml:space="preserve">, że ustanowienie corocznego „Tygodnia Europejskiego” pozwoliłoby posłom do Parlamentu Europejskiego, komisarzom i ministrom urzędującej prezydencji w Radzie UE zabierać głos przed wszystkimi krajowymi i, w stosownych przypadkach, regionalnymi parlamentami w celu omówienia i wyjaśnienia programu działania UE wraz z posłami do parlamentów narodowych; proponuje dyskusję o sporządzeniu wspólnej deklaracji politycznej lub porozumienia ramowego między parlamentami narodowymi a Parlamentem Europejskim w związku z organizacją proponowanego „Tygodnia Europejskiego”, aby zapewnić spójniejsze ramy współpracy na szczeblu </w:t>
      </w:r>
      <w:r w:rsidRPr="009B2691">
        <w:lastRenderedPageBreak/>
        <w:t xml:space="preserve">politycznym, instytucjonalnym i administracyjnym; uważa, że w proponowanym „Tygodniu Europejskim” należy wyciągnąć wnioski z obecnych i poprzednich forów, takich jak tydzień parlamentarny zorganizowany w ramach konferencji </w:t>
      </w:r>
      <w:proofErr w:type="gramStart"/>
      <w:r w:rsidRPr="009B2691">
        <w:t>poświęconej</w:t>
      </w:r>
      <w:proofErr w:type="gramEnd"/>
      <w:r w:rsidRPr="009B2691">
        <w:t xml:space="preserve"> europejskiemu semestrowi, Międzyrządowa Konferencja ds. Stabilności, Koordynacji i Zarządzania Gospodarczego w Unii Europejskiej czy Konferencja w sprawie przyszłości Europy; uważa ponadto, że posiedzenia rodzin politycznych oraz spotkania krajowych i europejskich grup politycznych i spotkania między nimi w ramach współpracy międzyparlamentarnej na szczeblu UE mogłyby być źródłem wartości dodanej w postaci prawdziwie europejskiej debaty politycznej;</w:t>
      </w:r>
    </w:p>
    <w:p w:rsidR="00EE3032" w:rsidRPr="009B2691" w:rsidRDefault="00EE3032" w:rsidP="00EE3032">
      <w:pPr>
        <w:pStyle w:val="NormalHanging12a"/>
      </w:pPr>
      <w:r w:rsidRPr="009B2691">
        <w:t>12.</w:t>
      </w:r>
      <w:r w:rsidRPr="009B2691">
        <w:tab/>
      </w:r>
      <w:proofErr w:type="gramStart"/>
      <w:r w:rsidRPr="009B2691">
        <w:t>uważa</w:t>
      </w:r>
      <w:proofErr w:type="gramEnd"/>
      <w:r w:rsidRPr="009B2691">
        <w:t>, że większe zaangażowanie parlamentów narodowych z krajów kandydujących ma istotne znaczenie dla powodzenia strategii rozszerzenia UE; sugeruje, by w proponowanym „Tygodniu Europejskim” uczestniczyli przedstawiciele parlamentów narodowych z krajów kandydujących;</w:t>
      </w:r>
    </w:p>
    <w:p w:rsidR="00EE3032" w:rsidRPr="009B2691" w:rsidRDefault="00EE3032" w:rsidP="00EE3032">
      <w:pPr>
        <w:pStyle w:val="NormalHanging12a"/>
        <w:rPr>
          <w:b/>
          <w:i/>
        </w:rPr>
      </w:pPr>
      <w:r w:rsidRPr="009B2691">
        <w:rPr>
          <w:b/>
          <w:i/>
        </w:rPr>
        <w:t>Wsparcie reformy systemu wczesnego ostrzegania</w:t>
      </w:r>
    </w:p>
    <w:p w:rsidR="00EE3032" w:rsidRPr="009B2691" w:rsidRDefault="00EE3032" w:rsidP="00EE3032">
      <w:pPr>
        <w:pStyle w:val="NormalHanging12a"/>
      </w:pPr>
      <w:r w:rsidRPr="009B2691">
        <w:t>13.</w:t>
      </w:r>
      <w:r w:rsidRPr="009B2691">
        <w:tab/>
      </w:r>
      <w:proofErr w:type="gramStart"/>
      <w:r w:rsidRPr="009B2691">
        <w:t>podkreśla</w:t>
      </w:r>
      <w:proofErr w:type="gramEnd"/>
      <w:r w:rsidRPr="009B2691">
        <w:t>, że najważniejszą prerogatywą parlamentów narodowych wynikającą z Traktatu z Lizbony było kontrolowanie przestrzegania zasady pomocniczości na wczesnych etapach procedur ustawodawczych UE;</w:t>
      </w:r>
    </w:p>
    <w:p w:rsidR="00EE3032" w:rsidRPr="009B2691" w:rsidRDefault="00EE3032" w:rsidP="00EE3032">
      <w:pPr>
        <w:pStyle w:val="NormalHanging12a"/>
      </w:pPr>
      <w:r w:rsidRPr="009B2691">
        <w:t>14.</w:t>
      </w:r>
      <w:r w:rsidRPr="009B2691">
        <w:tab/>
      </w:r>
      <w:proofErr w:type="gramStart"/>
      <w:r w:rsidRPr="009B2691">
        <w:t>zauważa</w:t>
      </w:r>
      <w:proofErr w:type="gramEnd"/>
      <w:r w:rsidRPr="009B2691">
        <w:t>, że procedury takie jak „żółta” lub „pomarańczowa” kartka nie były szeroko stosowane; sugeruje, aby wszystkie instytucje Unii i państwa członkowskie uzgodniły wspólne rozumienie zasad pomocniczości i proporcjonalności pierwotnie załączonych do traktatu z Amsterdamu, odpowiedniego orzecznictwa Trybunału Sprawiedliwości UE oraz własnej praktyki Komisji; uważa, że wypracowywanie tego wspólnego rozumienia powinno obejmować wszystkie elementy pomocniczości i można by w tym celu korzystać z nowych narzędzi współpracy;</w:t>
      </w:r>
    </w:p>
    <w:p w:rsidR="00EE3032" w:rsidRPr="009B2691" w:rsidRDefault="00EE3032" w:rsidP="00EE3032">
      <w:pPr>
        <w:pStyle w:val="NormalHanging12a"/>
      </w:pPr>
      <w:r w:rsidRPr="009B2691">
        <w:t>15.</w:t>
      </w:r>
      <w:r w:rsidRPr="009B2691">
        <w:tab/>
      </w:r>
      <w:proofErr w:type="gramStart"/>
      <w:r w:rsidRPr="009B2691">
        <w:t>przyjmuje</w:t>
      </w:r>
      <w:proofErr w:type="gramEnd"/>
      <w:r w:rsidRPr="009B2691">
        <w:t xml:space="preserve"> do wiadomości wniosek złożony przez parlamenty narodowe w sprawie wydłużenia ośmiotygodniowego terminu na przedstawienie uzasadnionej opinii na mocy art. 3 protokołu nr 1; podkreśla jednak, że obecne ramy traktatowe nie przewidują przedłużenia tego terminu; zwraca uwagę, że aby ograniczać ryzyko, od 2019 r. przy ustalaniu ośmiotygodniowego okresu, w którym parlamenty narodowe mogą przesyłać uzasadnione opinie, Komisja zaczęła odliczać okres świąteczny pod koniec roku; uważa zatem, że w przyszłej rewizji Traktatu należy rozważyć wprowadzenie terminu dwunastu tygodni;</w:t>
      </w:r>
    </w:p>
    <w:p w:rsidR="00EE3032" w:rsidRPr="009B2691" w:rsidRDefault="00EE3032" w:rsidP="00EE3032">
      <w:pPr>
        <w:pStyle w:val="NormalHanging12a"/>
      </w:pPr>
      <w:r w:rsidRPr="009B2691">
        <w:t>16.</w:t>
      </w:r>
      <w:r w:rsidRPr="009B2691">
        <w:tab/>
      </w:r>
      <w:proofErr w:type="gramStart"/>
      <w:r w:rsidRPr="009B2691">
        <w:t>wzywa</w:t>
      </w:r>
      <w:proofErr w:type="gramEnd"/>
      <w:r w:rsidRPr="009B2691">
        <w:t xml:space="preserve"> parlamenty narodowe, by uwzględniały uzasadnione opinie parlamentów regionalnych mających kompetencje ustawodawcze w swoich uzasadnionych ostatecznych opiniach przesyłanych przewodniczącym Parlamentu, Rady i Komisji, gdy ma to wpływ na wyłączne kompetencje regionalne;</w:t>
      </w:r>
    </w:p>
    <w:p w:rsidR="00EE3032" w:rsidRPr="009B2691" w:rsidRDefault="00EE3032" w:rsidP="00EE3032">
      <w:pPr>
        <w:pStyle w:val="NormalHanging12a"/>
      </w:pPr>
      <w:r w:rsidRPr="009B2691">
        <w:t>17.</w:t>
      </w:r>
      <w:r w:rsidRPr="009B2691">
        <w:tab/>
      </w:r>
      <w:proofErr w:type="gramStart"/>
      <w:r w:rsidRPr="009B2691">
        <w:t>sugeruje</w:t>
      </w:r>
      <w:proofErr w:type="gramEnd"/>
      <w:r w:rsidRPr="009B2691">
        <w:t xml:space="preserve">, aby utworzyć system, zwany niekiedy procedurą „zielonej kartki”, w którym co najmniej jedna trzecia parlamentów narodowych mogłaby przedkładać Komisji lub Parlamentowi, gdy ten otrzyma ogólne bezpośrednie prawo inicjatywy, wnioski w celu pozytywnego wpływania na debatę europejską; w związku z tym sugeruje, aby Komisja lub Parlament Europejski mogły decydować, czy rozpatrzyć takie wnioski lub udzielić na nie formalnej odpowiedzi wraz z uzasadnieniem ich odrzucenia; zaznacza, że taka procedura nie może obejmować prawa do inicjatywy ustawodawczej czy prawa do uchylenia lub zmiany prawodawstwa, ponieważ podważałoby to metodę wspólnotową i </w:t>
      </w:r>
      <w:r w:rsidRPr="009B2691">
        <w:lastRenderedPageBreak/>
        <w:t>podział kompetencji między organami krajowymi i unijnymi, a także stanowiłoby naruszenie traktatów;</w:t>
      </w:r>
    </w:p>
    <w:p w:rsidR="00EE3032" w:rsidRPr="009B2691" w:rsidRDefault="00EE3032" w:rsidP="00EE3032">
      <w:pPr>
        <w:pStyle w:val="NormalHanging12a"/>
        <w:rPr>
          <w:b/>
          <w:i/>
        </w:rPr>
      </w:pPr>
      <w:r w:rsidRPr="009B2691">
        <w:rPr>
          <w:b/>
          <w:i/>
        </w:rPr>
        <w:t>Wdrożenie prawa do informacji</w:t>
      </w:r>
    </w:p>
    <w:p w:rsidR="00EE3032" w:rsidRPr="009B2691" w:rsidRDefault="00EE3032" w:rsidP="00EE3032">
      <w:pPr>
        <w:pStyle w:val="NormalHanging12a"/>
      </w:pPr>
      <w:r w:rsidRPr="009B2691">
        <w:t>18.</w:t>
      </w:r>
      <w:r w:rsidRPr="009B2691">
        <w:tab/>
      </w:r>
      <w:proofErr w:type="gramStart"/>
      <w:r w:rsidRPr="009B2691">
        <w:t>przyznaje</w:t>
      </w:r>
      <w:proofErr w:type="gramEnd"/>
      <w:r w:rsidRPr="009B2691">
        <w:t>, że art. 12 TUE i protokół nr 1 dają parlamentom narodowym prawo do otrzymywania informacji bezpośrednio od instytucji europejskich; sugeruje, aby prawo do informacji rozszerzyć również na parlamenty regionalne mające kompetencje ustawodawcze;</w:t>
      </w:r>
    </w:p>
    <w:p w:rsidR="00EE3032" w:rsidRPr="009B2691" w:rsidRDefault="00EE3032" w:rsidP="00EE3032">
      <w:pPr>
        <w:pStyle w:val="NormalHanging12a"/>
      </w:pPr>
      <w:r w:rsidRPr="009B2691">
        <w:t>19.</w:t>
      </w:r>
      <w:r w:rsidRPr="009B2691">
        <w:tab/>
      </w:r>
      <w:proofErr w:type="gramStart"/>
      <w:r w:rsidRPr="009B2691">
        <w:t>zaleca</w:t>
      </w:r>
      <w:proofErr w:type="gramEnd"/>
      <w:r w:rsidRPr="009B2691">
        <w:t xml:space="preserve"> parlamentom narodowym terminowe wykorzystywanie platformy IPEX, aby można było szybko uruchamiać krajowe mechanizmy kontroli; sugeruje, by korzystać z IPEX do systematycznej wymiany informacji oraz wczesnego sygnalizowania obaw dotyczących zasady pomocniczości; z zadowoleniem przyjmuje zaktualizowaną wersję wytycznych IPEX, zatwierdzoną na posiedzeniu sekretarzy generalnych w lutym 2023 r., która odpowiada nowej wersji platformy IPEX oraz możliwościom i narzędziom, jakie ona zapewnia;</w:t>
      </w:r>
    </w:p>
    <w:p w:rsidR="00EE3032" w:rsidRPr="009B2691" w:rsidRDefault="00EE3032" w:rsidP="00EE3032">
      <w:pPr>
        <w:pStyle w:val="NormalHanging12a"/>
        <w:rPr>
          <w:b/>
          <w:i/>
        </w:rPr>
      </w:pPr>
      <w:r w:rsidRPr="009B2691">
        <w:rPr>
          <w:b/>
          <w:i/>
        </w:rPr>
        <w:t>Planowanie lepszej współpracy międzyinstytucjonalnej</w:t>
      </w:r>
    </w:p>
    <w:p w:rsidR="00EE3032" w:rsidRPr="009B2691" w:rsidRDefault="00EE3032" w:rsidP="00EE3032">
      <w:pPr>
        <w:pStyle w:val="NormalHanging12a"/>
      </w:pPr>
      <w:r w:rsidRPr="009B2691">
        <w:t>20.</w:t>
      </w:r>
      <w:r w:rsidRPr="009B2691">
        <w:tab/>
      </w:r>
      <w:proofErr w:type="gramStart"/>
      <w:r w:rsidRPr="009B2691">
        <w:t>dostrzega</w:t>
      </w:r>
      <w:proofErr w:type="gramEnd"/>
      <w:r w:rsidRPr="009B2691">
        <w:t xml:space="preserve"> obecną współpracę między Parlamentem Europejskim a parlamentami narodowymi w ramach COSAC, Międzyparlamentarnej Konferencji do Spraw </w:t>
      </w:r>
      <w:proofErr w:type="spellStart"/>
      <w:r w:rsidRPr="009B2691">
        <w:t>WPZiB</w:t>
      </w:r>
      <w:proofErr w:type="spellEnd"/>
      <w:r w:rsidRPr="009B2691">
        <w:t xml:space="preserve"> oraz w ramach art. 13 Traktatu o stabilności, koordynacji i zarządzaniu w unii gospodarczej i walutowej; odnotowuje ponadto nowsze formy współpracy międzyparlamentarnej, takie jak grupa ds. wspólnej kontroli parlamentarnej Europolu oraz międzyparlamentarne posiedzenia komisji w sprawie oceny </w:t>
      </w:r>
      <w:proofErr w:type="spellStart"/>
      <w:r w:rsidRPr="009B2691">
        <w:t>Eurojustu</w:t>
      </w:r>
      <w:proofErr w:type="spellEnd"/>
      <w:r w:rsidRPr="009B2691">
        <w:t>; podkreśla, że aby parlamenty narodowe mogły sprawować kontrolę nad rządami i administracją swoich państw, współpracę taką należy rozwijać w oparciu o zasady konsensusu, wymiany informacji i konsultacji;</w:t>
      </w:r>
    </w:p>
    <w:p w:rsidR="00EE3032" w:rsidRPr="009B2691" w:rsidRDefault="00EE3032" w:rsidP="00EE3032">
      <w:pPr>
        <w:pStyle w:val="NormalHanging12a"/>
      </w:pPr>
      <w:r w:rsidRPr="009B2691">
        <w:t>21.</w:t>
      </w:r>
      <w:r w:rsidRPr="009B2691">
        <w:tab/>
      </w:r>
      <w:proofErr w:type="gramStart"/>
      <w:r w:rsidRPr="009B2691">
        <w:t>przypomina</w:t>
      </w:r>
      <w:proofErr w:type="gramEnd"/>
      <w:r w:rsidRPr="009B2691">
        <w:t>, że obecne ramy stosunków między Unią a parlamentami narodowymi można by uprościć i zharmonizować, aby zwiększyć ich wydajność i skuteczność; apeluje w tym kontekście o przegląd zaangażowania Unii i parlamentów narodowych we wszystkie istniejące platformy i fora, aby wzmocnić te stosunki i dostosować je do obecnych potrzeb; ponadto zachęca instytucje europejskie i parlamenty regionalne mające kompetencje ustawodawcze, by angażowały się aktywniej i komunikowały się bezpośrednio, a jednocześnie szanowały rolę i kompetencje parlamentów narodowych;</w:t>
      </w:r>
    </w:p>
    <w:p w:rsidR="00EE3032" w:rsidRPr="009B2691" w:rsidRDefault="00EE3032" w:rsidP="00EE3032">
      <w:pPr>
        <w:pStyle w:val="NormalHanging12a"/>
      </w:pPr>
      <w:r w:rsidRPr="009B2691">
        <w:t>22.</w:t>
      </w:r>
      <w:r w:rsidRPr="009B2691">
        <w:tab/>
      </w:r>
      <w:proofErr w:type="gramStart"/>
      <w:r w:rsidRPr="009B2691">
        <w:t>zaznacza</w:t>
      </w:r>
      <w:proofErr w:type="gramEnd"/>
      <w:r w:rsidRPr="009B2691">
        <w:t>, że wzmocnienie dialogu politycznego i technicznego między komisjami i grupami politycznymi na szczeblu krajowym i europejskim stanowiłoby bardzo owocny krok w kierunku pełnej współpracy międzyparlamentarnej; sugeruje, aby w tym celu zwiększyć wiedzę na szczeblu krajowym na temat możliwych narzędzi współpracy; dlatego proponuje przeznaczenie dodatkowych zasobów na ten cel, np. finansowanie wideokonferencji, wymiany urzędników i projekty pilotażowe;</w:t>
      </w:r>
    </w:p>
    <w:p w:rsidR="00EE3032" w:rsidRPr="009B2691" w:rsidRDefault="00EE3032" w:rsidP="00EE3032">
      <w:pPr>
        <w:pStyle w:val="NormalHanging12a"/>
      </w:pPr>
      <w:r w:rsidRPr="009B2691">
        <w:t>23.</w:t>
      </w:r>
      <w:r w:rsidRPr="009B2691">
        <w:tab/>
      </w:r>
      <w:proofErr w:type="gramStart"/>
      <w:r w:rsidRPr="009B2691">
        <w:t>uznaje</w:t>
      </w:r>
      <w:proofErr w:type="gramEnd"/>
      <w:r w:rsidRPr="009B2691">
        <w:t xml:space="preserve"> znaczenie międzyparlamentarnych posiedzeń komisji ustanowionych w art. 9 i 10 protokołu nr 1 oraz sektorowy sukces „metody komitetowej” we współpracy międzyparlamentarnej; uważa, że współpraca międzyinstytucjonalna byłaby lepsza, gdyby posłowie do Parlamentu Europejskiego i parlamentów narodowych przywiązywali większą wagę do międzyparlamentarnych posiedzeń komisji, a same posiedzenia były przygotowywane z myślą o ściślejszej współpracy; uważa, że można </w:t>
      </w:r>
      <w:r w:rsidRPr="009B2691">
        <w:lastRenderedPageBreak/>
        <w:t>by zmienić regulaminy, aby uregulować różne formy bliższej współpracy między parlamentami narodowymi a Parlamentem Europejskim, przy pełnym poszanowaniu ich kompetencji instytucjonalnych i podziału tych kompetencji;</w:t>
      </w:r>
    </w:p>
    <w:p w:rsidR="00EE3032" w:rsidRPr="009B2691" w:rsidRDefault="00EE3032" w:rsidP="00EE3032">
      <w:pPr>
        <w:ind w:left="567" w:hanging="567"/>
      </w:pPr>
      <w:r w:rsidRPr="009B2691">
        <w:t>24.</w:t>
      </w:r>
      <w:r w:rsidRPr="009B2691">
        <w:tab/>
      </w:r>
      <w:proofErr w:type="gramStart"/>
      <w:r w:rsidRPr="009B2691">
        <w:t>zaleca</w:t>
      </w:r>
      <w:proofErr w:type="gramEnd"/>
      <w:r w:rsidRPr="009B2691">
        <w:t xml:space="preserve"> pełne zaangażowanie parlamentów narodowych w nieustanny rozwój </w:t>
      </w:r>
      <w:proofErr w:type="spellStart"/>
      <w:r w:rsidRPr="009B2691">
        <w:t>WPBiO</w:t>
      </w:r>
      <w:proofErr w:type="spellEnd"/>
      <w:r w:rsidRPr="009B2691">
        <w:t>; uważa, że takie zaangażowanie należy wspierać w ścisłej współpracy z Parlamentem Europejskim, między innymi zgodnie z art. 10 protokołu nr 1 i w pełnym poszanowaniu krajowych przepisów konstytucyjnych dotyczących polityki bezpieczeństwa i obrony; zachęca parlamenty narodowe do bardziej szczegółowej refleksji nad ustalaniem priorytetów w zakresie zdolności obronnych na szczeblu UE, np. przez wspólne posiedzenia międzyparlamentarne przedstawicieli parlamentów narodowych i posłów do Parlamentu Europejskiego oraz przez dialog polityczny;</w:t>
      </w:r>
    </w:p>
    <w:p w:rsidR="00EE3032" w:rsidRPr="009B2691" w:rsidRDefault="00EE3032" w:rsidP="00EE3032">
      <w:pPr>
        <w:ind w:left="567" w:hanging="567"/>
      </w:pPr>
    </w:p>
    <w:p w:rsidR="00EE3032" w:rsidRPr="009B2691" w:rsidRDefault="00EE3032" w:rsidP="00EE3032">
      <w:pPr>
        <w:pStyle w:val="NormalHanging12a"/>
      </w:pPr>
      <w:r w:rsidRPr="009B2691">
        <w:t>25.</w:t>
      </w:r>
      <w:r w:rsidRPr="009B2691">
        <w:tab/>
      </w:r>
      <w:proofErr w:type="gramStart"/>
      <w:r w:rsidRPr="009B2691">
        <w:t>przypomina</w:t>
      </w:r>
      <w:proofErr w:type="gramEnd"/>
      <w:r w:rsidRPr="009B2691">
        <w:t>, jak ważne jest zacieśnienie współpracy i dialogu między parlamentami narodowymi a Parlamentem Europejskim w kwestii uprawnień śledczych;</w:t>
      </w:r>
    </w:p>
    <w:p w:rsidR="00EE3032" w:rsidRPr="009B2691" w:rsidRDefault="00EE3032" w:rsidP="00EE3032">
      <w:pPr>
        <w:pStyle w:val="NormalHanging12a"/>
        <w:jc w:val="center"/>
        <w:rPr>
          <w:i/>
        </w:rPr>
      </w:pPr>
      <w:r w:rsidRPr="009B2691">
        <w:rPr>
          <w:i/>
        </w:rPr>
        <w:t>°</w:t>
      </w:r>
    </w:p>
    <w:p w:rsidR="00EE3032" w:rsidRPr="009B2691" w:rsidRDefault="00EE3032" w:rsidP="00EE3032">
      <w:pPr>
        <w:pStyle w:val="NormalHanging12a"/>
        <w:jc w:val="center"/>
        <w:rPr>
          <w:i/>
        </w:rPr>
      </w:pPr>
      <w:r w:rsidRPr="009B2691">
        <w:rPr>
          <w:i/>
        </w:rPr>
        <w:t>°</w:t>
      </w:r>
      <w:r w:rsidRPr="009B2691">
        <w:rPr>
          <w:i/>
        </w:rPr>
        <w:tab/>
        <w:t>°</w:t>
      </w:r>
    </w:p>
    <w:p w:rsidR="00EE3032" w:rsidRPr="009B2691" w:rsidRDefault="00EE3032" w:rsidP="009E03BA">
      <w:pPr>
        <w:ind w:left="567" w:hanging="567"/>
      </w:pPr>
      <w:r w:rsidRPr="009B2691">
        <w:t>26.</w:t>
      </w:r>
      <w:r w:rsidRPr="009B2691">
        <w:tab/>
      </w:r>
      <w:proofErr w:type="gramStart"/>
      <w:r w:rsidRPr="009B2691">
        <w:t>zobowiązuje</w:t>
      </w:r>
      <w:proofErr w:type="gramEnd"/>
      <w:r w:rsidRPr="009B2691">
        <w:t xml:space="preserve"> swoją przewodniczącą do przekazania niniejszej rezolucji Radzie, Komisji oraz rządom i parlamentom państw członkowskich.</w:t>
      </w:r>
    </w:p>
    <w:p w:rsidR="00E365E1" w:rsidRPr="009B2691" w:rsidRDefault="00E365E1" w:rsidP="004E3D86">
      <w:bookmarkStart w:id="8" w:name="TextBodyEnd"/>
      <w:bookmarkEnd w:id="8"/>
    </w:p>
    <w:sectPr w:rsidR="00E365E1" w:rsidRPr="009B2691" w:rsidSect="009B26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D86" w:rsidRPr="009B2691" w:rsidRDefault="004E3D86">
      <w:r w:rsidRPr="009B2691">
        <w:separator/>
      </w:r>
    </w:p>
  </w:endnote>
  <w:endnote w:type="continuationSeparator" w:id="0">
    <w:p w:rsidR="004E3D86" w:rsidRPr="009B2691" w:rsidRDefault="004E3D86">
      <w:r w:rsidRPr="009B26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D86" w:rsidRPr="009B2691" w:rsidRDefault="004E3D86">
      <w:r w:rsidRPr="009B2691">
        <w:separator/>
      </w:r>
    </w:p>
  </w:footnote>
  <w:footnote w:type="continuationSeparator" w:id="0">
    <w:p w:rsidR="004E3D86" w:rsidRPr="009B2691" w:rsidRDefault="004E3D86">
      <w:r w:rsidRPr="009B2691">
        <w:continuationSeparator/>
      </w:r>
    </w:p>
  </w:footnote>
  <w:footnote w:id="1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202 z 7.6.2016,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203.</w:t>
      </w:r>
    </w:p>
  </w:footnote>
  <w:footnote w:id="2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115 z 9.5.2008,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206.</w:t>
      </w:r>
    </w:p>
  </w:footnote>
  <w:footnote w:id="3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212 E z 5.8.2010,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 94.</w:t>
      </w:r>
    </w:p>
  </w:footnote>
  <w:footnote w:id="4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443 z 22.12.2017,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40</w:t>
      </w:r>
      <w:r w:rsidRPr="009B2691">
        <w:rPr>
          <w:color w:val="000000"/>
          <w:sz w:val="24"/>
          <w:lang w:val="pl-PL"/>
        </w:rPr>
        <w:t>.</w:t>
      </w:r>
    </w:p>
  </w:footnote>
  <w:footnote w:id="5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390 z 18.11.2019,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121.</w:t>
      </w:r>
    </w:p>
  </w:footnote>
  <w:footnote w:id="6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456 z 10.11.2021,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56</w:t>
      </w:r>
      <w:r w:rsidRPr="009B2691">
        <w:rPr>
          <w:color w:val="000000"/>
          <w:sz w:val="24"/>
          <w:lang w:val="pl-PL"/>
        </w:rPr>
        <w:t>.</w:t>
      </w:r>
    </w:p>
  </w:footnote>
  <w:footnote w:id="7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479 z 16.12.2022,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18.</w:t>
      </w:r>
    </w:p>
  </w:footnote>
  <w:footnote w:id="8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81 z 18.2.2022,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74.</w:t>
      </w:r>
    </w:p>
  </w:footnote>
  <w:footnote w:id="9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="00E30D1A">
        <w:fldChar w:fldCharType="begin"/>
      </w:r>
      <w:r w:rsidR="00E30D1A" w:rsidRPr="00E30D1A">
        <w:rPr>
          <w:lang w:val="pl-PL"/>
        </w:rPr>
        <w:instrText xml:space="preserve"> HYPERLINK "https://commission.europa.e</w:instrText>
      </w:r>
      <w:r w:rsidR="00E30D1A" w:rsidRPr="00E30D1A">
        <w:rPr>
          <w:lang w:val="pl-PL"/>
        </w:rPr>
        <w:instrText xml:space="preserve">u/system/files/2018-09/report-task-force-subsidiarity-proportionality-and-doing-less-more-efficiently_en.pdf" </w:instrText>
      </w:r>
      <w:r w:rsidR="00E30D1A">
        <w:fldChar w:fldCharType="separate"/>
      </w:r>
      <w:r w:rsidRPr="009B2691">
        <w:rPr>
          <w:rStyle w:val="Hyperlink"/>
          <w:sz w:val="24"/>
          <w:lang w:val="pl-PL"/>
        </w:rPr>
        <w:t>Sprawozdanie</w:t>
      </w:r>
      <w:r w:rsidR="00E30D1A">
        <w:rPr>
          <w:rStyle w:val="Hyperlink"/>
          <w:sz w:val="24"/>
          <w:lang w:val="pl-PL"/>
        </w:rPr>
        <w:fldChar w:fldCharType="end"/>
      </w:r>
      <w:r w:rsidRPr="009B2691">
        <w:rPr>
          <w:sz w:val="24"/>
          <w:lang w:val="pl-PL"/>
        </w:rPr>
        <w:t xml:space="preserve"> grupy zadaniowej ds. zasad pomocniczości, proporcjonalności i „robić mniej, ale efektywniej” „Active </w:t>
      </w:r>
      <w:proofErr w:type="spellStart"/>
      <w:r w:rsidRPr="009B2691">
        <w:rPr>
          <w:sz w:val="24"/>
          <w:lang w:val="pl-PL"/>
        </w:rPr>
        <w:t>subsidiarity</w:t>
      </w:r>
      <w:proofErr w:type="spellEnd"/>
      <w:r w:rsidRPr="009B2691">
        <w:rPr>
          <w:sz w:val="24"/>
          <w:lang w:val="pl-PL"/>
        </w:rPr>
        <w:t xml:space="preserve"> – a </w:t>
      </w:r>
      <w:proofErr w:type="spellStart"/>
      <w:r w:rsidRPr="009B2691">
        <w:rPr>
          <w:sz w:val="24"/>
          <w:lang w:val="pl-PL"/>
        </w:rPr>
        <w:t>new</w:t>
      </w:r>
      <w:proofErr w:type="spellEnd"/>
      <w:r w:rsidRPr="009B2691">
        <w:rPr>
          <w:sz w:val="24"/>
          <w:lang w:val="pl-PL"/>
        </w:rPr>
        <w:t xml:space="preserve"> </w:t>
      </w:r>
      <w:proofErr w:type="spellStart"/>
      <w:r w:rsidRPr="009B2691">
        <w:rPr>
          <w:sz w:val="24"/>
          <w:lang w:val="pl-PL"/>
        </w:rPr>
        <w:t>way</w:t>
      </w:r>
      <w:proofErr w:type="spellEnd"/>
      <w:r w:rsidRPr="009B2691">
        <w:rPr>
          <w:sz w:val="24"/>
          <w:lang w:val="pl-PL"/>
        </w:rPr>
        <w:t xml:space="preserve"> of </w:t>
      </w:r>
      <w:proofErr w:type="spellStart"/>
      <w:r w:rsidRPr="009B2691">
        <w:rPr>
          <w:sz w:val="24"/>
          <w:lang w:val="pl-PL"/>
        </w:rPr>
        <w:t>working</w:t>
      </w:r>
      <w:proofErr w:type="spellEnd"/>
      <w:r w:rsidRPr="009B2691">
        <w:rPr>
          <w:sz w:val="24"/>
          <w:lang w:val="pl-PL"/>
        </w:rPr>
        <w:t>” [„Aktywna pomocniczość – nowy sposób pracy”], 10 lipca 2018 r.</w:t>
      </w:r>
    </w:p>
  </w:footnote>
  <w:footnote w:id="10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270 z 7.7.2021,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71.</w:t>
      </w:r>
    </w:p>
  </w:footnote>
  <w:footnote w:id="11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465 z 6.12.2022,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109.</w:t>
      </w:r>
    </w:p>
  </w:footnote>
  <w:footnote w:id="12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 xml:space="preserve">Dz.U. C 493 z 27.12.2022, </w:t>
      </w:r>
      <w:proofErr w:type="gramStart"/>
      <w:r w:rsidRPr="009B2691">
        <w:rPr>
          <w:sz w:val="24"/>
          <w:lang w:val="pl-PL"/>
        </w:rPr>
        <w:t>s</w:t>
      </w:r>
      <w:proofErr w:type="gramEnd"/>
      <w:r w:rsidRPr="009B2691">
        <w:rPr>
          <w:sz w:val="24"/>
          <w:lang w:val="pl-PL"/>
        </w:rPr>
        <w:t>. 130.</w:t>
      </w:r>
    </w:p>
  </w:footnote>
  <w:footnote w:id="13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>Teksty przyjęte, P9_TA(2023)0427.</w:t>
      </w:r>
    </w:p>
  </w:footnote>
  <w:footnote w:id="14">
    <w:p w:rsidR="00EE3032" w:rsidRPr="009B2691" w:rsidRDefault="00EE3032" w:rsidP="009B2691">
      <w:pPr>
        <w:pStyle w:val="FootnoteText"/>
        <w:ind w:left="567" w:hanging="567"/>
        <w:rPr>
          <w:sz w:val="24"/>
          <w:lang w:val="pl-PL"/>
        </w:rPr>
      </w:pPr>
      <w:r w:rsidRPr="009B2691">
        <w:rPr>
          <w:rStyle w:val="FootnoteReference"/>
          <w:sz w:val="24"/>
          <w:lang w:val="pl-PL"/>
        </w:rPr>
        <w:footnoteRef/>
      </w:r>
      <w:r w:rsidR="009B2691" w:rsidRPr="009B2691">
        <w:rPr>
          <w:sz w:val="24"/>
          <w:lang w:val="pl-PL"/>
        </w:rPr>
        <w:t xml:space="preserve"> </w:t>
      </w:r>
      <w:r w:rsidR="009B2691" w:rsidRPr="009B2691">
        <w:rPr>
          <w:sz w:val="24"/>
          <w:lang w:val="pl-PL"/>
        </w:rPr>
        <w:tab/>
      </w:r>
      <w:r w:rsidRPr="009B2691">
        <w:rPr>
          <w:sz w:val="24"/>
          <w:lang w:val="pl-PL"/>
        </w:rPr>
        <w:t>Teksty przyjęte, P9_TA(2023)0078.</w:t>
      </w:r>
    </w:p>
  </w:footnote>
  <w:footnote w:id="15">
    <w:p w:rsidR="00EE3032" w:rsidRPr="009B2691" w:rsidRDefault="00EE3032" w:rsidP="009B2691">
      <w:pPr>
        <w:pStyle w:val="FootnoteText"/>
        <w:ind w:left="567" w:hanging="567"/>
        <w:rPr>
          <w:color w:val="000000"/>
          <w:lang w:val="pl-PL"/>
        </w:rPr>
      </w:pPr>
      <w:r w:rsidRPr="009B2691">
        <w:rPr>
          <w:rStyle w:val="FootnoteReference"/>
          <w:lang w:val="pl-PL"/>
        </w:rPr>
        <w:footnoteRef/>
      </w:r>
      <w:r w:rsidR="00E30D1A">
        <w:fldChar w:fldCharType="begin"/>
      </w:r>
      <w:r w:rsidR="00E30D1A" w:rsidRPr="00E30D1A">
        <w:rPr>
          <w:lang w:val="pl-PL"/>
        </w:rPr>
        <w:instrText xml:space="preserve"> HYPERLINK "%20%09https://parleu2022.cz/wp-content/uploads/2023/04/EUSC-Prague-Presidency-Conclusions-final-EN-1.pdf" </w:instrText>
      </w:r>
      <w:r w:rsidR="00E30D1A">
        <w:fldChar w:fldCharType="separate"/>
      </w:r>
      <w:r w:rsidR="009E03BA" w:rsidRPr="00C2211B">
        <w:rPr>
          <w:rStyle w:val="Hyperlink"/>
          <w:lang w:val="pl-PL"/>
        </w:rPr>
        <w:t xml:space="preserve"> </w:t>
      </w:r>
      <w:r w:rsidR="009E03BA" w:rsidRPr="00C2211B">
        <w:rPr>
          <w:rStyle w:val="Hyperlink"/>
          <w:lang w:val="pl-PL"/>
        </w:rPr>
        <w:tab/>
        <w:t>https://parleu2022.cz/wp-content/uploads/2023/04/EUSC-Prague-Presidency-</w:t>
      </w:r>
      <w:r w:rsidR="009E03BA" w:rsidRPr="00C2211B">
        <w:rPr>
          <w:rStyle w:val="Hyperlink"/>
          <w:lang w:val="pl-PL"/>
        </w:rPr>
        <w:br/>
        <w:t>Conclusions-final-EN-1.pdf</w:t>
      </w:r>
      <w:r w:rsidR="00E30D1A">
        <w:rPr>
          <w:rStyle w:val="Hyperlink"/>
          <w:lang w:val="pl-PL"/>
        </w:rPr>
        <w:fldChar w:fldCharType="end"/>
      </w:r>
      <w:r w:rsidRPr="009B2691">
        <w:rPr>
          <w:color w:val="000000"/>
          <w:lang w:val="pl-PL"/>
        </w:rPr>
        <w:t>.</w:t>
      </w:r>
    </w:p>
  </w:footnote>
  <w:footnote w:id="16">
    <w:p w:rsidR="00EE3032" w:rsidRPr="009B2691" w:rsidRDefault="00EE3032" w:rsidP="009B2691">
      <w:pPr>
        <w:pStyle w:val="FootnoteText"/>
        <w:ind w:left="567" w:hanging="567"/>
        <w:rPr>
          <w:color w:val="000000"/>
          <w:lang w:val="pl-PL"/>
        </w:rPr>
      </w:pPr>
      <w:r w:rsidRPr="009B2691">
        <w:rPr>
          <w:rStyle w:val="FootnoteReference"/>
          <w:lang w:val="pl-PL"/>
        </w:rPr>
        <w:footnoteRef/>
      </w:r>
      <w:r w:rsidRPr="009B2691">
        <w:rPr>
          <w:rStyle w:val="FootnoteReference"/>
          <w:lang w:val="pl-PL"/>
        </w:rPr>
        <w:t xml:space="preserve"> </w:t>
      </w:r>
      <w:r w:rsidR="009E03BA">
        <w:rPr>
          <w:lang w:val="pl-PL"/>
        </w:rPr>
        <w:tab/>
      </w:r>
      <w:r w:rsidR="00E30D1A">
        <w:fldChar w:fldCharType="begin"/>
      </w:r>
      <w:r w:rsidR="00E30D1A" w:rsidRPr="00E30D1A">
        <w:rPr>
          <w:lang w:val="pl-PL"/>
        </w:rPr>
        <w:instrText xml:space="preserve"> HYPERLINK "https://secure.ip</w:instrText>
      </w:r>
      <w:r w:rsidR="00E30D1A" w:rsidRPr="00E30D1A">
        <w:rPr>
          <w:lang w:val="pl-PL"/>
        </w:rPr>
        <w:instrText xml:space="preserve">ex.eu/IPEXL-WEB/download/file/8a8629a88827df1e018828991e660000/Contribution%20adopted%20by%20the%20LXIX%20COSAC.pdf" </w:instrText>
      </w:r>
      <w:r w:rsidR="00E30D1A">
        <w:fldChar w:fldCharType="separate"/>
      </w:r>
      <w:r w:rsidRPr="009B2691">
        <w:rPr>
          <w:rStyle w:val="Hyperlink"/>
          <w:lang w:val="pl-PL"/>
        </w:rPr>
        <w:t>https://secure.ipex.eu/IPEXL-WEB/download/file/8a8629a88827df1e018828991e660000/Contribution%20adopted%20by%20the%20LXIX%20COSAC.pdf</w:t>
      </w:r>
      <w:r w:rsidR="00E30D1A">
        <w:rPr>
          <w:rStyle w:val="Hyperlink"/>
          <w:lang w:val="pl-PL"/>
        </w:rPr>
        <w:fldChar w:fldCharType="end"/>
      </w:r>
    </w:p>
  </w:footnote>
  <w:footnote w:id="17">
    <w:p w:rsidR="00EE3032" w:rsidRPr="009B2691" w:rsidRDefault="00EE3032" w:rsidP="009B2691">
      <w:pPr>
        <w:pStyle w:val="FootnoteText"/>
        <w:ind w:left="567" w:hanging="567"/>
        <w:rPr>
          <w:szCs w:val="24"/>
          <w:lang w:val="pl-PL"/>
        </w:rPr>
      </w:pPr>
      <w:r w:rsidRPr="009B2691">
        <w:rPr>
          <w:rStyle w:val="FootnoteReference"/>
          <w:lang w:val="pl-PL"/>
        </w:rPr>
        <w:footnoteRef/>
      </w:r>
      <w:r w:rsidRPr="009B2691">
        <w:rPr>
          <w:rStyle w:val="FootnoteReference"/>
          <w:lang w:val="pl-PL"/>
        </w:rPr>
        <w:t xml:space="preserve"> </w:t>
      </w:r>
      <w:r w:rsidR="009E03BA">
        <w:rPr>
          <w:lang w:val="pl-PL"/>
        </w:rPr>
        <w:tab/>
      </w:r>
      <w:r w:rsidR="00E30D1A">
        <w:fldChar w:fldCharType="begin"/>
      </w:r>
      <w:r w:rsidR="00E30D1A" w:rsidRPr="00E30D1A">
        <w:rPr>
          <w:lang w:val="pl-PL"/>
        </w:rPr>
        <w:instrText xml:space="preserve"> HYPERLINK "https://www.congreso.es/backoffice_doc/prensa/notas_prensa/99181_1688138271277.pdf" </w:instrText>
      </w:r>
      <w:r w:rsidR="00E30D1A">
        <w:fldChar w:fldCharType="separate"/>
      </w:r>
      <w:r w:rsidRPr="009B2691">
        <w:rPr>
          <w:rStyle w:val="Hyperlink"/>
          <w:lang w:val="pl-PL"/>
        </w:rPr>
        <w:t>https://www.congreso.es/backoffice_doc/prensa/notas_prensa/99181_1688138271277.pdf</w:t>
      </w:r>
      <w:r w:rsidR="00E30D1A">
        <w:rPr>
          <w:rStyle w:val="Hyperlink"/>
          <w:lang w:val="pl-PL"/>
        </w:rPr>
        <w:fldChar w:fldCharType="end"/>
      </w:r>
    </w:p>
  </w:footnote>
  <w:footnote w:id="18">
    <w:p w:rsidR="00EE3032" w:rsidRPr="009B2691" w:rsidRDefault="00EE3032" w:rsidP="009B2691">
      <w:pPr>
        <w:pStyle w:val="FootnoteText"/>
        <w:ind w:left="567" w:hanging="567"/>
        <w:rPr>
          <w:lang w:val="pl-PL"/>
        </w:rPr>
      </w:pPr>
      <w:r w:rsidRPr="009B2691">
        <w:rPr>
          <w:rStyle w:val="FootnoteReference"/>
          <w:lang w:val="pl-PL"/>
        </w:rPr>
        <w:footnoteRef/>
      </w:r>
      <w:r w:rsidRPr="009B2691">
        <w:rPr>
          <w:lang w:val="pl-PL"/>
        </w:rPr>
        <w:t xml:space="preserve"> </w:t>
      </w:r>
      <w:r w:rsidR="009E03BA">
        <w:rPr>
          <w:lang w:val="pl-PL"/>
        </w:rPr>
        <w:tab/>
      </w:r>
      <w:r w:rsidRPr="009B2691">
        <w:rPr>
          <w:lang w:val="pl-PL"/>
        </w:rPr>
        <w:t xml:space="preserve">Dz.U. L 317 z 4.11.2014, </w:t>
      </w:r>
      <w:proofErr w:type="gramStart"/>
      <w:r w:rsidRPr="009B2691">
        <w:rPr>
          <w:lang w:val="pl-PL"/>
        </w:rPr>
        <w:t>s</w:t>
      </w:r>
      <w:proofErr w:type="gramEnd"/>
      <w:r w:rsidRPr="009B2691">
        <w:rPr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6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9/2023"/>
    <w:docVar w:name="dvlangue" w:val="PL"/>
    <w:docVar w:name="dvnumam" w:val="0"/>
    <w:docVar w:name="dvpe" w:val="752.837"/>
    <w:docVar w:name="dvrapporteur" w:val="Sprawozdawca: "/>
    <w:docVar w:name="dvstar" w:val="??"/>
    <w:docVar w:name="dvtitre" w:val="Rezolucja Parlamentu Europejskiego z dnia  2024 r. w sprawie stosowania postanowień Traktatu dotyczących parlamentów narodowych(2023/2084(INI))"/>
  </w:docVars>
  <w:rsids>
    <w:rsidRoot w:val="004E3D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D86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691"/>
    <w:rsid w:val="009E03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D1A"/>
    <w:rsid w:val="00E365E1"/>
    <w:rsid w:val="00E820A4"/>
    <w:rsid w:val="00EB006A"/>
    <w:rsid w:val="00EB4772"/>
    <w:rsid w:val="00ED169E"/>
    <w:rsid w:val="00ED4235"/>
    <w:rsid w:val="00EE303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8CE2D"/>
  <w15:chartTrackingRefBased/>
  <w15:docId w15:val="{790D3250-7916-49AD-8A10-3D4B031E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EN Footnote Reference,Exposant 3 Point,FR,Footnote Reference Number,Footnote Reference/,Footnote Refernece,Footnote reference number,Footnote symbol,Fußnotenzeichen_Raxen,Ref,SUPERS,Times 10 Point,callout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E3032"/>
    <w:pPr>
      <w:spacing w:after="240"/>
      <w:ind w:left="567" w:hanging="567"/>
    </w:pPr>
  </w:style>
  <w:style w:type="paragraph" w:customStyle="1" w:styleId="EPComma">
    <w:name w:val="EPComma"/>
    <w:basedOn w:val="Normal"/>
    <w:rsid w:val="00EE3032"/>
    <w:pPr>
      <w:spacing w:before="480" w:after="240"/>
    </w:pPr>
  </w:style>
  <w:style w:type="character" w:styleId="Hyperlink">
    <w:name w:val="Hyperlink"/>
    <w:unhideWhenUsed/>
    <w:rsid w:val="00EE303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E303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658B-FA82-4BA1-A5D4-611959B0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3394</Words>
  <Characters>23039</Characters>
  <Application>Microsoft Office Word</Application>
  <DocSecurity>0</DocSecurity>
  <Lines>191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2024-01-17T11:13:00Z</dcterms:created>
  <dcterms:modified xsi:type="dcterms:W3CDTF">2024-01-17T11:13:00Z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A9-0429/2023</vt:lpwstr>
  </property>
  <property fmtid="{D5CDD505-2E9C-101B-9397-08002B2CF9AE}" pid="4" name="&lt;Type&gt;">
    <vt:lpwstr>RR</vt:lpwstr>
  </property>
</Properties>
</file>