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38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3807" w:rsidRDefault="009566F1" w:rsidP="0010095E">
            <w:pPr>
              <w:pStyle w:val="EPName"/>
            </w:pPr>
            <w:bookmarkStart w:id="0" w:name="_GoBack"/>
            <w:bookmarkEnd w:id="0"/>
            <w:r w:rsidRPr="00263807">
              <w:t>Parlamento Europeu</w:t>
            </w:r>
          </w:p>
          <w:p w:rsidR="00751A4A" w:rsidRPr="0026380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380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63807" w:rsidRDefault="00187494" w:rsidP="0010095E">
            <w:pPr>
              <w:pStyle w:val="EPLogo"/>
            </w:pPr>
            <w:r w:rsidRPr="002638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3807" w:rsidRDefault="00D058B8" w:rsidP="004C5D52">
      <w:pPr>
        <w:pStyle w:val="LineTop"/>
      </w:pPr>
    </w:p>
    <w:p w:rsidR="00680577" w:rsidRPr="00263807" w:rsidRDefault="009566F1" w:rsidP="00680577">
      <w:pPr>
        <w:pStyle w:val="EPBodyTA1"/>
      </w:pPr>
      <w:r w:rsidRPr="00263807">
        <w:t>TEXTOS APROVADOS</w:t>
      </w:r>
    </w:p>
    <w:p w:rsidR="00D058B8" w:rsidRPr="00263807" w:rsidRDefault="00D058B8" w:rsidP="00D058B8">
      <w:pPr>
        <w:pStyle w:val="LineBottom"/>
      </w:pPr>
    </w:p>
    <w:p w:rsidR="009566F1" w:rsidRPr="00263807" w:rsidRDefault="009566F1" w:rsidP="009566F1">
      <w:pPr>
        <w:pStyle w:val="ATHeading1"/>
      </w:pPr>
      <w:bookmarkStart w:id="1" w:name="TANumber"/>
      <w:r w:rsidRPr="00263807">
        <w:t>P9_</w:t>
      </w:r>
      <w:proofErr w:type="gramStart"/>
      <w:r w:rsidRPr="00263807">
        <w:t>TA(</w:t>
      </w:r>
      <w:proofErr w:type="gramEnd"/>
      <w:r w:rsidRPr="00263807">
        <w:t>2024)00</w:t>
      </w:r>
      <w:bookmarkEnd w:id="1"/>
      <w:r w:rsidR="00263807" w:rsidRPr="00263807">
        <w:t>23</w:t>
      </w:r>
    </w:p>
    <w:p w:rsidR="009566F1" w:rsidRPr="00263807" w:rsidRDefault="009566F1" w:rsidP="009566F1">
      <w:pPr>
        <w:pStyle w:val="ATHeading2"/>
      </w:pPr>
      <w:bookmarkStart w:id="2" w:name="title"/>
      <w:r w:rsidRPr="00263807">
        <w:t>Aplicação das disposições do Tratado relativas aos parlamentos nacionais</w:t>
      </w:r>
      <w:bookmarkEnd w:id="2"/>
    </w:p>
    <w:p w:rsidR="009566F1" w:rsidRPr="00263807" w:rsidRDefault="009566F1" w:rsidP="009566F1">
      <w:pPr>
        <w:rPr>
          <w:i/>
          <w:vanish/>
        </w:rPr>
      </w:pPr>
      <w:r w:rsidRPr="00263807">
        <w:rPr>
          <w:i/>
        </w:rPr>
        <w:fldChar w:fldCharType="begin"/>
      </w:r>
      <w:r w:rsidRPr="00263807">
        <w:rPr>
          <w:i/>
        </w:rPr>
        <w:instrText xml:space="preserve"> TC"(</w:instrText>
      </w:r>
      <w:bookmarkStart w:id="3" w:name="DocNumber"/>
      <w:r w:rsidRPr="00263807">
        <w:rPr>
          <w:i/>
        </w:rPr>
        <w:instrText>A9-0429/2023</w:instrText>
      </w:r>
      <w:bookmarkEnd w:id="3"/>
      <w:r w:rsidRPr="00263807">
        <w:rPr>
          <w:i/>
        </w:rPr>
        <w:instrText xml:space="preserve"> - Relator: Paulo Rangel)"\l3 \n&gt; \* MERGEFORMAT </w:instrText>
      </w:r>
      <w:r w:rsidRPr="00263807">
        <w:rPr>
          <w:i/>
        </w:rPr>
        <w:fldChar w:fldCharType="end"/>
      </w:r>
    </w:p>
    <w:p w:rsidR="009566F1" w:rsidRPr="00263807" w:rsidRDefault="009566F1" w:rsidP="009566F1">
      <w:pPr>
        <w:rPr>
          <w:vanish/>
        </w:rPr>
      </w:pPr>
      <w:bookmarkStart w:id="4" w:name="Commission"/>
      <w:r w:rsidRPr="00263807">
        <w:rPr>
          <w:vanish/>
        </w:rPr>
        <w:t>Comissão dos Assuntos Constitucionais</w:t>
      </w:r>
      <w:bookmarkEnd w:id="4"/>
    </w:p>
    <w:p w:rsidR="009566F1" w:rsidRPr="00263807" w:rsidRDefault="009566F1" w:rsidP="009566F1">
      <w:pPr>
        <w:rPr>
          <w:vanish/>
        </w:rPr>
      </w:pPr>
      <w:bookmarkStart w:id="5" w:name="PE"/>
      <w:r w:rsidRPr="00263807">
        <w:rPr>
          <w:vanish/>
        </w:rPr>
        <w:t>PE752.837</w:t>
      </w:r>
      <w:bookmarkEnd w:id="5"/>
    </w:p>
    <w:p w:rsidR="009566F1" w:rsidRPr="00263807" w:rsidRDefault="009566F1" w:rsidP="009566F1">
      <w:pPr>
        <w:pStyle w:val="ATHeading3"/>
      </w:pPr>
      <w:bookmarkStart w:id="6" w:name="Sujet"/>
      <w:r w:rsidRPr="00263807">
        <w:t xml:space="preserve">Resolução do Parlamento Europeu, de </w:t>
      </w:r>
      <w:r w:rsidR="002156DA" w:rsidRPr="00263807">
        <w:t xml:space="preserve">17 </w:t>
      </w:r>
      <w:r w:rsidRPr="00263807">
        <w:t xml:space="preserve">de </w:t>
      </w:r>
      <w:r w:rsidR="00007652" w:rsidRPr="00263807">
        <w:t xml:space="preserve">janeiro </w:t>
      </w:r>
      <w:r w:rsidRPr="00263807">
        <w:t>de 2024, sobre a aplicação das disposições dos Tratados relativas aos parlamentos nacionais</w:t>
      </w:r>
      <w:bookmarkEnd w:id="6"/>
      <w:r w:rsidRPr="00263807">
        <w:t xml:space="preserve"> </w:t>
      </w:r>
      <w:bookmarkStart w:id="7" w:name="References"/>
      <w:r w:rsidRPr="00263807">
        <w:t>(2023/2084(INI))</w:t>
      </w:r>
      <w:bookmarkEnd w:id="7"/>
    </w:p>
    <w:p w:rsidR="00A15984" w:rsidRPr="00263807" w:rsidRDefault="00A15984" w:rsidP="00A15984">
      <w:pPr>
        <w:pStyle w:val="EPComma"/>
      </w:pPr>
      <w:bookmarkStart w:id="8" w:name="TextBodyBegin"/>
      <w:bookmarkEnd w:id="8"/>
      <w:r w:rsidRPr="00263807">
        <w:rPr>
          <w:i/>
        </w:rPr>
        <w:t>O Parlamento Europeu</w:t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o Tratado da União Europeia (TUE), nomeadamente o artigo 5.º, sobre a atribuição de competências e a subsidiariedade, o artigo 10.º, n.º 1, sobre a democracia representativa, o artigo 10.º, n.º 2, sobre a representação dos cidadãos da UE, o artigo 10.º, n.º 3, sobre o direito dos cidadãos da UE de participarem na vida democrática da União, o artigo 10.º, n.º 4, sobre o papel dos partidos políticos europeus, o artigo 11.º, sobre a democracia participativa, o artigo 12.º, sobre o papel dos parlamentos nacionais, o artigo 48.º, n.º 3, sobre o processo de revisão ordinário, e o artigo 48.º, n.º 7 (cláusula</w:t>
      </w:r>
      <w:r w:rsidRPr="00263807">
        <w:noBreakHyphen/>
        <w:t>ponte),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o Protocolo n.º 1 relativo ao papel dos parlamentos nacionais na União Europeia</w:t>
      </w:r>
      <w:r w:rsidRPr="00263807">
        <w:rPr>
          <w:rStyle w:val="FootnoteReference"/>
        </w:rPr>
        <w:footnoteReference w:id="1"/>
      </w:r>
      <w:r w:rsidRPr="00263807">
        <w:t>, anexo ao Tratado de Amesterdão, e o Protocolo n.º 2 relativo à aplicação dos princípios da subsidiariedade e da proporcionalidade</w:t>
      </w:r>
      <w:r w:rsidRPr="00263807">
        <w:rPr>
          <w:rStyle w:val="FootnoteReference"/>
        </w:rPr>
        <w:footnoteReference w:id="2"/>
      </w:r>
      <w:r w:rsidRPr="00263807">
        <w:t>, anexo ao Tratado de Lisboa,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o artigo 15.º do Tratado sobre o Funcionamento da União Europeia (TFUE) e os artigos 41.º e 42.º da Carta dos Direitos Fundamentais da União Europeia,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a sua Resolução, de 7 de maio de 2009, sobre o desenvolvimento das relações entre o Parlamento Europeu e os parlamentos nacionais nos termos do Tratado de Lisboa</w:t>
      </w:r>
      <w:r w:rsidRPr="00263807">
        <w:rPr>
          <w:vertAlign w:val="superscript"/>
        </w:rPr>
        <w:footnoteReference w:id="3"/>
      </w:r>
      <w:r w:rsidRPr="00263807">
        <w:t>, a sua Resolução, de 16 de abril de 2014, sobre as relações entre o Parlamento Europeu e os parlamentos nacionais</w:t>
      </w:r>
      <w:r w:rsidRPr="00263807">
        <w:rPr>
          <w:vertAlign w:val="superscript"/>
        </w:rPr>
        <w:footnoteReference w:id="4"/>
      </w:r>
      <w:r w:rsidRPr="00263807">
        <w:t xml:space="preserve"> e a s</w:t>
      </w:r>
      <w:r w:rsidR="004468F1" w:rsidRPr="00263807">
        <w:t>ua Resolução, de 19 de abril de </w:t>
      </w:r>
      <w:r w:rsidRPr="00263807">
        <w:t>2018, sobre a aplicação das disposições do Tratado relativas aos parlamentos nacionais</w:t>
      </w:r>
      <w:r w:rsidRPr="00263807">
        <w:rPr>
          <w:vertAlign w:val="superscript"/>
        </w:rPr>
        <w:footnoteReference w:id="5"/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lastRenderedPageBreak/>
        <w:t>–</w:t>
      </w:r>
      <w:r w:rsidRPr="00263807">
        <w:tab/>
        <w:t>Tendo em conta a proposta de regulamento do Parlamento Europeu e do Conselho relativo ao estatuto e ao financiamento dos partidos políticos europeus e das fundações políticas europeias (</w:t>
      </w:r>
      <w:proofErr w:type="gramStart"/>
      <w:r w:rsidRPr="00263807">
        <w:t>COM(</w:t>
      </w:r>
      <w:proofErr w:type="gramEnd"/>
      <w:r w:rsidRPr="00263807">
        <w:t>2021)0734),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os relatórios anuais da Comissão sobre a aplicação dos princípios da subsidiariedade e da proporcionalidade e as relações com os parlamentos nacionais relativos a 2018, de 11 de julho de 2019 (</w:t>
      </w:r>
      <w:proofErr w:type="gramStart"/>
      <w:r w:rsidRPr="00263807">
        <w:t>COM(</w:t>
      </w:r>
      <w:proofErr w:type="gramEnd"/>
      <w:r w:rsidRPr="00263807">
        <w:t>2019)0</w:t>
      </w:r>
      <w:r w:rsidR="00EB4B26" w:rsidRPr="00263807">
        <w:t>333), a 2019, de 30 de junho de </w:t>
      </w:r>
      <w:r w:rsidRPr="00263807">
        <w:t>2020 (COM(2020)0272), a 2020, de 23 de julho de 2021 (COM(2021)0417), e a 2021, de 1 de agosto de 2022 (COM(2022)0366),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os relatórios anuais da Direção das Relações com os Parlamentos Nacionais do PE, nomeadamente o relatório de 2022 sobre as relações entre o Parlamento Europeu e os parlamentos nacionais da UE,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a sua Resolução, de 20 de janeiro de 2021, sobre o controlo da aplicação do direito da União – 2017, 2018 e 2019</w:t>
      </w:r>
      <w:r w:rsidRPr="00263807">
        <w:rPr>
          <w:vertAlign w:val="superscript"/>
        </w:rPr>
        <w:footnoteReference w:id="6"/>
      </w:r>
      <w:r w:rsidRPr="00263807">
        <w:t xml:space="preserve"> e a </w:t>
      </w:r>
      <w:r w:rsidR="004468F1" w:rsidRPr="00263807">
        <w:t>sua Resolução, de 19 de maio de </w:t>
      </w:r>
      <w:r w:rsidRPr="00263807">
        <w:t>2022, sobre o relatório de 2021 da Comissão sobre o Estado de Direito</w:t>
      </w:r>
      <w:r w:rsidRPr="00263807">
        <w:rPr>
          <w:vertAlign w:val="superscript"/>
        </w:rPr>
        <w:footnoteReference w:id="7"/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a sua Resolução, de 24 de junho de 2021, sobre a adequação da regulamentação da UE, a subsidiariedade e a proporcionalidade – Relatório sobre «Legislar Melhor», abrangendo os anos de 2017, 2018 e 2019</w:t>
      </w:r>
      <w:r w:rsidRPr="00263807">
        <w:rPr>
          <w:vertAlign w:val="superscript"/>
        </w:rPr>
        <w:footnoteReference w:id="8"/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 xml:space="preserve">Tendo em conta o relatório do Grupo de Trabalho Subsidiariedade, Proporcionalidade e «Fazer menos com maior eficiência», de 10 de julho de 2018, intitulado «Active </w:t>
      </w:r>
      <w:proofErr w:type="spellStart"/>
      <w:r w:rsidRPr="00263807">
        <w:t>Subsidiarity</w:t>
      </w:r>
      <w:proofErr w:type="spellEnd"/>
      <w:r w:rsidRPr="00263807">
        <w:t xml:space="preserve"> – A </w:t>
      </w:r>
      <w:proofErr w:type="spellStart"/>
      <w:r w:rsidRPr="00263807">
        <w:t>new</w:t>
      </w:r>
      <w:proofErr w:type="spellEnd"/>
      <w:r w:rsidRPr="00263807">
        <w:t xml:space="preserve"> </w:t>
      </w:r>
      <w:proofErr w:type="spellStart"/>
      <w:r w:rsidRPr="00263807">
        <w:t>way</w:t>
      </w:r>
      <w:proofErr w:type="spellEnd"/>
      <w:r w:rsidRPr="00263807">
        <w:t xml:space="preserve"> </w:t>
      </w:r>
      <w:proofErr w:type="spellStart"/>
      <w:r w:rsidRPr="00263807">
        <w:t>of</w:t>
      </w:r>
      <w:proofErr w:type="spellEnd"/>
      <w:r w:rsidRPr="00263807">
        <w:t xml:space="preserve"> </w:t>
      </w:r>
      <w:proofErr w:type="spellStart"/>
      <w:r w:rsidRPr="00263807">
        <w:t>working</w:t>
      </w:r>
      <w:proofErr w:type="spellEnd"/>
      <w:r w:rsidRPr="00263807">
        <w:t>»</w:t>
      </w:r>
      <w:r w:rsidRPr="00263807">
        <w:rPr>
          <w:vertAlign w:val="superscript"/>
        </w:rPr>
        <w:footnoteReference w:id="9"/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a sua Resolução, de 15 de janeiro de 2020, sobre a posição do Parlamento Europeu relativamente à Conferência sobre o Futuro da Europa</w:t>
      </w:r>
      <w:r w:rsidRPr="00263807">
        <w:rPr>
          <w:vertAlign w:val="superscript"/>
        </w:rPr>
        <w:footnoteReference w:id="10"/>
      </w:r>
      <w:r w:rsidRPr="00263807">
        <w:t xml:space="preserve"> e a sua Resolução, de 4 de maio de 2022, sobre o seguimento das conclusões da Conferência sobre o Futuro da Europa</w:t>
      </w:r>
      <w:r w:rsidRPr="00263807">
        <w:rPr>
          <w:vertAlign w:val="superscript"/>
        </w:rPr>
        <w:footnoteReference w:id="11"/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a sua Resolução, de 9 de junho de 2022, sobre a convocação de uma convenção para a revisão dos Tratados</w:t>
      </w:r>
      <w:r w:rsidRPr="00263807">
        <w:rPr>
          <w:vertAlign w:val="superscript"/>
        </w:rPr>
        <w:footnoteReference w:id="12"/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a sua Resolução, de 22 de novembro de 2023, sobre projetos do Parlamento Europeu de revisão dos Tratados</w:t>
      </w:r>
      <w:r w:rsidRPr="00263807">
        <w:rPr>
          <w:rStyle w:val="FootnoteReference"/>
        </w:rPr>
        <w:footnoteReference w:id="13"/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 xml:space="preserve">Tendo em conta o artigo 13.º do Tratado sobre Estabilidade, Coordenação e Governação na União Económica e Monetária (TECG), que consagra a organização de conferências interparlamentares para debater as políticas orçamentais e outras questões abrangidas </w:t>
      </w:r>
      <w:r w:rsidRPr="00263807">
        <w:lastRenderedPageBreak/>
        <w:t>pelo Tratado,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a sua Resolução, de 15 de março de 2023, sobre o Semestre Europeu para a coordenação da política económica em 2023</w:t>
      </w:r>
      <w:r w:rsidRPr="00263807">
        <w:rPr>
          <w:vertAlign w:val="superscript"/>
        </w:rPr>
        <w:footnoteReference w:id="14"/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as conclusões da Presidência da Conferência dos Presidentes dos Parlamentos da União Europeia, realizada em Praga, em 24 e 25 de abril de 2023</w:t>
      </w:r>
      <w:r w:rsidRPr="00263807">
        <w:rPr>
          <w:vertAlign w:val="superscript"/>
        </w:rPr>
        <w:footnoteReference w:id="15"/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as conclusões da reunião plenária da LXIX Conferência dos Órgãos Especializados em Assuntos da União (COSAC), realizada em Estocolmo, de 14 a 16 de maio de 2023</w:t>
      </w:r>
      <w:r w:rsidRPr="00263807">
        <w:rPr>
          <w:vertAlign w:val="superscript"/>
        </w:rPr>
        <w:footnoteReference w:id="16"/>
      </w:r>
      <w:r w:rsidRPr="00263807">
        <w:t>,</w:t>
      </w:r>
    </w:p>
    <w:p w:rsidR="00A15984" w:rsidRPr="00263807" w:rsidRDefault="00A15984" w:rsidP="00A15984">
      <w:pPr>
        <w:pStyle w:val="NormalHanging12a"/>
        <w:rPr>
          <w:i/>
        </w:rPr>
      </w:pPr>
      <w:r w:rsidRPr="00263807">
        <w:t>–</w:t>
      </w:r>
      <w:r w:rsidRPr="00263807">
        <w:tab/>
        <w:t>Tendo em conta a Declaração de Leão sobre o parlamentarismo, adotada na Conferência Comemorativa do Dia Internacional do Parlamentarismo – Reforçar os Parlamentos para Melhorar a Democracia, realizada em Leão, em 30 de junho e 1 de julho de 2023</w:t>
      </w:r>
      <w:r w:rsidRPr="00263807">
        <w:rPr>
          <w:vertAlign w:val="superscript"/>
        </w:rPr>
        <w:footnoteReference w:id="17"/>
      </w:r>
      <w:r w:rsidRPr="00263807">
        <w:t>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o artigo 54.º do seu Regimento, bem como o artigo 1.º, n.º 1, alínea e), e o anexo 3 da decisão da Conferência dos Presidentes, de 12 de dezembro de 2002, sobre o processo de autorização para elaborar relatórios de iniciativa,</w:t>
      </w:r>
    </w:p>
    <w:p w:rsidR="00A15984" w:rsidRPr="00263807" w:rsidRDefault="00A15984" w:rsidP="00A15984">
      <w:pPr>
        <w:pStyle w:val="NormalHanging12a"/>
      </w:pPr>
      <w:r w:rsidRPr="00263807">
        <w:t>–</w:t>
      </w:r>
      <w:r w:rsidRPr="00263807">
        <w:tab/>
        <w:t>Tendo em conta o relatório da Comissão dos Assuntos Constitucionais (A9</w:t>
      </w:r>
      <w:r w:rsidRPr="00263807">
        <w:noBreakHyphen/>
        <w:t>0429/2023),</w:t>
      </w:r>
    </w:p>
    <w:p w:rsidR="00A15984" w:rsidRPr="00263807" w:rsidRDefault="00A15984" w:rsidP="00A15984">
      <w:pPr>
        <w:pStyle w:val="NormalHanging12a"/>
      </w:pPr>
      <w:r w:rsidRPr="00263807">
        <w:t>A.</w:t>
      </w:r>
      <w:r w:rsidRPr="00263807">
        <w:tab/>
        <w:t>Considerando que a participação ativa dos parlamentos nacionais nos assuntos europeus e o reforço do escrutínio dos governos nacionais pelos parlamentos nacionais são fundamentais para garantir a responsabilização democrática e a legitimidade do sistema institucional da UE;</w:t>
      </w:r>
    </w:p>
    <w:p w:rsidR="00A15984" w:rsidRPr="00263807" w:rsidRDefault="00A15984" w:rsidP="00A15984">
      <w:pPr>
        <w:pStyle w:val="NormalHanging12a"/>
      </w:pPr>
      <w:r w:rsidRPr="00263807">
        <w:t>B.</w:t>
      </w:r>
      <w:r w:rsidRPr="00263807">
        <w:tab/>
        <w:t>Considerando que os parlamentos nacionais «contribuem ativamente para o bom funcionamento da União Europeia» (artigo 12.º do TUE) e, juntamente com o Parlamento Europeu, desempenham um papel essencial no reforço da legitimidade democrática do projeto da UE, promovendo a confiança dos cidadãos e contribuindo para a sustentabilidade e resiliência do projeto europeu;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C.</w:t>
      </w:r>
      <w:r w:rsidRPr="00263807">
        <w:tab/>
        <w:t>Considerando</w:t>
      </w:r>
      <w:proofErr w:type="gramEnd"/>
      <w:r w:rsidRPr="00263807">
        <w:t xml:space="preserve"> que os instrumentos existentes para a participação dos parlamentos nacionais nos assuntos europeus são largamente desconhecidos, tanto pelos decisores como pelo público em geral</w:t>
      </w:r>
      <w:r w:rsidR="00007652" w:rsidRPr="00263807">
        <w:t>; considerando que</w:t>
      </w:r>
      <w:r w:rsidRPr="00263807">
        <w:t xml:space="preserve"> é necessário divulgar esses instrumentos;</w:t>
      </w:r>
    </w:p>
    <w:p w:rsidR="00A15984" w:rsidRPr="00263807" w:rsidRDefault="00A15984" w:rsidP="00A15984">
      <w:pPr>
        <w:pStyle w:val="NormalHanging12a"/>
      </w:pPr>
      <w:r w:rsidRPr="00263807">
        <w:t>D.</w:t>
      </w:r>
      <w:r w:rsidRPr="00263807">
        <w:tab/>
        <w:t xml:space="preserve">Considerando que a responsabilização e o controlo parlamentar dos governos nacionais no quadro dos assuntos europeus, que depende de práticas nacionais individuais, constitui a pedra angular do papel dos parlamentos nacionais no atual quadro dos </w:t>
      </w:r>
      <w:r w:rsidRPr="00263807">
        <w:lastRenderedPageBreak/>
        <w:t xml:space="preserve">Tratados europeus; </w:t>
      </w:r>
    </w:p>
    <w:p w:rsidR="00A15984" w:rsidRPr="00263807" w:rsidRDefault="00A15984" w:rsidP="00A15984">
      <w:pPr>
        <w:pStyle w:val="NormalHanging12a"/>
      </w:pPr>
      <w:r w:rsidRPr="00263807">
        <w:t>E.</w:t>
      </w:r>
      <w:r w:rsidRPr="00263807">
        <w:tab/>
        <w:t>Considerando que esta responsabilização e controlo podem ser facilitados por uma maior transparência no Conselho, especialmente no que diz respeito ao histórico de votação e às posições dos Estados</w:t>
      </w:r>
      <w:r w:rsidRPr="00263807">
        <w:noBreakHyphen/>
        <w:t>Membros</w:t>
      </w:r>
      <w:r w:rsidR="00007652" w:rsidRPr="00263807">
        <w:t>; considerando que</w:t>
      </w:r>
      <w:r w:rsidRPr="00263807">
        <w:t xml:space="preserve"> os parlamentos nacionais e o Parlamento Europeu devem aumentar a pressão sobre o Conselho para que atue de forma mais transparente e seja mais responsável ao longo do processo legislativo</w:t>
      </w:r>
      <w:r w:rsidR="00007652" w:rsidRPr="00263807">
        <w:t>; considerando que</w:t>
      </w:r>
      <w:r w:rsidRPr="00263807">
        <w:t xml:space="preserve"> um maior acesso a documentos de outras instituições da UE permite aos parlamentos nacionais exercer cabalmente o controlo;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F.</w:t>
      </w:r>
      <w:r w:rsidRPr="00263807">
        <w:tab/>
        <w:t>Considerando</w:t>
      </w:r>
      <w:proofErr w:type="gramEnd"/>
      <w:r w:rsidRPr="00263807">
        <w:t xml:space="preserve"> que a falta de transparência nos processos legislativo e decisório da UE pode comprometer tanto as prerrogativas dos parlamentos nacionais ao abrigo dos Tratados e dos protocolos pertinentes, como, em particular, o seu papel no escrutínio dos respetivos governos nacionais representados no Conselho;</w:t>
      </w:r>
    </w:p>
    <w:p w:rsidR="00A15984" w:rsidRPr="00263807" w:rsidRDefault="00A15984" w:rsidP="00A15984">
      <w:pPr>
        <w:pStyle w:val="NormalHanging12a"/>
      </w:pPr>
      <w:r w:rsidRPr="00263807">
        <w:t>G.</w:t>
      </w:r>
      <w:r w:rsidRPr="00263807">
        <w:tab/>
        <w:t>Considerando que o pluralismo parlamentar enriquece o debate a nível europeu e, por conseguinte, é altamente benéfico para a União e para a representação das minorias parlamentares em assuntos europeus e ajuda a equilibrar as maiorias em cada parlamento, ao mesmo tempo que as respeita plenamente e em conformidade com as suas proporções</w:t>
      </w:r>
      <w:r w:rsidR="00007652" w:rsidRPr="00263807">
        <w:t>; considerando que</w:t>
      </w:r>
      <w:r w:rsidRPr="00263807">
        <w:t xml:space="preserve"> as opiniões e a representação das minorias parlamentares nacionais devem ser tidas em conta a nível da UE e podem revelar</w:t>
      </w:r>
      <w:r w:rsidRPr="00263807">
        <w:noBreakHyphen/>
        <w:t>se úteis, nomeadamente, num futuro processo de revisão dos Tratados da UE, respeitando as competências dos parlamentos nacionais no que se refere à sua representação;</w:t>
      </w:r>
    </w:p>
    <w:p w:rsidR="00A15984" w:rsidRPr="00263807" w:rsidRDefault="00A15984" w:rsidP="00A15984">
      <w:pPr>
        <w:pStyle w:val="NormalHanging12a"/>
      </w:pPr>
      <w:r w:rsidRPr="00263807">
        <w:t>H.</w:t>
      </w:r>
      <w:r w:rsidRPr="00263807">
        <w:tab/>
        <w:t>Considerando que o Protocolo n.º 2 (artigo 6.º) reconhece que os parlamentos nacionais podem consultar os parlamentos regionais com competências legislativas, mas que o papel dos parlamentos regionais depende em grande medida das disposições nacionais e, muito frequentemente, continua a ser um papel consultivo</w:t>
      </w:r>
      <w:r w:rsidR="00007652" w:rsidRPr="00263807">
        <w:t>; considerando que</w:t>
      </w:r>
      <w:r w:rsidRPr="00263807">
        <w:t xml:space="preserve"> a Comissão, o Conselho, os Estados</w:t>
      </w:r>
      <w:r w:rsidRPr="00263807">
        <w:noBreakHyphen/>
        <w:t>Membros e os respetivos parlamentos nacionais devem ter em conta o papel dos parlamentos regionais com competências legislativas e promover a sua participação, em especial quando possam ser afetadas competências exclusivamente regionais;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I.</w:t>
      </w:r>
      <w:r w:rsidRPr="00263807">
        <w:tab/>
        <w:t>Considerando</w:t>
      </w:r>
      <w:proofErr w:type="gramEnd"/>
      <w:r w:rsidRPr="00263807">
        <w:t xml:space="preserve"> que muitos membros do Comité das Regiões são titulares de um mandato eleitoral regional</w:t>
      </w:r>
      <w:r w:rsidR="00007652" w:rsidRPr="00263807">
        <w:t>; considerando que</w:t>
      </w:r>
      <w:r w:rsidRPr="00263807">
        <w:t xml:space="preserve"> poderia ser realizado um debate sobre o papel do Comité das Regiões na aproximação dos parlamentos regionais ao processo global de integração e no reforço da democracia europeia;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J.</w:t>
      </w:r>
      <w:r w:rsidRPr="00263807">
        <w:tab/>
        <w:t>Considerando</w:t>
      </w:r>
      <w:proofErr w:type="gramEnd"/>
      <w:r w:rsidRPr="00263807">
        <w:t xml:space="preserve"> que os parlamentos nacionais e o seu papel no quadro institucional da UE foram abordados numa série de propostas constantes do relatório sobre o resultado final da Conferência sobre o Futuro da Europa</w:t>
      </w:r>
      <w:r w:rsidR="00007652" w:rsidRPr="00263807">
        <w:t>; considerando que</w:t>
      </w:r>
      <w:r w:rsidRPr="00263807">
        <w:t xml:space="preserve"> a experiência da Conferência sobre o Futuro da Europa demonstrou a aliança frutuosa entre os parlamentos nacionais e o Parlamento Europeu;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K.</w:t>
      </w:r>
      <w:r w:rsidRPr="00263807">
        <w:tab/>
        <w:t>Considerando</w:t>
      </w:r>
      <w:proofErr w:type="gramEnd"/>
      <w:r w:rsidRPr="00263807">
        <w:t xml:space="preserve"> que os parlamentos nacionais participam em qualquer revisão dos Tratados europeus, em especial com o objetivo de reforçar a dimensão parlamentar e a vida democrática da UE</w:t>
      </w:r>
      <w:r w:rsidR="00007652" w:rsidRPr="00263807">
        <w:t>; considerando que</w:t>
      </w:r>
      <w:r w:rsidRPr="00263807">
        <w:t>, na su</w:t>
      </w:r>
      <w:r w:rsidR="00EB4B26" w:rsidRPr="00263807">
        <w:t>a resolução de 9 de junho de </w:t>
      </w:r>
      <w:r w:rsidRPr="00263807">
        <w:t>2022, o Parlamento Europeu solicitou a convocação de uma convenção para a revisão dos Tratados;</w:t>
      </w:r>
    </w:p>
    <w:p w:rsidR="00A15984" w:rsidRPr="00263807" w:rsidRDefault="00A15984" w:rsidP="00A15984">
      <w:pPr>
        <w:pStyle w:val="NormalHanging12a"/>
      </w:pPr>
      <w:r w:rsidRPr="00263807">
        <w:t>L.</w:t>
      </w:r>
      <w:r w:rsidRPr="00263807">
        <w:tab/>
        <w:t>Considerando que poderia promover</w:t>
      </w:r>
      <w:r w:rsidRPr="00263807">
        <w:noBreakHyphen/>
        <w:t xml:space="preserve">se uma esfera pública europeia recorrendo a uma </w:t>
      </w:r>
      <w:r w:rsidRPr="00263807">
        <w:lastRenderedPageBreak/>
        <w:t>série de fóruns sobre a agenda europeia e que esses fóruns poderiam ser apoiados através de uma «Semana Europeia» comum, em que os membros das câmaras parlamentares nacionais e regionais debateriam em simultâneo assuntos europeus com comissários, deputados ao Parlamento Europeu e ministros da Presidência em exercício do Conselho</w:t>
      </w:r>
      <w:r w:rsidR="00007652" w:rsidRPr="00263807">
        <w:t>; considerando que</w:t>
      </w:r>
      <w:r w:rsidRPr="00263807">
        <w:t xml:space="preserve"> o desenvolvimento de uma verdadeira esfera pública europeia beneficiaria também de uma maior sensibilização, participação e diálogo com os cidadãos;</w:t>
      </w:r>
    </w:p>
    <w:p w:rsidR="00A15984" w:rsidRPr="00263807" w:rsidRDefault="00A15984" w:rsidP="00A15984">
      <w:pPr>
        <w:pStyle w:val="NormalHanging12a"/>
      </w:pPr>
      <w:r w:rsidRPr="00263807">
        <w:t>M.</w:t>
      </w:r>
      <w:r w:rsidRPr="00263807">
        <w:tab/>
        <w:t xml:space="preserve">Considerando que a participação dos parlamentos nacionais nos assuntos da UE deve também ser reforçada com uma abordagem temática, baseada nas comissões ou </w:t>
      </w:r>
      <w:r w:rsidRPr="00263807">
        <w:rPr>
          <w:i/>
          <w:iCs/>
        </w:rPr>
        <w:t>ad hoc</w:t>
      </w:r>
      <w:r w:rsidR="00007652" w:rsidRPr="00263807">
        <w:t>; considerando que</w:t>
      </w:r>
      <w:r w:rsidRPr="00263807">
        <w:t xml:space="preserve"> o formato das reuniões das comissões interparlamentares deve ser aperfeiçoado;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N.</w:t>
      </w:r>
      <w:r w:rsidRPr="00263807">
        <w:tab/>
        <w:t>Considerando</w:t>
      </w:r>
      <w:proofErr w:type="gramEnd"/>
      <w:r w:rsidRPr="00263807">
        <w:t xml:space="preserve"> que os parlamentos nacionais manifestam interesse em participar mais ativamente no conteúdo das políticas e da legislação da UE, em vez de apenas participarem no quadro do mecanismo de alerta precoce, que diz exclusivamente respeito à subsidiariedade;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O.</w:t>
      </w:r>
      <w:r w:rsidRPr="00263807">
        <w:tab/>
        <w:t>Considerando</w:t>
      </w:r>
      <w:proofErr w:type="gramEnd"/>
      <w:r w:rsidRPr="00263807">
        <w:t xml:space="preserve"> que a aplicação do direito dos parlamentos nacionais de controlarem o cumprimento do princípio da subsidiariedade, com base no mecanismo de alerta precoce, reforçou a participação dos parlamentos nac</w:t>
      </w:r>
      <w:r w:rsidR="00EB4B26" w:rsidRPr="00263807">
        <w:t>ionais no processo decisório da </w:t>
      </w:r>
      <w:r w:rsidRPr="00263807">
        <w:t>UE;</w:t>
      </w:r>
    </w:p>
    <w:p w:rsidR="00A15984" w:rsidRPr="00263807" w:rsidRDefault="00A15984" w:rsidP="00A15984">
      <w:pPr>
        <w:pStyle w:val="NormalHanging12a"/>
      </w:pPr>
      <w:r w:rsidRPr="00263807">
        <w:t>P.</w:t>
      </w:r>
      <w:r w:rsidRPr="00263807">
        <w:tab/>
        <w:t>Considerando que os pareceres fundamentados apresentados pelos parlamentos nacionais reforçam o processo legislativo europeu ao avaliarem o cumprimento do princípio da subsidiariedade</w:t>
      </w:r>
      <w:r w:rsidR="00007652" w:rsidRPr="00263807">
        <w:t>; considerando que</w:t>
      </w:r>
      <w:r w:rsidRPr="00263807">
        <w:t xml:space="preserve"> o prazo de oito semanas estabelecido no artigo 4.º do Protocolo n.º 1 se revelou insuficiente para o controlo atempado do cumprimento do princípio da subsidiariedade e deve ser alargado no âmbito da próxima revisão dos Tratados;</w:t>
      </w:r>
    </w:p>
    <w:p w:rsidR="00A15984" w:rsidRPr="00263807" w:rsidRDefault="00A15984" w:rsidP="00A15984">
      <w:pPr>
        <w:pStyle w:val="NormalHanging12a"/>
      </w:pPr>
      <w:r w:rsidRPr="00263807">
        <w:t>Q.</w:t>
      </w:r>
      <w:r w:rsidRPr="00263807">
        <w:tab/>
        <w:t>Considerando que os partidos políticos europeus desempenham um papel fundamental na aproximação entre a UE e os parlamentos nacionais</w:t>
      </w:r>
      <w:r w:rsidR="00007652" w:rsidRPr="00263807">
        <w:t>; considerando que</w:t>
      </w:r>
      <w:r w:rsidRPr="00263807">
        <w:t xml:space="preserve"> os obstáculos regulamentares impedem uma ligação mais significativa entre os partidos políticos europeus e os partidos nacionais</w:t>
      </w:r>
      <w:r w:rsidR="00007652" w:rsidRPr="00263807">
        <w:t>; considerando que</w:t>
      </w:r>
      <w:r w:rsidRPr="00263807">
        <w:t xml:space="preserve"> podem ser ponderados instrumentos inovadores e mais fortes de cooperação entre os parlamentos nacionais e o Parlamento Europeu, incluindo um diálogo mais intenso entre as famílias e grupos políticos;</w:t>
      </w:r>
    </w:p>
    <w:p w:rsidR="00A15984" w:rsidRPr="00263807" w:rsidRDefault="00A15984" w:rsidP="00A15984">
      <w:pPr>
        <w:pStyle w:val="NormalHanging12a"/>
      </w:pPr>
      <w:r w:rsidRPr="00263807">
        <w:t>R.</w:t>
      </w:r>
      <w:r w:rsidRPr="00263807">
        <w:tab/>
        <w:t>Considerando que, no relatório de execução de 2018, se recomendou que fosse dada aos parlamentos nacionais a possibilidade de apresentarem propostas construtivas para apreciação pela Comissão, tendo devidamente em conta o direito de iniciativa desta última;</w:t>
      </w:r>
    </w:p>
    <w:p w:rsidR="00A15984" w:rsidRPr="00263807" w:rsidRDefault="00A15984" w:rsidP="00A15984">
      <w:pPr>
        <w:pStyle w:val="NormalHanging12a"/>
      </w:pPr>
      <w:r w:rsidRPr="00263807">
        <w:t>S.</w:t>
      </w:r>
      <w:r w:rsidRPr="00263807">
        <w:tab/>
        <w:t>Considerando que a Conferência sobre o Futuro da Europa recomendou que os parlamentos nacionais e os parlamentos regionais com competências legislativas tenham «a possibilidade de propor uma iniciativa legislativa ao nível europeu», instrumento que lhes daria a oportunidade de apresentarem propostas construtivas para apreciação pela Comissão, tendo devidamente em conta o direito de iniciativa desta última, após obterem o apoio do Parlamento</w:t>
      </w:r>
      <w:r w:rsidR="00007652" w:rsidRPr="00263807">
        <w:t>; considerando que</w:t>
      </w:r>
      <w:r w:rsidRPr="00263807">
        <w:t xml:space="preserve"> o objetivo de alcançar um pleno direito de iniciativa para o Parlamento Europeu foi salientado em numerosas ocasiões durante a atual legislatura;</w:t>
      </w:r>
    </w:p>
    <w:p w:rsidR="00A15984" w:rsidRPr="00263807" w:rsidRDefault="00A15984" w:rsidP="00A15984">
      <w:pPr>
        <w:pStyle w:val="NormalHanging12a"/>
        <w:rPr>
          <w:szCs w:val="24"/>
        </w:rPr>
      </w:pPr>
      <w:r w:rsidRPr="00263807">
        <w:lastRenderedPageBreak/>
        <w:t>T.</w:t>
      </w:r>
      <w:r w:rsidRPr="00263807">
        <w:tab/>
        <w:t xml:space="preserve">Considerando que, na sua resolução de 9 de junho de 2022, o Parlamento solicitou o estabelecimento de um </w:t>
      </w:r>
      <w:r w:rsidRPr="00263807">
        <w:rPr>
          <w:shd w:val="clear" w:color="auto" w:fill="FFFFFF"/>
        </w:rPr>
        <w:t>direito geral direto de iniciativa legislativa para o Parlamento Europeu</w:t>
      </w:r>
      <w:r w:rsidR="00007652" w:rsidRPr="00263807">
        <w:t>; considerando que</w:t>
      </w:r>
      <w:r w:rsidRPr="00263807">
        <w:t>, no seguimento da concessão deste direito, os procedimentos de «cartão verde» deveriam ser dirigidos ao Parlamento;</w:t>
      </w:r>
    </w:p>
    <w:p w:rsidR="00A15984" w:rsidRPr="00263807" w:rsidRDefault="00A15984" w:rsidP="00A15984">
      <w:pPr>
        <w:pStyle w:val="NormalHanging12a"/>
      </w:pPr>
      <w:r w:rsidRPr="00263807">
        <w:t>U.</w:t>
      </w:r>
      <w:r w:rsidRPr="00263807">
        <w:tab/>
        <w:t>Considerando que a aplicação de um procedimento de «cartão vermelho» não pode ser considerada um instrumento adequado e construtivo em relação ao objetivo de aumentar a participação dos parlamentos nacionais no processo de integração europeia;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V.</w:t>
      </w:r>
      <w:r w:rsidRPr="00263807">
        <w:tab/>
        <w:t>Considerando</w:t>
      </w:r>
      <w:proofErr w:type="gramEnd"/>
      <w:r w:rsidRPr="00263807">
        <w:t xml:space="preserve"> que o IPEX, uma plataforma para o intercâmbio contínuo de informações entre os parlamentos nacionais e entre os parlamentos nacionais e as instituições europeias, deve continuar a ser desenvolvido em conformidade com a sua estratégia digital</w:t>
      </w:r>
      <w:r w:rsidR="00007652" w:rsidRPr="00263807">
        <w:t>; considerando que</w:t>
      </w:r>
      <w:r w:rsidRPr="00263807">
        <w:t xml:space="preserve"> o Parlamento Europeu desempenha um papel de apoio importante a este respeito;</w:t>
      </w:r>
    </w:p>
    <w:p w:rsidR="00A15984" w:rsidRPr="00263807" w:rsidRDefault="00A15984" w:rsidP="00A15984">
      <w:pPr>
        <w:pStyle w:val="NormalHanging12a"/>
      </w:pPr>
      <w:r w:rsidRPr="00263807">
        <w:t>W.</w:t>
      </w:r>
      <w:r w:rsidRPr="00263807">
        <w:tab/>
        <w:t>Considerando que os parlamentos nacionais dispõem de competências relevantes nos domínios da liberdade, da segurança e da justiça, nos termos dos artigos 70.º, 85.º e 88.º do TFUE, pelo que devem desempenhar um papel importante no futuro, no que diz respeito à política de segurança e defesa da União, baseando</w:t>
      </w:r>
      <w:r w:rsidRPr="00263807">
        <w:noBreakHyphen/>
        <w:t>se igualmente na Conferência Interparlamentar sobre a Política Externa e de Segurança Comum e a Política Comum de Segurança e Defesa (PESC/PCSD), tal como estabelecido no artigo 10.º do Protocolo n.º 1;</w:t>
      </w:r>
    </w:p>
    <w:p w:rsidR="00A15984" w:rsidRPr="00263807" w:rsidRDefault="00A15984" w:rsidP="00A15984">
      <w:pPr>
        <w:pStyle w:val="NormalHanging12a"/>
        <w:rPr>
          <w:b/>
          <w:i/>
        </w:rPr>
      </w:pPr>
      <w:r w:rsidRPr="00263807">
        <w:rPr>
          <w:b/>
          <w:i/>
        </w:rPr>
        <w:t>Controlo da atividade governativa relacionada com os assuntos europeus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1.</w:t>
      </w:r>
      <w:r w:rsidRPr="00263807">
        <w:tab/>
        <w:t>Considera</w:t>
      </w:r>
      <w:proofErr w:type="gramEnd"/>
      <w:r w:rsidRPr="00263807">
        <w:t xml:space="preserve"> que a aplicação dos direitos e das obrigações dos parlamentos nacionais decorrentes do Tratado de Lisboa reforçou o seu papel no quadro constitucional europeu, favorecendo um maior pluralismo, a legitimidade democrática e o melhor funcionamento da União;</w:t>
      </w:r>
    </w:p>
    <w:p w:rsidR="00A15984" w:rsidRPr="00263807" w:rsidRDefault="00A15984" w:rsidP="00263807">
      <w:pPr>
        <w:spacing w:after="240"/>
        <w:ind w:left="567" w:hanging="567"/>
      </w:pPr>
      <w:r w:rsidRPr="00263807">
        <w:t>2.</w:t>
      </w:r>
      <w:r w:rsidRPr="00263807">
        <w:tab/>
        <w:t>Entende que a responsabilização dos governos nacionais perante os parlamentos nacionais, consagrada no artigo 10.º, n.º 2, do TUE, é a pedra angular do papel das câmaras parlamentares nacionais na União Europeia; considera que os parlamentos nacionais são parceiros na manutenção do equilíbrio institucional da UE; incentiva os parlamentos nacionais a exercerem plenamente as suas funções europeias, a fim de influenciarem diretamente e fiscalizarem o conteúdo das políticas europeias, particularmente mediante o acompanhamento dos seus governos nacionais agindo na qualidade de membros do Conselho Europeu; exorta os membros dos parlamentos nacionais e regionais a promoverem uma consciência europeia nas suas decisões e a reconhecerem o impacto direto das políticas da UE nos seus eleitores; louva a boa experiência de cooperação entre os parlamentos nacionais e o Parlamento Europeu e considera que os parlamentos nacionais e o Parlamento Europeu têm potencial para ser aliados naturais na configuração de uma dimensão parlamentar da UE mais forte;</w:t>
      </w:r>
    </w:p>
    <w:p w:rsidR="00A15984" w:rsidRPr="00263807" w:rsidRDefault="00A15984" w:rsidP="00263807">
      <w:pPr>
        <w:spacing w:after="240"/>
        <w:ind w:left="567" w:hanging="567"/>
      </w:pPr>
      <w:r w:rsidRPr="00263807">
        <w:t>3.</w:t>
      </w:r>
      <w:r w:rsidRPr="00263807">
        <w:tab/>
        <w:t>Insta os Estados</w:t>
      </w:r>
      <w:r w:rsidRPr="00263807">
        <w:noBreakHyphen/>
        <w:t xml:space="preserve">Membros a assegurarem que os parlamentos nacionais disponham de tempo suficiente, da capacidade, dos recursos e do acesso necessário à informação para desempenharem o seu papel constitucional de controlo e, por conseguinte, de legitimação da atividade dos governos nacionais quando atuam ao nível europeu; recorda a importância do acesso à informação e reconhece que o Conselho deve adotar as salvaguardas necessárias a nível de segurança dos documentos, garantindo simultaneamente que os parlamentos nacionais têm capacidade para realizar um </w:t>
      </w:r>
      <w:r w:rsidRPr="00263807">
        <w:lastRenderedPageBreak/>
        <w:t>controlo democrático dos respetivos governos, nomeadamente através do acesso à base de dados legislativa do Conselho, respeitando também plenamente a confidencialidade;</w:t>
      </w:r>
    </w:p>
    <w:p w:rsidR="00A15984" w:rsidRPr="00263807" w:rsidRDefault="00A15984" w:rsidP="00A15984">
      <w:pPr>
        <w:pStyle w:val="NormalHanging12a"/>
      </w:pPr>
      <w:r w:rsidRPr="00263807">
        <w:t>4.</w:t>
      </w:r>
      <w:r w:rsidRPr="00263807">
        <w:tab/>
        <w:t>Considera que a transparência dos métodos de trabalho e dos processos de tomada de decisão das instituições da UE constitui uma condição prévia para que os parlamentos nacionais possam efetivamente cumprir o seu papel institucional decorrente dos Tratados; solicita, por conseguinte, que os históricos de votação e as posições dos Estados</w:t>
      </w:r>
      <w:r w:rsidRPr="00263807">
        <w:noBreakHyphen/>
        <w:t>Membros no Conselho sejam tornados públicos; solicita, além disso, que os parlamentos nacionais façam pleno uso das respetivas competências, nomeadamente adaptando a sua organização interna, os seus calendários e os seus regimentos para o efeito; compromete</w:t>
      </w:r>
      <w:r w:rsidRPr="00263807">
        <w:noBreakHyphen/>
        <w:t>se e incentiva os parlamentos nacionais a introduzir instrumentos de cooperação mais inovadores e robustos a nível político e administrativo, incluindo formas mais intensas de intercâmbio e diálogo entre as famílias e grupos políticos europeus;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5.</w:t>
      </w:r>
      <w:r w:rsidRPr="00263807">
        <w:tab/>
        <w:t>Incentiva</w:t>
      </w:r>
      <w:proofErr w:type="gramEnd"/>
      <w:r w:rsidRPr="00263807">
        <w:t xml:space="preserve"> um diálogo político reforçado entre as instituições europeias e os parlamentos nacionais e recorda que as decisões devem ser tomadas em conformidade com as competências constitucionais, os Tratados da UE e o acervo comunitário e tendo em conta a clara delimitação das competências decisórias respetivas dos organismos locais, regionais, nacionais e europeus;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6.</w:t>
      </w:r>
      <w:r w:rsidRPr="00263807">
        <w:tab/>
        <w:t>Afirma</w:t>
      </w:r>
      <w:proofErr w:type="gramEnd"/>
      <w:r w:rsidRPr="00263807">
        <w:t xml:space="preserve"> que o alinhamento do Semestre Europeu com as agendas dos parlamentos nacionais poderia contribuir também para a coordenação das políticas económicas, sublinhando, no entanto, que esse alinhamento não deve desrespeitar as competências de </w:t>
      </w:r>
      <w:proofErr w:type="spellStart"/>
      <w:r w:rsidRPr="00263807">
        <w:t>autogovernação</w:t>
      </w:r>
      <w:proofErr w:type="spellEnd"/>
      <w:r w:rsidRPr="00263807">
        <w:t xml:space="preserve"> e o regimento específico de cada câmara parlamentar;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7.</w:t>
      </w:r>
      <w:r w:rsidRPr="00263807">
        <w:tab/>
        <w:t>Solicita</w:t>
      </w:r>
      <w:proofErr w:type="gramEnd"/>
      <w:r w:rsidRPr="00263807">
        <w:t xml:space="preserve"> que os parlamentos nacionais desempenhem um papel mais importante na criação de um período nacional de diálogo sobre a política económica e orçamental em que os parlamentos nacionais poderiam cooperar, deliberar e contribuir para o Semestre Europeu, conferindo aos seus governos um mandato nas suas relações com a Comissão e com o Conselho;</w:t>
      </w:r>
    </w:p>
    <w:p w:rsidR="00A15984" w:rsidRPr="00263807" w:rsidRDefault="00A15984" w:rsidP="00A15984">
      <w:pPr>
        <w:pStyle w:val="NormalHanging12a"/>
        <w:rPr>
          <w:b/>
          <w:i/>
        </w:rPr>
      </w:pPr>
      <w:r w:rsidRPr="00263807">
        <w:rPr>
          <w:b/>
          <w:i/>
        </w:rPr>
        <w:t>Criação de uma esfera pública europeia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8.</w:t>
      </w:r>
      <w:r w:rsidRPr="00263807">
        <w:tab/>
        <w:t>Frisa</w:t>
      </w:r>
      <w:proofErr w:type="gramEnd"/>
      <w:r w:rsidRPr="00263807">
        <w:t>, a este respeito, a relevância do princípio da representação proporcional de deputados de diferentes partidos políticos; recomenda, por conseguinte, que as delegações parlamentares nacionais que atuam junto das instituições europeias reflitam a diversidade política;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9.</w:t>
      </w:r>
      <w:r w:rsidRPr="00263807">
        <w:tab/>
        <w:t>Assinala</w:t>
      </w:r>
      <w:proofErr w:type="gramEnd"/>
      <w:r w:rsidRPr="00263807">
        <w:t xml:space="preserve"> que a vontade vinculativa das maiorias parlamentares poderia ser expressa nos pareceres emitidos pelos parlamentos nacionais, dentro ou fora do quadro do mecanismo de alerta precoce; subscreve, no entanto, a ideia de que as minorias políticas parlamentares nacionais tenham a possibilidade de expressar pontos de vista divergentes, que poderiam ser integrados nos anexos de tais pareceres;</w:t>
      </w:r>
    </w:p>
    <w:p w:rsidR="00A15984" w:rsidRPr="00263807" w:rsidRDefault="00A15984" w:rsidP="00A15984">
      <w:pPr>
        <w:pStyle w:val="NormalHanging12a"/>
      </w:pPr>
      <w:r w:rsidRPr="00263807">
        <w:t>10.</w:t>
      </w:r>
      <w:r w:rsidRPr="00263807">
        <w:tab/>
        <w:t>Considera que a interação com os parlamentos nacionais pode ser indiretamente reforçada através da atribuição de poderes aos partidos políticos europeus; reitera o seu apelo de longa data para que estes partidos possam participar ativamente nos domínios políticos dos Estados</w:t>
      </w:r>
      <w:r w:rsidRPr="00263807">
        <w:noBreakHyphen/>
        <w:t xml:space="preserve">Membros e apoiar os partidos a que pertencem quando estão em causa questões da UE; apela à rápida conclusão da reformulação do Regulamento (UE, Euratom) n.º 1141/2014 do Parlamento Europeu e do Conselho, de 22 de outubro de </w:t>
      </w:r>
      <w:r w:rsidRPr="00263807">
        <w:lastRenderedPageBreak/>
        <w:t>2014, relativo ao estatuto e ao financiamento dos partidos políticos europeus e das fundações políticas europeias</w:t>
      </w:r>
      <w:r w:rsidRPr="00263807">
        <w:rPr>
          <w:rStyle w:val="FootnoteReference"/>
        </w:rPr>
        <w:footnoteReference w:id="18"/>
      </w:r>
      <w:r w:rsidRPr="00263807">
        <w:t>, a fim de permitir que os partidos políticos europeus apoiem os partidos a que pertencem na campanha para as eleições europeias e nas campanhas para os referendos sobre questões da UE;</w:t>
      </w:r>
    </w:p>
    <w:p w:rsidR="00A15984" w:rsidRPr="00263807" w:rsidRDefault="00A15984" w:rsidP="00A15984">
      <w:pPr>
        <w:pStyle w:val="NormalHanging12a"/>
      </w:pPr>
      <w:r w:rsidRPr="00263807">
        <w:t>11.</w:t>
      </w:r>
      <w:r w:rsidRPr="00263807">
        <w:tab/>
        <w:t>Está convicto de que a criação de uma «Semana Europeia» anual permitiria aos deputados ao Parlamento Europeu, aos comissários e aos ministros das Presidências em exercício do Conselho comparecer perante todos os parlamento nacionais e, se aplicável, regionais, com o objetivo de debater e explicar a agenda europeia em conjunto com os parlamentares nacionais; sugere a abertura de um debate sobre a elaboração de uma declaração política comum ou de um acordo</w:t>
      </w:r>
      <w:r w:rsidRPr="00263807">
        <w:noBreakHyphen/>
        <w:t>quadro entre os parlamentos nacionais e o Parlamento Europeu, no que diz respeito à organização da Semana Europeia proposta, a fim de proporcionar um quadro de cooperação mais coerente a nível político, institucional e administrativo; considera que a Semana Europeia proposta deveria retirar ensinamentos de fóruns atuais e anteriores, tais como a semana parlamentar realizada no âmbito da Conferência do Semestre Europeu e da Conferência Interparlamentar sobre Estabilidade, Coordenação e Governação Económica na União Europeia, bem como da Conferência sobre o Futuro da Europa; entende, além disso, que a realização de encontros das famílias políticas e de reuniões entre e dentro dos grupos políticos nacionais e europeus no quadro da cooperação interparlamentar da UE poderia criar valor acrescentado sob a forma de um autêntico debate político europeu;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12.</w:t>
      </w:r>
      <w:r w:rsidRPr="00263807">
        <w:tab/>
        <w:t>Considera</w:t>
      </w:r>
      <w:proofErr w:type="gramEnd"/>
      <w:r w:rsidRPr="00263807">
        <w:t xml:space="preserve"> que uma maior participação dos parlamentos nacionais dos países candidatos é um instrumento essencial para o êxito da estratégia de alargamento da UE; sugere a participação de representantes dos parlamentos nacionais dos países candidatos na Semana Europeia proposta;</w:t>
      </w:r>
    </w:p>
    <w:p w:rsidR="00A15984" w:rsidRPr="00263807" w:rsidRDefault="00A15984" w:rsidP="00A15984">
      <w:pPr>
        <w:pStyle w:val="NormalHanging12a"/>
        <w:rPr>
          <w:b/>
          <w:i/>
        </w:rPr>
      </w:pPr>
      <w:r w:rsidRPr="00263807">
        <w:rPr>
          <w:b/>
          <w:i/>
        </w:rPr>
        <w:t>Apoio à reforma do mecanismo de alerta precoce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13.</w:t>
      </w:r>
      <w:r w:rsidRPr="00263807">
        <w:tab/>
        <w:t>Sublinha</w:t>
      </w:r>
      <w:proofErr w:type="gramEnd"/>
      <w:r w:rsidRPr="00263807">
        <w:t xml:space="preserve"> que a mais importante prerrogativa dos parlamentos nacionais decorrente do Tratado de Lisboa consiste na possibilidade de controlarem a observância do princípio da subsidiariedade nas fases iniciais dos processos legislativos da UE;</w:t>
      </w:r>
    </w:p>
    <w:p w:rsidR="00A15984" w:rsidRPr="00263807" w:rsidRDefault="00A15984" w:rsidP="00A15984">
      <w:pPr>
        <w:pStyle w:val="NormalHanging12a"/>
      </w:pPr>
      <w:r w:rsidRPr="00263807">
        <w:t>14.</w:t>
      </w:r>
      <w:r w:rsidRPr="00263807">
        <w:tab/>
        <w:t>Observa que procedimentos como o cartão «amarelo» ou o cartão «laranja» não foram amplamente utilizados; propõe que todas as instituições e Estados</w:t>
      </w:r>
      <w:r w:rsidRPr="00263807">
        <w:noBreakHyphen/>
        <w:t>Membros da UE cheguem a acordo sobre um entendimento comum dos princípios da subsidiariedade e da proporcionalidade, inicialmente anexos ao Tratado de Amesterdão, a jurisprudência pertinente do Tribunal de Justiça da União Europeia e a prática da própria Comissão; considera que a criação deste entendimento comum deve incluir todos os elementos da subsidiariedade e pode ser promovida através de novos instrumentos de cooperação;</w:t>
      </w:r>
    </w:p>
    <w:p w:rsidR="00A15984" w:rsidRPr="00263807" w:rsidRDefault="00A15984" w:rsidP="00A15984">
      <w:pPr>
        <w:pStyle w:val="NormalHanging12a"/>
      </w:pPr>
      <w:r w:rsidRPr="00263807">
        <w:t>15.</w:t>
      </w:r>
      <w:r w:rsidRPr="00263807">
        <w:tab/>
        <w:t xml:space="preserve">Regista o pedido dos parlamentos nacionais no sentido de alargar o prazo de oito semanas durante o qual podem emitir pareceres fundamentados nos termos do artigo 3.º do Protocolo n.º 1; sublinha, contudo, que o atual quadro dos Tratados não prevê tal prorrogação; observa que, a título de medida de mitigação, a partir de 2019, a Comissão começou a excluir o período festivo do final de ano ao fixar o prazo de oito semanas para os parlamentos nacionais enviarem pareceres fundamentados; considera, por conseguinte, que tem de ser ponderada a introdução de um prazo de 12 semanas no </w:t>
      </w:r>
      <w:r w:rsidRPr="00263807">
        <w:lastRenderedPageBreak/>
        <w:t>âmbito de uma futura revisão dos Tratados;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16.</w:t>
      </w:r>
      <w:r w:rsidRPr="00263807">
        <w:tab/>
        <w:t>Insta</w:t>
      </w:r>
      <w:proofErr w:type="gramEnd"/>
      <w:r w:rsidRPr="00263807">
        <w:t xml:space="preserve"> os parlamentos nacionais a incluírem os pareceres fundamentados dos parlamentos regionais com competências legislativas nos seus pareceres finais fundamentados enviados aos presidentes do Parlamento, do Conselho e da Comissão, especialmente quando são afetadas competências exclusivamente regionais;</w:t>
      </w:r>
    </w:p>
    <w:p w:rsidR="00A15984" w:rsidRPr="00263807" w:rsidRDefault="00A15984" w:rsidP="00A15984">
      <w:pPr>
        <w:pStyle w:val="NormalHanging12a"/>
      </w:pPr>
      <w:r w:rsidRPr="00263807">
        <w:t>17.</w:t>
      </w:r>
      <w:r w:rsidRPr="00263807">
        <w:tab/>
        <w:t>Sugere a criação de um sistema, denominado, por vezes, como procedimento de «cartão verde», segundo o qual pelo menos um terço dos parlamentos nacionais possa solicitar que a Comissão ou o Parlamento Europeu, uma vez concedido a este último um direito geral de iniciativa direta, apresente propostas com o objetivo de influenciar positivamente o debate europeu; sugere, a este respeito, que a Comissão ou o Parlamento Europeu disponha do poder discricionário de acolher tais propostas ou emitir uma resposta formal salientando as razões para não o fazer; faz notar que tal procedimento não pode consistir num direito de iniciativa legislativa ou num direito de retirar ou alterar legislação, uma vez que isso subverteria o «método da União» e a repartição de competências entre os níveis nacional e europeu, violando, por conseguinte, os Tratados;</w:t>
      </w:r>
    </w:p>
    <w:p w:rsidR="00A15984" w:rsidRPr="00263807" w:rsidRDefault="00A15984" w:rsidP="00A15984">
      <w:pPr>
        <w:pStyle w:val="NormalHanging12a"/>
        <w:rPr>
          <w:b/>
          <w:i/>
        </w:rPr>
      </w:pPr>
      <w:r w:rsidRPr="00263807">
        <w:rPr>
          <w:b/>
          <w:i/>
        </w:rPr>
        <w:t>Aplicação do direito à informação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18.</w:t>
      </w:r>
      <w:r w:rsidRPr="00263807">
        <w:tab/>
        <w:t>Reafirma</w:t>
      </w:r>
      <w:proofErr w:type="gramEnd"/>
      <w:r w:rsidRPr="00263807">
        <w:t xml:space="preserve"> que o artigo 12.º do TUE e o Protocolo n.º 1 conferem aos parlamentos nacionais o direito de receberem informações diretamente das instituições europeias; sugere que o direito de ser informado seja alargado também aos parlamentos regionais com competências legislativas;</w:t>
      </w:r>
    </w:p>
    <w:p w:rsidR="00A15984" w:rsidRPr="00263807" w:rsidRDefault="00A15984" w:rsidP="00A15984">
      <w:pPr>
        <w:pStyle w:val="NormalHanging12a"/>
      </w:pPr>
      <w:r w:rsidRPr="00263807">
        <w:t>19.</w:t>
      </w:r>
      <w:r w:rsidRPr="00263807">
        <w:tab/>
        <w:t>Recomenda que os parlamentos nacionais utilizem a plataforma IPEX em tempo útil, a fim de garantir um início célere do mecanismo de controlo nacional; recomenda que o IPEX seja utilizado como canal para a partilha sistemática de informações e a identificação precoce de preocupações relacionadas com a subsidiariedade; acolhe favoravelmente a versão atualizada das orientações do IPEX, aprovada na reunião dos secretários</w:t>
      </w:r>
      <w:r w:rsidRPr="00263807">
        <w:noBreakHyphen/>
        <w:t>gerais de fevereiro de 2023, que reflete a nova versão da plataforma IPEX e as oportunidades e ferramentas oferecidas por esta nova versão;</w:t>
      </w:r>
    </w:p>
    <w:p w:rsidR="00A15984" w:rsidRPr="00263807" w:rsidRDefault="00A15984" w:rsidP="00A15984">
      <w:pPr>
        <w:pStyle w:val="NormalHanging12a"/>
        <w:rPr>
          <w:b/>
          <w:i/>
        </w:rPr>
      </w:pPr>
      <w:r w:rsidRPr="00263807">
        <w:rPr>
          <w:b/>
          <w:i/>
        </w:rPr>
        <w:t>Conceção de uma melhor cooperação interinstitucional</w:t>
      </w:r>
    </w:p>
    <w:p w:rsidR="00A15984" w:rsidRPr="00263807" w:rsidRDefault="00A15984" w:rsidP="00A15984">
      <w:pPr>
        <w:pStyle w:val="NormalHanging12a"/>
      </w:pPr>
      <w:r w:rsidRPr="00263807">
        <w:t>20.</w:t>
      </w:r>
      <w:r w:rsidRPr="00263807">
        <w:tab/>
        <w:t xml:space="preserve">Toma nota da cooperação em curso entre o Parlamento Europeu e os parlamentos nacionais na COSAC, na Conferência Interparlamentar para a Política Externa e de Segurança Comum e no quadro do artigo 13.º do Tratado sobre Estabilidade, Coordenação e Governação na União Económica e Monetária (TECG); toma nota, além disso, de formas mais recentes de cooperação interparlamentar, como o Grupo de Controlo Parlamentar Conjunto da Europol e a Reunião Interparlamentar de Comissões sobre a Avaliação da </w:t>
      </w:r>
      <w:proofErr w:type="spellStart"/>
      <w:r w:rsidRPr="00263807">
        <w:t>Eurojust</w:t>
      </w:r>
      <w:proofErr w:type="spellEnd"/>
      <w:r w:rsidRPr="00263807">
        <w:t>; salienta que tal cooperação deve ser desenvolvida com base nos princípios do consenso, da partilha de informação e da consulta, a fim de que os parlamentos nacionais exerçam o controlo dos respetivos governos e administrações;</w:t>
      </w:r>
    </w:p>
    <w:p w:rsidR="00A15984" w:rsidRPr="00263807" w:rsidRDefault="00A15984" w:rsidP="00A15984">
      <w:pPr>
        <w:pStyle w:val="NormalHanging12a"/>
      </w:pPr>
      <w:r w:rsidRPr="00263807">
        <w:t>21.</w:t>
      </w:r>
      <w:r w:rsidRPr="00263807">
        <w:tab/>
        <w:t xml:space="preserve">Reitera que o atual quadro das relações entre a União e os parlamentos nacionais poderia ser simplificado e harmonizado, no sentido de o tornar mais eficiente e eficaz; solicita, neste contexto, uma revisão da colaboração entre a União e os seus parlamentos nacionais nas plataformas e nos fóruns existentes, com o objetivo de reforçar estas relações e de as adaptar às necessidades atuais; incentiva as instituições europeias e os </w:t>
      </w:r>
      <w:r w:rsidRPr="00263807">
        <w:lastRenderedPageBreak/>
        <w:t>parlamentos regionais com competências legislativas a assumirem um compromisso mais ativo e a terem uma interação direta entre si, respeitando plenamente o papel e as competências dos parlamentos nacionais;</w:t>
      </w:r>
    </w:p>
    <w:p w:rsidR="00A15984" w:rsidRPr="00263807" w:rsidRDefault="00A15984" w:rsidP="00A15984">
      <w:pPr>
        <w:pStyle w:val="NormalHanging12a"/>
      </w:pPr>
      <w:r w:rsidRPr="00263807">
        <w:t>22.</w:t>
      </w:r>
      <w:r w:rsidRPr="00263807">
        <w:tab/>
        <w:t>Destaca que o reforço do diálogo político e técnico entre as comissões parlamentares, bem como entre os grupos políticos, tanto a nível nacional como a nível europeu, constituiria um passo bastante produtivo rumo à plena cooperação interparlamentar; sugere, para o efeito, o aumento da sensibilização a nível nacional para possíveis instrumentos de cooperação; por conseguinte, propõe a afetação de recursos adicionais à concretização deste objetivo, nomeadamente para financiar o recurso a videoconferências, intercâmbios de pessoal ou projetos</w:t>
      </w:r>
      <w:r w:rsidRPr="00263807">
        <w:noBreakHyphen/>
        <w:t>piloto;</w:t>
      </w:r>
    </w:p>
    <w:p w:rsidR="00A15984" w:rsidRPr="00263807" w:rsidRDefault="00A15984" w:rsidP="00A15984">
      <w:pPr>
        <w:pStyle w:val="NormalHanging12a"/>
      </w:pPr>
      <w:r w:rsidRPr="00263807">
        <w:t>23.</w:t>
      </w:r>
      <w:r w:rsidRPr="00263807">
        <w:tab/>
        <w:t>Reconhece a importância das reuniões interparlamentares de comissões estabelecidas nos artigos 9.º e 10.º do Protocolo n.º 1 e o êxito setorial de um «método de comissões» na cooperação interparlamentar; considera que poderia ser concretizada uma melhor cooperação interinstitucional se os deputados ao Parlamento Europeu e os parlamentos nacionais atribuíssem maior relevância às reuniões interparlamentares de comissões e se estas fossem preparadas tendo em vista uma cooperação mais estreita; entende que o regimento poderia ser alterado a fim de regulamentar formas de cooperação mais sólidas entre os parlamentos nacionais e o Parlamento Europeu, no pleno respeito das respetivas competências institucionais e da repartição das mesmas;</w:t>
      </w:r>
    </w:p>
    <w:p w:rsidR="00A15984" w:rsidRPr="00263807" w:rsidRDefault="00A15984" w:rsidP="00263807">
      <w:pPr>
        <w:spacing w:after="240"/>
        <w:ind w:left="567" w:hanging="567"/>
      </w:pPr>
      <w:r w:rsidRPr="00263807">
        <w:t>24.</w:t>
      </w:r>
      <w:r w:rsidRPr="00263807">
        <w:tab/>
        <w:t>Recomenda que os parlamentos nacionais sejam plenamente envolvidos na evolução contínua da PCSD; considera que esse envolvimento deveria ser promovido em estreita cooperação com o Parlamento Europeu, em conformidade com o artigo 10.º do Protocolo n.º 1 e no pleno respeito das disposições das constituições nacionais relativas às políticas de segurança e de defesa; convida os parlamentos nacionais a refletirem de forma mais aprofundada sobre a atribuição de prioridade às capacidades de defesa a nível da UE, inclusive por intermédio de reuniões interparlamentares conjuntas entre representantes dos parlamentos nacionais e deputados ao Parlamento Europeu, no contexto da Conferência Interparlamentar sobre a PESC e a PCSD, e mediante o diálogo político;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25.</w:t>
      </w:r>
      <w:r w:rsidRPr="00263807">
        <w:tab/>
        <w:t>Recorda</w:t>
      </w:r>
      <w:proofErr w:type="gramEnd"/>
      <w:r w:rsidRPr="00263807">
        <w:t xml:space="preserve"> a importância de reforçar a cooperação e o diálogo entre os parlamentos nacionais e o Parlamento Europeu sobre o direito de inquérito;</w:t>
      </w:r>
    </w:p>
    <w:p w:rsidR="004468F1" w:rsidRPr="00263807" w:rsidRDefault="004468F1" w:rsidP="004468F1">
      <w:pPr>
        <w:pStyle w:val="NormalHanging12a"/>
        <w:widowControl/>
        <w:ind w:left="0" w:firstLine="0"/>
        <w:jc w:val="center"/>
        <w:rPr>
          <w:i/>
        </w:rPr>
      </w:pPr>
      <w:r w:rsidRPr="00263807">
        <w:rPr>
          <w:i/>
        </w:rPr>
        <w:t>°</w:t>
      </w:r>
    </w:p>
    <w:p w:rsidR="004468F1" w:rsidRPr="00263807" w:rsidRDefault="004468F1" w:rsidP="004468F1">
      <w:pPr>
        <w:pStyle w:val="NormalHanging12a"/>
        <w:widowControl/>
        <w:ind w:left="0" w:firstLine="0"/>
        <w:jc w:val="center"/>
        <w:rPr>
          <w:i/>
        </w:rPr>
      </w:pPr>
      <w:r w:rsidRPr="00263807">
        <w:rPr>
          <w:i/>
        </w:rPr>
        <w:t>°     °</w:t>
      </w:r>
    </w:p>
    <w:p w:rsidR="00A15984" w:rsidRPr="00263807" w:rsidRDefault="00A15984" w:rsidP="00A15984">
      <w:pPr>
        <w:pStyle w:val="NormalHanging12a"/>
      </w:pPr>
      <w:proofErr w:type="gramStart"/>
      <w:r w:rsidRPr="00263807">
        <w:t>26.</w:t>
      </w:r>
      <w:r w:rsidRPr="00263807">
        <w:tab/>
        <w:t>Encarrega</w:t>
      </w:r>
      <w:proofErr w:type="gramEnd"/>
      <w:r w:rsidRPr="00263807">
        <w:t xml:space="preserve"> a sua Presidente de transmitir a presente resolução ao Conselho e à Comissão, bem como aos governos e parlamentos dos Estados</w:t>
      </w:r>
      <w:r w:rsidRPr="00263807">
        <w:noBreakHyphen/>
        <w:t>Membros.</w:t>
      </w:r>
    </w:p>
    <w:p w:rsidR="00E365E1" w:rsidRPr="00263807" w:rsidRDefault="00E365E1" w:rsidP="009566F1"/>
    <w:sectPr w:rsidR="00E365E1" w:rsidRPr="00263807" w:rsidSect="00C772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6F1" w:rsidRPr="00C772D9" w:rsidRDefault="009566F1">
      <w:r w:rsidRPr="00C772D9">
        <w:separator/>
      </w:r>
    </w:p>
  </w:endnote>
  <w:endnote w:type="continuationSeparator" w:id="0">
    <w:p w:rsidR="009566F1" w:rsidRPr="00C772D9" w:rsidRDefault="009566F1">
      <w:r w:rsidRPr="00C772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2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2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2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6F1" w:rsidRPr="00C772D9" w:rsidRDefault="009566F1">
      <w:r w:rsidRPr="00C772D9">
        <w:separator/>
      </w:r>
    </w:p>
  </w:footnote>
  <w:footnote w:type="continuationSeparator" w:id="0">
    <w:p w:rsidR="009566F1" w:rsidRPr="00C772D9" w:rsidRDefault="009566F1">
      <w:r w:rsidRPr="00C772D9">
        <w:continuationSeparator/>
      </w:r>
    </w:p>
  </w:footnote>
  <w:footnote w:id="1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da-DK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263807">
        <w:rPr>
          <w:sz w:val="24"/>
          <w:szCs w:val="24"/>
          <w:lang w:val="da-DK"/>
        </w:rPr>
        <w:t xml:space="preserve"> </w:t>
      </w:r>
      <w:r w:rsidR="00C772D9" w:rsidRPr="00263807">
        <w:rPr>
          <w:sz w:val="24"/>
          <w:szCs w:val="24"/>
          <w:lang w:val="da-DK"/>
        </w:rPr>
        <w:tab/>
      </w:r>
      <w:r w:rsidRPr="00263807">
        <w:rPr>
          <w:sz w:val="24"/>
          <w:szCs w:val="24"/>
          <w:lang w:val="da-DK"/>
        </w:rPr>
        <w:t>JO C 202 de 7.6.2016, p. 203.</w:t>
      </w:r>
    </w:p>
  </w:footnote>
  <w:footnote w:id="2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da-DK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263807">
        <w:rPr>
          <w:sz w:val="24"/>
          <w:szCs w:val="24"/>
          <w:lang w:val="da-DK"/>
        </w:rPr>
        <w:t xml:space="preserve"> </w:t>
      </w:r>
      <w:r w:rsidR="00C772D9" w:rsidRPr="00263807">
        <w:rPr>
          <w:sz w:val="24"/>
          <w:szCs w:val="24"/>
          <w:lang w:val="da-DK"/>
        </w:rPr>
        <w:tab/>
      </w:r>
      <w:r w:rsidRPr="00263807">
        <w:rPr>
          <w:sz w:val="24"/>
          <w:szCs w:val="24"/>
          <w:lang w:val="da-DK"/>
        </w:rPr>
        <w:t>JO C 115 de 9.5.2008, p. 206.</w:t>
      </w:r>
    </w:p>
  </w:footnote>
  <w:footnote w:id="3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da-DK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263807">
        <w:rPr>
          <w:sz w:val="24"/>
          <w:szCs w:val="24"/>
          <w:lang w:val="da-DK"/>
        </w:rPr>
        <w:t xml:space="preserve"> </w:t>
      </w:r>
      <w:r w:rsidR="00C772D9" w:rsidRPr="00263807">
        <w:rPr>
          <w:sz w:val="24"/>
          <w:szCs w:val="24"/>
          <w:lang w:val="da-DK"/>
        </w:rPr>
        <w:tab/>
      </w:r>
      <w:r w:rsidRPr="00263807">
        <w:rPr>
          <w:sz w:val="24"/>
          <w:szCs w:val="24"/>
          <w:lang w:val="da-DK"/>
        </w:rPr>
        <w:t>JO C 212 E de 5.8.2010, p. 94.</w:t>
      </w:r>
    </w:p>
  </w:footnote>
  <w:footnote w:id="4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da-DK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263807">
        <w:rPr>
          <w:sz w:val="24"/>
          <w:szCs w:val="24"/>
          <w:lang w:val="da-DK"/>
        </w:rPr>
        <w:t xml:space="preserve"> </w:t>
      </w:r>
      <w:r w:rsidR="00C772D9" w:rsidRPr="00263807">
        <w:rPr>
          <w:sz w:val="24"/>
          <w:szCs w:val="24"/>
          <w:lang w:val="da-DK"/>
        </w:rPr>
        <w:tab/>
      </w:r>
      <w:r w:rsidRPr="00263807">
        <w:rPr>
          <w:sz w:val="24"/>
          <w:szCs w:val="24"/>
          <w:lang w:val="da-DK"/>
        </w:rPr>
        <w:t>JO C 443 de 22.12.2017, p. 40</w:t>
      </w:r>
      <w:r w:rsidRPr="00263807">
        <w:rPr>
          <w:color w:val="000000"/>
          <w:sz w:val="24"/>
          <w:szCs w:val="24"/>
          <w:lang w:val="da-DK"/>
        </w:rPr>
        <w:t>.</w:t>
      </w:r>
    </w:p>
  </w:footnote>
  <w:footnote w:id="5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da-DK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263807">
        <w:rPr>
          <w:sz w:val="24"/>
          <w:szCs w:val="24"/>
          <w:lang w:val="da-DK"/>
        </w:rPr>
        <w:t xml:space="preserve"> </w:t>
      </w:r>
      <w:r w:rsidR="00C772D9" w:rsidRPr="00263807">
        <w:rPr>
          <w:sz w:val="24"/>
          <w:szCs w:val="24"/>
          <w:lang w:val="da-DK"/>
        </w:rPr>
        <w:tab/>
      </w:r>
      <w:r w:rsidRPr="00263807">
        <w:rPr>
          <w:sz w:val="24"/>
          <w:szCs w:val="24"/>
          <w:lang w:val="da-DK"/>
        </w:rPr>
        <w:t>JO C 390 de 18.11.2019, p. 121.</w:t>
      </w:r>
    </w:p>
  </w:footnote>
  <w:footnote w:id="6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da-DK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263807">
        <w:rPr>
          <w:sz w:val="24"/>
          <w:szCs w:val="24"/>
          <w:lang w:val="da-DK"/>
        </w:rPr>
        <w:t xml:space="preserve"> </w:t>
      </w:r>
      <w:r w:rsidR="00C772D9" w:rsidRPr="00263807">
        <w:rPr>
          <w:sz w:val="24"/>
          <w:szCs w:val="24"/>
          <w:lang w:val="da-DK"/>
        </w:rPr>
        <w:tab/>
      </w:r>
      <w:r w:rsidRPr="00263807">
        <w:rPr>
          <w:sz w:val="24"/>
          <w:szCs w:val="24"/>
          <w:lang w:val="da-DK"/>
        </w:rPr>
        <w:t>JO C 456 de 10.11.2021, p. 56</w:t>
      </w:r>
      <w:r w:rsidRPr="00263807">
        <w:rPr>
          <w:color w:val="000000"/>
          <w:sz w:val="24"/>
          <w:szCs w:val="24"/>
          <w:lang w:val="da-DK"/>
        </w:rPr>
        <w:t>.</w:t>
      </w:r>
    </w:p>
  </w:footnote>
  <w:footnote w:id="7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da-DK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263807">
        <w:rPr>
          <w:sz w:val="24"/>
          <w:szCs w:val="24"/>
          <w:lang w:val="da-DK"/>
        </w:rPr>
        <w:t xml:space="preserve"> </w:t>
      </w:r>
      <w:r w:rsidR="00C772D9" w:rsidRPr="00263807">
        <w:rPr>
          <w:sz w:val="24"/>
          <w:szCs w:val="24"/>
          <w:lang w:val="da-DK"/>
        </w:rPr>
        <w:tab/>
      </w:r>
      <w:r w:rsidRPr="00263807">
        <w:rPr>
          <w:sz w:val="24"/>
          <w:szCs w:val="24"/>
          <w:lang w:val="da-DK"/>
        </w:rPr>
        <w:t>JO C 479 de 16.12.2022, p. 18.</w:t>
      </w:r>
    </w:p>
  </w:footnote>
  <w:footnote w:id="8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da-DK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263807">
        <w:rPr>
          <w:sz w:val="24"/>
          <w:szCs w:val="24"/>
          <w:lang w:val="da-DK"/>
        </w:rPr>
        <w:t xml:space="preserve"> </w:t>
      </w:r>
      <w:r w:rsidR="00C772D9" w:rsidRPr="00263807">
        <w:rPr>
          <w:sz w:val="24"/>
          <w:szCs w:val="24"/>
          <w:lang w:val="da-DK"/>
        </w:rPr>
        <w:tab/>
      </w:r>
      <w:r w:rsidRPr="00263807">
        <w:rPr>
          <w:sz w:val="24"/>
          <w:szCs w:val="24"/>
          <w:lang w:val="da-DK"/>
        </w:rPr>
        <w:t>JO C 81 de 18.2.2022, p. 74.</w:t>
      </w:r>
    </w:p>
  </w:footnote>
  <w:footnote w:id="9">
    <w:p w:rsidR="00A15984" w:rsidRPr="004468F1" w:rsidRDefault="00A15984" w:rsidP="00C772D9">
      <w:pPr>
        <w:pStyle w:val="FootnoteText"/>
        <w:ind w:left="567" w:hanging="567"/>
        <w:rPr>
          <w:sz w:val="24"/>
          <w:szCs w:val="24"/>
          <w:lang w:val="pt-PT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4468F1">
        <w:rPr>
          <w:sz w:val="24"/>
          <w:szCs w:val="24"/>
          <w:lang w:val="pt-PT"/>
        </w:rPr>
        <w:t xml:space="preserve"> </w:t>
      </w:r>
      <w:r w:rsidR="00C772D9" w:rsidRPr="004468F1">
        <w:rPr>
          <w:sz w:val="24"/>
          <w:szCs w:val="24"/>
          <w:lang w:val="pt-PT"/>
        </w:rPr>
        <w:tab/>
      </w:r>
      <w:r w:rsidRPr="004468F1">
        <w:rPr>
          <w:sz w:val="24"/>
          <w:szCs w:val="24"/>
          <w:lang w:val="pt-PT"/>
        </w:rPr>
        <w:t xml:space="preserve">«Active </w:t>
      </w:r>
      <w:proofErr w:type="spellStart"/>
      <w:r w:rsidRPr="004468F1">
        <w:rPr>
          <w:sz w:val="24"/>
          <w:szCs w:val="24"/>
          <w:lang w:val="pt-PT"/>
        </w:rPr>
        <w:t>Subsidiarity</w:t>
      </w:r>
      <w:proofErr w:type="spellEnd"/>
      <w:r w:rsidRPr="004468F1">
        <w:rPr>
          <w:sz w:val="24"/>
          <w:szCs w:val="24"/>
          <w:lang w:val="pt-PT"/>
        </w:rPr>
        <w:t xml:space="preserve"> – A </w:t>
      </w:r>
      <w:proofErr w:type="spellStart"/>
      <w:r w:rsidRPr="004468F1">
        <w:rPr>
          <w:sz w:val="24"/>
          <w:szCs w:val="24"/>
          <w:lang w:val="pt-PT"/>
        </w:rPr>
        <w:t>new</w:t>
      </w:r>
      <w:proofErr w:type="spellEnd"/>
      <w:r w:rsidRPr="004468F1">
        <w:rPr>
          <w:sz w:val="24"/>
          <w:szCs w:val="24"/>
          <w:lang w:val="pt-PT"/>
        </w:rPr>
        <w:t xml:space="preserve"> </w:t>
      </w:r>
      <w:proofErr w:type="spellStart"/>
      <w:r w:rsidRPr="004468F1">
        <w:rPr>
          <w:sz w:val="24"/>
          <w:szCs w:val="24"/>
          <w:lang w:val="pt-PT"/>
        </w:rPr>
        <w:t>way</w:t>
      </w:r>
      <w:proofErr w:type="spellEnd"/>
      <w:r w:rsidRPr="004468F1">
        <w:rPr>
          <w:sz w:val="24"/>
          <w:szCs w:val="24"/>
          <w:lang w:val="pt-PT"/>
        </w:rPr>
        <w:t xml:space="preserve"> </w:t>
      </w:r>
      <w:proofErr w:type="spellStart"/>
      <w:r w:rsidRPr="004468F1">
        <w:rPr>
          <w:sz w:val="24"/>
          <w:szCs w:val="24"/>
          <w:lang w:val="pt-PT"/>
        </w:rPr>
        <w:t>of</w:t>
      </w:r>
      <w:proofErr w:type="spellEnd"/>
      <w:r w:rsidRPr="004468F1">
        <w:rPr>
          <w:sz w:val="24"/>
          <w:szCs w:val="24"/>
          <w:lang w:val="pt-PT"/>
        </w:rPr>
        <w:t xml:space="preserve"> </w:t>
      </w:r>
      <w:proofErr w:type="spellStart"/>
      <w:r w:rsidRPr="004468F1">
        <w:rPr>
          <w:sz w:val="24"/>
          <w:szCs w:val="24"/>
          <w:lang w:val="pt-PT"/>
        </w:rPr>
        <w:t>working</w:t>
      </w:r>
      <w:proofErr w:type="spellEnd"/>
      <w:r w:rsidRPr="004468F1">
        <w:rPr>
          <w:sz w:val="24"/>
          <w:szCs w:val="24"/>
          <w:lang w:val="pt-PT"/>
        </w:rPr>
        <w:t xml:space="preserve">» [Subsidiariedade ativa – uma nova forma de trabalhar], </w:t>
      </w:r>
      <w:hyperlink r:id="rId1" w:history="1">
        <w:r w:rsidRPr="004468F1">
          <w:rPr>
            <w:rStyle w:val="Hyperlink"/>
            <w:sz w:val="24"/>
            <w:szCs w:val="24"/>
            <w:lang w:val="pt-PT"/>
          </w:rPr>
          <w:t>relatório</w:t>
        </w:r>
      </w:hyperlink>
      <w:r w:rsidRPr="004468F1">
        <w:rPr>
          <w:sz w:val="24"/>
          <w:szCs w:val="24"/>
          <w:lang w:val="pt-PT"/>
        </w:rPr>
        <w:t xml:space="preserve"> do Grupo de Trabalho Subsidiariedade, Proporcionalidade e «Fazer menos com maior eficiência», 10 de julho de 2018.</w:t>
      </w:r>
    </w:p>
  </w:footnote>
  <w:footnote w:id="10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da-DK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263807">
        <w:rPr>
          <w:sz w:val="24"/>
          <w:szCs w:val="24"/>
          <w:lang w:val="da-DK"/>
        </w:rPr>
        <w:t xml:space="preserve"> </w:t>
      </w:r>
      <w:r w:rsidR="00C772D9" w:rsidRPr="00263807">
        <w:rPr>
          <w:sz w:val="24"/>
          <w:szCs w:val="24"/>
          <w:lang w:val="da-DK"/>
        </w:rPr>
        <w:tab/>
      </w:r>
      <w:r w:rsidRPr="00263807">
        <w:rPr>
          <w:sz w:val="24"/>
          <w:szCs w:val="24"/>
          <w:lang w:val="da-DK"/>
        </w:rPr>
        <w:t>JO C 270 de 7.7.2021, p. 71.</w:t>
      </w:r>
    </w:p>
  </w:footnote>
  <w:footnote w:id="11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da-DK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263807">
        <w:rPr>
          <w:sz w:val="24"/>
          <w:szCs w:val="24"/>
          <w:lang w:val="da-DK"/>
        </w:rPr>
        <w:t xml:space="preserve"> </w:t>
      </w:r>
      <w:r w:rsidR="00C772D9" w:rsidRPr="00263807">
        <w:rPr>
          <w:sz w:val="24"/>
          <w:szCs w:val="24"/>
          <w:lang w:val="da-DK"/>
        </w:rPr>
        <w:tab/>
      </w:r>
      <w:r w:rsidRPr="00263807">
        <w:rPr>
          <w:sz w:val="24"/>
          <w:szCs w:val="24"/>
          <w:lang w:val="da-DK"/>
        </w:rPr>
        <w:t>JO C 465 de 6.12.2022, p. 109.</w:t>
      </w:r>
    </w:p>
  </w:footnote>
  <w:footnote w:id="12">
    <w:p w:rsidR="00A15984" w:rsidRPr="004468F1" w:rsidRDefault="00A15984" w:rsidP="00C772D9">
      <w:pPr>
        <w:pStyle w:val="FootnoteText"/>
        <w:ind w:left="567" w:hanging="567"/>
        <w:rPr>
          <w:sz w:val="24"/>
          <w:szCs w:val="24"/>
          <w:lang w:val="pt-PT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4468F1">
        <w:rPr>
          <w:sz w:val="24"/>
          <w:szCs w:val="24"/>
          <w:lang w:val="pt-PT"/>
        </w:rPr>
        <w:t xml:space="preserve"> </w:t>
      </w:r>
      <w:r w:rsidR="00C772D9" w:rsidRPr="004468F1">
        <w:rPr>
          <w:sz w:val="24"/>
          <w:szCs w:val="24"/>
          <w:lang w:val="pt-PT"/>
        </w:rPr>
        <w:tab/>
      </w:r>
      <w:r w:rsidRPr="004468F1">
        <w:rPr>
          <w:sz w:val="24"/>
          <w:szCs w:val="24"/>
          <w:lang w:val="pt-PT"/>
        </w:rPr>
        <w:t>JO C 493 de 27.12.2022, p. 130.</w:t>
      </w:r>
    </w:p>
  </w:footnote>
  <w:footnote w:id="13">
    <w:p w:rsidR="00A15984" w:rsidRPr="004468F1" w:rsidRDefault="00A15984" w:rsidP="00C772D9">
      <w:pPr>
        <w:pStyle w:val="FootnoteText"/>
        <w:ind w:left="567" w:hanging="567"/>
        <w:rPr>
          <w:sz w:val="24"/>
          <w:szCs w:val="24"/>
          <w:lang w:val="pt-PT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4468F1">
        <w:rPr>
          <w:sz w:val="24"/>
          <w:szCs w:val="24"/>
          <w:lang w:val="pt-PT"/>
        </w:rPr>
        <w:t xml:space="preserve"> </w:t>
      </w:r>
      <w:r w:rsidR="00C772D9" w:rsidRPr="004468F1">
        <w:rPr>
          <w:sz w:val="24"/>
          <w:szCs w:val="24"/>
          <w:lang w:val="pt-PT"/>
        </w:rPr>
        <w:tab/>
      </w:r>
      <w:r w:rsidRPr="004468F1">
        <w:rPr>
          <w:sz w:val="24"/>
          <w:szCs w:val="24"/>
          <w:lang w:val="pt-PT"/>
        </w:rPr>
        <w:t xml:space="preserve">Textos </w:t>
      </w:r>
      <w:r w:rsidR="004468F1">
        <w:rPr>
          <w:sz w:val="24"/>
          <w:szCs w:val="24"/>
          <w:lang w:val="pt-PT"/>
        </w:rPr>
        <w:t>A</w:t>
      </w:r>
      <w:r w:rsidR="004468F1" w:rsidRPr="004468F1">
        <w:rPr>
          <w:sz w:val="24"/>
          <w:szCs w:val="24"/>
          <w:lang w:val="pt-PT"/>
        </w:rPr>
        <w:t>provados</w:t>
      </w:r>
      <w:r w:rsidRPr="004468F1">
        <w:rPr>
          <w:sz w:val="24"/>
          <w:szCs w:val="24"/>
          <w:lang w:val="pt-PT"/>
        </w:rPr>
        <w:t>, P9_</w:t>
      </w:r>
      <w:proofErr w:type="gramStart"/>
      <w:r w:rsidRPr="004468F1">
        <w:rPr>
          <w:sz w:val="24"/>
          <w:szCs w:val="24"/>
          <w:lang w:val="pt-PT"/>
        </w:rPr>
        <w:t>TA(</w:t>
      </w:r>
      <w:proofErr w:type="gramEnd"/>
      <w:r w:rsidRPr="004468F1">
        <w:rPr>
          <w:sz w:val="24"/>
          <w:szCs w:val="24"/>
          <w:lang w:val="pt-PT"/>
        </w:rPr>
        <w:t>2023)0427.</w:t>
      </w:r>
    </w:p>
  </w:footnote>
  <w:footnote w:id="14">
    <w:p w:rsidR="00A15984" w:rsidRPr="004468F1" w:rsidRDefault="00A15984" w:rsidP="00C772D9">
      <w:pPr>
        <w:pStyle w:val="FootnoteText"/>
        <w:ind w:left="567" w:hanging="567"/>
        <w:rPr>
          <w:sz w:val="24"/>
          <w:szCs w:val="24"/>
          <w:lang w:val="pt-PT"/>
        </w:rPr>
      </w:pPr>
      <w:r w:rsidRPr="004468F1">
        <w:rPr>
          <w:rStyle w:val="FootnoteReference"/>
          <w:sz w:val="24"/>
          <w:szCs w:val="24"/>
          <w:lang w:val="pt-PT"/>
        </w:rPr>
        <w:footnoteRef/>
      </w:r>
      <w:r w:rsidR="00C772D9" w:rsidRPr="004468F1">
        <w:rPr>
          <w:sz w:val="24"/>
          <w:szCs w:val="24"/>
          <w:lang w:val="pt-PT"/>
        </w:rPr>
        <w:t xml:space="preserve"> </w:t>
      </w:r>
      <w:r w:rsidR="00C772D9" w:rsidRPr="004468F1">
        <w:rPr>
          <w:sz w:val="24"/>
          <w:szCs w:val="24"/>
          <w:lang w:val="pt-PT"/>
        </w:rPr>
        <w:tab/>
      </w:r>
      <w:r w:rsidRPr="004468F1">
        <w:rPr>
          <w:sz w:val="24"/>
          <w:szCs w:val="24"/>
          <w:lang w:val="pt-PT"/>
        </w:rPr>
        <w:t xml:space="preserve">Textos </w:t>
      </w:r>
      <w:r w:rsidR="004468F1">
        <w:rPr>
          <w:sz w:val="24"/>
          <w:szCs w:val="24"/>
          <w:lang w:val="pt-PT"/>
        </w:rPr>
        <w:t>A</w:t>
      </w:r>
      <w:r w:rsidR="004468F1" w:rsidRPr="004468F1">
        <w:rPr>
          <w:sz w:val="24"/>
          <w:szCs w:val="24"/>
          <w:lang w:val="pt-PT"/>
        </w:rPr>
        <w:t>provados</w:t>
      </w:r>
      <w:r w:rsidRPr="004468F1">
        <w:rPr>
          <w:sz w:val="24"/>
          <w:szCs w:val="24"/>
          <w:lang w:val="pt-PT"/>
        </w:rPr>
        <w:t>, P9_</w:t>
      </w:r>
      <w:proofErr w:type="gramStart"/>
      <w:r w:rsidRPr="004468F1">
        <w:rPr>
          <w:sz w:val="24"/>
          <w:szCs w:val="24"/>
          <w:lang w:val="pt-PT"/>
        </w:rPr>
        <w:t>TA(</w:t>
      </w:r>
      <w:proofErr w:type="gramEnd"/>
      <w:r w:rsidRPr="004468F1">
        <w:rPr>
          <w:sz w:val="24"/>
          <w:szCs w:val="24"/>
          <w:lang w:val="pt-PT"/>
        </w:rPr>
        <w:t>2023)0078.</w:t>
      </w:r>
    </w:p>
  </w:footnote>
  <w:footnote w:id="15">
    <w:p w:rsidR="00A15984" w:rsidRPr="00263807" w:rsidRDefault="00A15984" w:rsidP="00C772D9">
      <w:pPr>
        <w:pStyle w:val="FootnoteText"/>
        <w:ind w:left="567" w:hanging="567"/>
        <w:rPr>
          <w:color w:val="000000"/>
          <w:sz w:val="24"/>
          <w:szCs w:val="24"/>
          <w:lang w:val="pt-PT"/>
        </w:rPr>
      </w:pPr>
      <w:r w:rsidRPr="00263807">
        <w:rPr>
          <w:rStyle w:val="FootnoteReference"/>
          <w:sz w:val="24"/>
          <w:szCs w:val="24"/>
          <w:lang w:val="pt-PT"/>
        </w:rPr>
        <w:footnoteRef/>
      </w:r>
      <w:hyperlink r:id="rId2" w:history="1">
        <w:r w:rsidRPr="00263807">
          <w:rPr>
            <w:rStyle w:val="Hyperlink"/>
            <w:sz w:val="24"/>
            <w:szCs w:val="24"/>
            <w:lang w:val="pt-PT"/>
          </w:rPr>
          <w:t xml:space="preserve"> https://parleu2022.cz/wp</w:t>
        </w:r>
        <w:r w:rsidRPr="00263807">
          <w:rPr>
            <w:rStyle w:val="Hyperlink"/>
            <w:sz w:val="24"/>
            <w:szCs w:val="24"/>
            <w:lang w:val="pt-PT"/>
          </w:rPr>
          <w:noBreakHyphen/>
          <w:t>content/uploads/2023/04/EUSC</w:t>
        </w:r>
        <w:r w:rsidRPr="00263807">
          <w:rPr>
            <w:rStyle w:val="Hyperlink"/>
            <w:sz w:val="24"/>
            <w:szCs w:val="24"/>
            <w:lang w:val="pt-PT"/>
          </w:rPr>
          <w:noBreakHyphen/>
          <w:t>Prague</w:t>
        </w:r>
        <w:r w:rsidRPr="00263807">
          <w:rPr>
            <w:rStyle w:val="Hyperlink"/>
            <w:sz w:val="24"/>
            <w:szCs w:val="24"/>
            <w:lang w:val="pt-PT"/>
          </w:rPr>
          <w:noBreakHyphen/>
          <w:t>Presidency</w:t>
        </w:r>
        <w:r w:rsidRPr="00263807">
          <w:rPr>
            <w:rStyle w:val="Hyperlink"/>
            <w:sz w:val="24"/>
            <w:szCs w:val="24"/>
            <w:lang w:val="pt-PT"/>
          </w:rPr>
          <w:noBreakHyphen/>
          <w:t>Conclusions</w:t>
        </w:r>
        <w:r w:rsidRPr="00263807">
          <w:rPr>
            <w:rStyle w:val="Hyperlink"/>
            <w:sz w:val="24"/>
            <w:szCs w:val="24"/>
            <w:lang w:val="pt-PT"/>
          </w:rPr>
          <w:noBreakHyphen/>
          <w:t>final</w:t>
        </w:r>
        <w:r w:rsidRPr="00263807">
          <w:rPr>
            <w:rStyle w:val="Hyperlink"/>
            <w:sz w:val="24"/>
            <w:szCs w:val="24"/>
            <w:lang w:val="pt-PT"/>
          </w:rPr>
          <w:noBreakHyphen/>
          <w:t>EN</w:t>
        </w:r>
        <w:r w:rsidRPr="00263807">
          <w:rPr>
            <w:rStyle w:val="Hyperlink"/>
            <w:sz w:val="24"/>
            <w:szCs w:val="24"/>
            <w:lang w:val="pt-PT"/>
          </w:rPr>
          <w:noBreakHyphen/>
          <w:t>1.pdf</w:t>
        </w:r>
      </w:hyperlink>
      <w:r w:rsidRPr="00263807">
        <w:rPr>
          <w:color w:val="000000"/>
          <w:sz w:val="24"/>
          <w:szCs w:val="24"/>
          <w:lang w:val="pt-PT"/>
        </w:rPr>
        <w:t>.</w:t>
      </w:r>
    </w:p>
  </w:footnote>
  <w:footnote w:id="16">
    <w:p w:rsidR="00A15984" w:rsidRPr="00263807" w:rsidRDefault="00A15984" w:rsidP="00C772D9">
      <w:pPr>
        <w:pStyle w:val="FootnoteText"/>
        <w:ind w:left="567" w:hanging="567"/>
        <w:rPr>
          <w:color w:val="000000"/>
          <w:sz w:val="24"/>
          <w:szCs w:val="24"/>
          <w:lang w:val="pt-PT"/>
        </w:rPr>
      </w:pPr>
      <w:r w:rsidRPr="00263807">
        <w:rPr>
          <w:rStyle w:val="FootnoteReference"/>
          <w:sz w:val="24"/>
          <w:szCs w:val="24"/>
          <w:lang w:val="pt-PT"/>
        </w:rPr>
        <w:footnoteRef/>
      </w:r>
      <w:r w:rsidRPr="00263807">
        <w:rPr>
          <w:rStyle w:val="FootnoteReference"/>
          <w:sz w:val="24"/>
          <w:szCs w:val="24"/>
          <w:lang w:val="pt-PT"/>
        </w:rPr>
        <w:t xml:space="preserve"> </w:t>
      </w:r>
      <w:hyperlink r:id="rId3" w:history="1">
        <w:r w:rsidRPr="00263807">
          <w:rPr>
            <w:rStyle w:val="Hyperlink"/>
            <w:sz w:val="24"/>
            <w:szCs w:val="24"/>
            <w:lang w:val="pt-PT"/>
          </w:rPr>
          <w:t>https://secure.ipex.eu/IPEXL</w:t>
        </w:r>
        <w:r w:rsidRPr="00263807">
          <w:rPr>
            <w:rStyle w:val="Hyperlink"/>
            <w:sz w:val="24"/>
            <w:szCs w:val="24"/>
            <w:lang w:val="pt-PT"/>
          </w:rPr>
          <w:noBreakHyphen/>
          <w:t>WEB/download/file/8a8629a88827df1e018828991e660000/Contribution%20adopted%20by%20the%20LXIX%20COSAC.pdf</w:t>
        </w:r>
      </w:hyperlink>
      <w:r w:rsidRPr="00263807">
        <w:rPr>
          <w:color w:val="000000"/>
          <w:sz w:val="24"/>
          <w:szCs w:val="24"/>
          <w:lang w:val="pt-PT"/>
        </w:rPr>
        <w:t>.</w:t>
      </w:r>
    </w:p>
  </w:footnote>
  <w:footnote w:id="17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pt-PT"/>
        </w:rPr>
      </w:pPr>
      <w:r w:rsidRPr="00263807">
        <w:rPr>
          <w:rStyle w:val="FootnoteReference"/>
          <w:sz w:val="24"/>
          <w:szCs w:val="24"/>
          <w:lang w:val="pt-PT"/>
        </w:rPr>
        <w:footnoteRef/>
      </w:r>
      <w:r w:rsidRPr="00263807">
        <w:rPr>
          <w:rStyle w:val="FootnoteReference"/>
          <w:sz w:val="24"/>
          <w:szCs w:val="24"/>
          <w:lang w:val="pt-PT"/>
        </w:rPr>
        <w:t xml:space="preserve"> </w:t>
      </w:r>
      <w:r w:rsidR="004468F1">
        <w:rPr>
          <w:sz w:val="24"/>
          <w:szCs w:val="24"/>
          <w:lang w:val="pt-PT"/>
        </w:rPr>
        <w:tab/>
      </w:r>
      <w:hyperlink r:id="rId4" w:history="1">
        <w:r w:rsidRPr="00263807">
          <w:rPr>
            <w:rStyle w:val="Hyperlink"/>
            <w:sz w:val="24"/>
            <w:szCs w:val="24"/>
            <w:lang w:val="pt-PT"/>
          </w:rPr>
          <w:t>https://www.congreso.es/backoffice_doc/prensa/notas_prensa/99181_1688138271277.pdf</w:t>
        </w:r>
      </w:hyperlink>
      <w:r w:rsidRPr="00263807">
        <w:rPr>
          <w:sz w:val="24"/>
          <w:szCs w:val="24"/>
          <w:lang w:val="pt-PT"/>
        </w:rPr>
        <w:t>.</w:t>
      </w:r>
    </w:p>
  </w:footnote>
  <w:footnote w:id="18">
    <w:p w:rsidR="00A15984" w:rsidRPr="00263807" w:rsidRDefault="00A15984" w:rsidP="00C772D9">
      <w:pPr>
        <w:pStyle w:val="FootnoteText"/>
        <w:ind w:left="567" w:hanging="567"/>
        <w:rPr>
          <w:sz w:val="24"/>
          <w:szCs w:val="24"/>
          <w:lang w:val="pt-PT"/>
        </w:rPr>
      </w:pPr>
      <w:r w:rsidRPr="00263807">
        <w:rPr>
          <w:rStyle w:val="FootnoteReference"/>
          <w:sz w:val="24"/>
          <w:szCs w:val="24"/>
          <w:lang w:val="pt-PT"/>
        </w:rPr>
        <w:footnoteRef/>
      </w:r>
      <w:r w:rsidRPr="00263807">
        <w:rPr>
          <w:sz w:val="24"/>
          <w:szCs w:val="24"/>
          <w:lang w:val="pt-PT"/>
        </w:rPr>
        <w:t xml:space="preserve"> </w:t>
      </w:r>
      <w:r w:rsidR="004468F1">
        <w:rPr>
          <w:sz w:val="24"/>
          <w:szCs w:val="24"/>
          <w:lang w:val="pt-PT"/>
        </w:rPr>
        <w:tab/>
      </w:r>
      <w:r w:rsidRPr="00263807">
        <w:rPr>
          <w:sz w:val="24"/>
          <w:szCs w:val="24"/>
          <w:lang w:val="pt-PT"/>
        </w:rPr>
        <w:t>JO L 317 de 4.11.2014,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2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2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2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9/2023"/>
    <w:docVar w:name="dvlangue" w:val="PT"/>
    <w:docVar w:name="dvnumam" w:val="0"/>
    <w:docVar w:name="dvpe" w:val="752.837"/>
    <w:docVar w:name="dvrapporteur" w:val="Relator: "/>
    <w:docVar w:name="dvtitre" w:val="Resolução do Parlamento Europeu, de ... de ... de 2024,_x000d__x000a_ sobre a aplicação das disposições dos Tratados relativas aos parlamentos nacionais(2023/2084(INI))"/>
  </w:docVars>
  <w:rsids>
    <w:rsidRoot w:val="009566F1"/>
    <w:rsid w:val="00002272"/>
    <w:rsid w:val="0000765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56DA"/>
    <w:rsid w:val="0026380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8F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6F1"/>
    <w:rsid w:val="00981893"/>
    <w:rsid w:val="00A1598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2D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4B2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8E118"/>
  <w15:chartTrackingRefBased/>
  <w15:docId w15:val="{80913596-B85F-4A88-907C-B70B4B51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EN Footnote Reference,Exposant 3 Point,FR,Footnote Reference Number,Footnote Reference/,Footnote Refernece,Footnote reference number,Footnote symbol,Fußnotenzeichen_Raxen,Ref,SUPERS,Times 10 Point,callout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15984"/>
    <w:pPr>
      <w:spacing w:after="240"/>
      <w:ind w:left="567" w:hanging="567"/>
    </w:pPr>
  </w:style>
  <w:style w:type="paragraph" w:customStyle="1" w:styleId="EPComma">
    <w:name w:val="EPComma"/>
    <w:basedOn w:val="Normal"/>
    <w:rsid w:val="00A15984"/>
    <w:pPr>
      <w:spacing w:before="480" w:after="240"/>
    </w:pPr>
  </w:style>
  <w:style w:type="character" w:styleId="Hyperlink">
    <w:name w:val="Hyperlink"/>
    <w:unhideWhenUsed/>
    <w:rsid w:val="00A15984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15984"/>
    <w:rPr>
      <w:sz w:val="24"/>
      <w:lang w:val="pt-PT"/>
    </w:rPr>
  </w:style>
  <w:style w:type="paragraph" w:styleId="BalloonText">
    <w:name w:val="Balloon Text"/>
    <w:basedOn w:val="Normal"/>
    <w:link w:val="BalloonTextChar"/>
    <w:rsid w:val="004468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468F1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4468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ecure.ipex.eu/IPEXL-WEB/download/file/8a8629a88827df1e018828991e660000/Contribution%20adopted%20by%20the%20LXIX%20COSAC.pdf" TargetMode="External"/><Relationship Id="rId2" Type="http://schemas.openxmlformats.org/officeDocument/2006/relationships/hyperlink" Target="%20https:/parleu2022.cz/wp-content/uploads/2023/04/EUSC-Prague-Presidency-Conclusions-final-EN-1.pdf" TargetMode="External"/><Relationship Id="rId1" Type="http://schemas.openxmlformats.org/officeDocument/2006/relationships/hyperlink" Target="https://commission.europa.eu/system/files/2018-09/report-task-force-subsidiarity-proportionality-and-doing-less-more-efficiently_en.pdf" TargetMode="External"/><Relationship Id="rId4" Type="http://schemas.openxmlformats.org/officeDocument/2006/relationships/hyperlink" Target="https://www.congreso.es/backoffice_doc/prensa/notas_prensa/99181_168813827127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B62F0-629D-4BB6-B7CB-89AD23755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4292</Words>
  <Characters>24326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2024-01-17T11:43:00Z</dcterms:created>
  <dcterms:modified xsi:type="dcterms:W3CDTF">2024-01-17T11:43:00Z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A9-0429/2023</vt:lpwstr>
  </property>
  <property fmtid="{D5CDD505-2E9C-101B-9397-08002B2CF9AE}" pid="4" name="&lt;Type&gt;">
    <vt:lpwstr>RR</vt:lpwstr>
  </property>
</Properties>
</file>