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21CA" w:rsidTr="0010095E">
        <w:trPr>
          <w:trHeight w:hRule="exact" w:val="1418"/>
        </w:trPr>
        <w:tc>
          <w:tcPr>
            <w:tcW w:w="6804" w:type="dxa"/>
            <w:shd w:val="clear" w:color="auto" w:fill="auto"/>
            <w:vAlign w:val="center"/>
          </w:tcPr>
          <w:p w:rsidR="00751A4A" w:rsidRPr="009121CA" w:rsidRDefault="00E41244" w:rsidP="0010095E">
            <w:pPr>
              <w:pStyle w:val="EPName"/>
            </w:pPr>
            <w:r w:rsidRPr="009121CA">
              <w:t>Европейски</w:t>
            </w:r>
            <w:r w:rsidR="000A7ADB" w:rsidRPr="009121CA">
              <w:t xml:space="preserve"> парламент</w:t>
            </w:r>
          </w:p>
          <w:p w:rsidR="00751A4A" w:rsidRPr="009121CA" w:rsidRDefault="00817416" w:rsidP="00756632">
            <w:pPr>
              <w:pStyle w:val="EPTerm"/>
              <w:rPr>
                <w:rStyle w:val="HideTWBExt"/>
                <w:noProof w:val="0"/>
                <w:vanish w:val="0"/>
                <w:color w:val="auto"/>
              </w:rPr>
            </w:pPr>
            <w:r w:rsidRPr="009121CA">
              <w:t>2019</w:t>
            </w:r>
            <w:r w:rsidR="00E41244">
              <w:t> – </w:t>
            </w:r>
            <w:r w:rsidRPr="009121CA">
              <w:t>2024</w:t>
            </w:r>
          </w:p>
        </w:tc>
        <w:tc>
          <w:tcPr>
            <w:tcW w:w="2268" w:type="dxa"/>
            <w:shd w:val="clear" w:color="auto" w:fill="auto"/>
          </w:tcPr>
          <w:p w:rsidR="00751A4A" w:rsidRPr="009121CA" w:rsidRDefault="00187494" w:rsidP="0010095E">
            <w:pPr>
              <w:pStyle w:val="EPLogo"/>
            </w:pPr>
            <w:r w:rsidRPr="009121C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121CA" w:rsidRDefault="00D058B8" w:rsidP="004C5D52">
      <w:pPr>
        <w:pStyle w:val="LineTop"/>
      </w:pPr>
    </w:p>
    <w:p w:rsidR="00680577" w:rsidRPr="009121CA" w:rsidRDefault="000A7ADB" w:rsidP="00680577">
      <w:pPr>
        <w:pStyle w:val="EPBodyTA1"/>
      </w:pPr>
      <w:r w:rsidRPr="009121CA">
        <w:t>ПРИЕТИ ТЕКСТОВЕ</w:t>
      </w:r>
    </w:p>
    <w:p w:rsidR="00D058B8" w:rsidRPr="009121CA" w:rsidRDefault="00D058B8" w:rsidP="00D058B8">
      <w:pPr>
        <w:pStyle w:val="LineBottom"/>
      </w:pPr>
    </w:p>
    <w:p w:rsidR="000A7ADB" w:rsidRPr="009121CA" w:rsidRDefault="000A7ADB" w:rsidP="000A7ADB">
      <w:pPr>
        <w:pStyle w:val="ATHeading1"/>
      </w:pPr>
      <w:bookmarkStart w:id="0" w:name="TANumber"/>
      <w:r w:rsidRPr="009121CA">
        <w:t>P9_TA(2024)00</w:t>
      </w:r>
      <w:r w:rsidR="009760A8">
        <w:t>24</w:t>
      </w:r>
      <w:bookmarkEnd w:id="0"/>
    </w:p>
    <w:p w:rsidR="000A7ADB" w:rsidRPr="009121CA" w:rsidRDefault="000A7ADB" w:rsidP="000A7ADB">
      <w:pPr>
        <w:pStyle w:val="ATHeading2"/>
      </w:pPr>
      <w:bookmarkStart w:id="1" w:name="title"/>
      <w:r w:rsidRPr="009121CA">
        <w:t>Прилагане на разпоредбите на Договора за гражданството на ЕС</w:t>
      </w:r>
    </w:p>
    <w:p w:rsidR="000A7ADB" w:rsidRPr="009121CA" w:rsidRDefault="000A7ADB" w:rsidP="000A7ADB">
      <w:pPr>
        <w:rPr>
          <w:i/>
          <w:vanish/>
        </w:rPr>
      </w:pPr>
      <w:r w:rsidRPr="009121CA">
        <w:rPr>
          <w:i/>
        </w:rPr>
        <w:fldChar w:fldCharType="begin"/>
      </w:r>
      <w:r w:rsidRPr="009121CA">
        <w:rPr>
          <w:i/>
        </w:rPr>
        <w:instrText xml:space="preserve"> TC"(</w:instrText>
      </w:r>
      <w:bookmarkStart w:id="2" w:name="DocNumber"/>
      <w:r w:rsidRPr="009121CA">
        <w:rPr>
          <w:i/>
        </w:rPr>
        <w:instrText>A9-0436/2023</w:instrText>
      </w:r>
      <w:bookmarkEnd w:id="2"/>
      <w:r w:rsidRPr="009121CA">
        <w:rPr>
          <w:i/>
        </w:rPr>
        <w:instrText xml:space="preserve"> - Докладчик: Майте Пагасауртундуа)"\l3 \n&gt; \* MERGEFORMAT </w:instrText>
      </w:r>
      <w:r w:rsidRPr="009121CA">
        <w:rPr>
          <w:i/>
        </w:rPr>
        <w:fldChar w:fldCharType="end"/>
      </w:r>
    </w:p>
    <w:p w:rsidR="000A7ADB" w:rsidRPr="009121CA" w:rsidRDefault="000A7ADB" w:rsidP="000A7ADB">
      <w:pPr>
        <w:rPr>
          <w:vanish/>
        </w:rPr>
      </w:pPr>
      <w:bookmarkStart w:id="3" w:name="Commission"/>
      <w:r w:rsidRPr="009121CA">
        <w:rPr>
          <w:vanish/>
        </w:rPr>
        <w:t>Комисия по конституционни въпроси</w:t>
      </w:r>
      <w:bookmarkEnd w:id="3"/>
    </w:p>
    <w:p w:rsidR="000A7ADB" w:rsidRPr="009121CA" w:rsidRDefault="000A7ADB" w:rsidP="000A7ADB">
      <w:pPr>
        <w:rPr>
          <w:vanish/>
        </w:rPr>
      </w:pPr>
      <w:bookmarkStart w:id="4" w:name="PE"/>
      <w:r w:rsidRPr="009121CA">
        <w:rPr>
          <w:vanish/>
        </w:rPr>
        <w:t>PE754.647</w:t>
      </w:r>
      <w:bookmarkEnd w:id="4"/>
    </w:p>
    <w:p w:rsidR="000A7ADB" w:rsidRPr="009121CA" w:rsidRDefault="000A7ADB" w:rsidP="00E41244">
      <w:pPr>
        <w:pStyle w:val="ATHeading3"/>
      </w:pPr>
      <w:bookmarkStart w:id="5" w:name="Sujet"/>
      <w:r w:rsidRPr="009121CA">
        <w:t xml:space="preserve">Резолюция на Европейския парламент от </w:t>
      </w:r>
      <w:r w:rsidR="009760A8">
        <w:t>17</w:t>
      </w:r>
      <w:r w:rsidRPr="009121CA">
        <w:t xml:space="preserve"> </w:t>
      </w:r>
      <w:r w:rsidR="00E41244">
        <w:t xml:space="preserve">януари </w:t>
      </w:r>
      <w:r w:rsidRPr="009121CA">
        <w:t>2024 г. относно прилагането на разпоредбите на Договора относно гражданството на Съюза</w:t>
      </w:r>
      <w:bookmarkEnd w:id="5"/>
      <w:r w:rsidRPr="009121CA">
        <w:t xml:space="preserve"> </w:t>
      </w:r>
      <w:bookmarkStart w:id="6" w:name="References"/>
      <w:r w:rsidRPr="009121CA">
        <w:t>(2023/2085(INI))</w:t>
      </w:r>
      <w:bookmarkEnd w:id="6"/>
    </w:p>
    <w:p w:rsidR="002A7CC9" w:rsidRPr="009121CA" w:rsidRDefault="002A7CC9" w:rsidP="002A7CC9">
      <w:pPr>
        <w:pStyle w:val="Normal12"/>
        <w:jc w:val="both"/>
      </w:pPr>
      <w:bookmarkStart w:id="7" w:name="TextBodyBegin"/>
      <w:bookmarkEnd w:id="1"/>
      <w:bookmarkEnd w:id="7"/>
      <w:r w:rsidRPr="009121CA">
        <w:rPr>
          <w:i/>
        </w:rPr>
        <w:t>Европейският парламент</w:t>
      </w:r>
      <w:r w:rsidRPr="009121CA">
        <w:t>,</w:t>
      </w:r>
    </w:p>
    <w:p w:rsidR="002A7CC9" w:rsidRPr="009121CA" w:rsidRDefault="002A7CC9" w:rsidP="002A7CC9">
      <w:pPr>
        <w:pStyle w:val="NormalHanging12a"/>
      </w:pPr>
      <w:r w:rsidRPr="009121CA">
        <w:t>–</w:t>
      </w:r>
      <w:r w:rsidRPr="009121CA">
        <w:tab/>
        <w:t>като взе предвид членове 2, 3, 6, 9, 10, 11, 12, 21 и 23 от Договора за Европейския съюз (ДЕС),</w:t>
      </w:r>
    </w:p>
    <w:p w:rsidR="002A7CC9" w:rsidRPr="009121CA" w:rsidRDefault="002A7CC9" w:rsidP="002A7CC9">
      <w:pPr>
        <w:pStyle w:val="NormalHanging12a"/>
      </w:pPr>
      <w:r w:rsidRPr="009121CA">
        <w:t>–</w:t>
      </w:r>
      <w:r w:rsidRPr="009121CA">
        <w:tab/>
        <w:t>като взе предвид членове 15, 20, 21, 22, 24, 26, 45, 46, 47, 48, 153 и 165 от Договора за функционирането на Европейския съюз (ДФЕС),</w:t>
      </w:r>
    </w:p>
    <w:p w:rsidR="002A7CC9" w:rsidRPr="009121CA" w:rsidRDefault="002A7CC9" w:rsidP="002A7CC9">
      <w:pPr>
        <w:pStyle w:val="NormalHanging12a"/>
      </w:pPr>
      <w:r w:rsidRPr="009121CA">
        <w:t>–</w:t>
      </w:r>
      <w:r w:rsidRPr="009121CA">
        <w:tab/>
        <w:t>като взе предвид Хартата на основните права на Европейския съюз,</w:t>
      </w:r>
    </w:p>
    <w:p w:rsidR="002A7CC9" w:rsidRPr="009121CA" w:rsidRDefault="002A7CC9" w:rsidP="002A7CC9">
      <w:pPr>
        <w:pStyle w:val="NormalHanging12a"/>
      </w:pPr>
      <w:r w:rsidRPr="009121CA">
        <w:t>–</w:t>
      </w:r>
      <w:r w:rsidRPr="009121CA">
        <w:tab/>
        <w:t>като взе предвид Директива 2004/38/EO на Европейския парламент и на Съвета от 29 април 2004 г. относно правото на граждани на Съюза и на членове на техните семейства да се движат и да пребивават свободно на територията на държавите членки, за изменение на Регламент (ЕИО) № 1612/68 и отменяща Директиви 64/221/ЕИО, 68/360/ЕИО, 72/194/ЕИО, 73/148/ЕИО, 75/34/ЕИО, 75/35/ЕИО, 90/364/ЕИО, 90/365/ЕИО и 93/96/ЕИО</w:t>
      </w:r>
      <w:r w:rsidRPr="009121CA">
        <w:rPr>
          <w:rStyle w:val="FootnoteReference"/>
          <w:color w:val="000000"/>
        </w:rPr>
        <w:footnoteReference w:id="1"/>
      </w:r>
      <w:r w:rsidRPr="009121CA">
        <w:t>,</w:t>
      </w:r>
    </w:p>
    <w:p w:rsidR="002A7CC9" w:rsidRPr="009121CA" w:rsidRDefault="002A7CC9" w:rsidP="002A7CC9">
      <w:pPr>
        <w:pStyle w:val="NormalHanging12a"/>
      </w:pPr>
      <w:r w:rsidRPr="009121CA">
        <w:t>–</w:t>
      </w:r>
      <w:r w:rsidRPr="009121CA">
        <w:tab/>
        <w:t>като взе предвид Регламент (ЕС) 2021/692 на Европейския парламент и на Съвета от 28 април 2021 г. за създаване на програма „Граждани, равенство, права и ценности“ и за отмяна на Регламент (ЕС) № 1381/2013 на Европейския парламент и на Съвета и на Регламент (ЕС) № 390/2014 на Съвета</w:t>
      </w:r>
      <w:r w:rsidRPr="009121CA">
        <w:rPr>
          <w:rStyle w:val="FootnoteReference"/>
          <w:color w:val="000000"/>
        </w:rPr>
        <w:footnoteReference w:id="2"/>
      </w:r>
      <w:r w:rsidRPr="009121CA">
        <w:t>,</w:t>
      </w:r>
    </w:p>
    <w:p w:rsidR="002A7CC9" w:rsidRPr="009121CA" w:rsidRDefault="002A7CC9" w:rsidP="002A7CC9">
      <w:pPr>
        <w:pStyle w:val="NormalHanging12a"/>
      </w:pPr>
      <w:r w:rsidRPr="009121CA">
        <w:t>–</w:t>
      </w:r>
      <w:r w:rsidRPr="009121CA">
        <w:tab/>
        <w:t>като взе предвид Регламент (ЕС) № 492/2011 на Европейския парламент и на Съвета от 5 април 2011 г. относно свободното движение на работници в Съюза</w:t>
      </w:r>
      <w:r w:rsidRPr="009121CA">
        <w:rPr>
          <w:rStyle w:val="FootnoteReference"/>
          <w:color w:val="000000"/>
        </w:rPr>
        <w:footnoteReference w:id="3"/>
      </w:r>
      <w:r w:rsidRPr="009121CA">
        <w:t>,</w:t>
      </w:r>
    </w:p>
    <w:p w:rsidR="002A7CC9" w:rsidRPr="009121CA" w:rsidRDefault="002A7CC9" w:rsidP="002A7CC9">
      <w:pPr>
        <w:pStyle w:val="NormalHanging12a"/>
      </w:pPr>
      <w:r w:rsidRPr="009121CA">
        <w:t>–</w:t>
      </w:r>
      <w:r w:rsidRPr="009121CA">
        <w:tab/>
        <w:t xml:space="preserve">като взе предвид Регламент (ЕС) </w:t>
      </w:r>
      <w:r w:rsidR="000A62D8" w:rsidRPr="0032675A">
        <w:t>№</w:t>
      </w:r>
      <w:r w:rsidR="000A62D8">
        <w:t xml:space="preserve"> </w:t>
      </w:r>
      <w:r w:rsidRPr="009121CA">
        <w:t>2019/1149 на Европейския парламент и на Съвета от 20 юни 2019 г. за създаване на Европейски орган по труда, за изменение на регламенти (ЕО) № 883/2004, (ЕС) № 492/2011 и (ЕС) 2016/589 и за отмяна на Решение (ЕС) 2016/344</w:t>
      </w:r>
      <w:r w:rsidRPr="009121CA">
        <w:rPr>
          <w:rStyle w:val="FootnoteReference"/>
          <w:color w:val="000000"/>
        </w:rPr>
        <w:footnoteReference w:id="4"/>
      </w:r>
      <w:r w:rsidRPr="009121CA">
        <w:t>,</w:t>
      </w:r>
    </w:p>
    <w:p w:rsidR="002A7CC9" w:rsidRPr="009121CA" w:rsidRDefault="002A7CC9" w:rsidP="002A7CC9">
      <w:pPr>
        <w:pStyle w:val="NormalHanging12a"/>
      </w:pPr>
      <w:r w:rsidRPr="009121CA">
        <w:t>–</w:t>
      </w:r>
      <w:r w:rsidRPr="009121CA">
        <w:tab/>
        <w:t xml:space="preserve">като взе предвид Директива (ЕС) 2018/957 на Европейския парламент и на Съвета от 28 юни 2018 г. за изменение на Директива 96/71/ЕО относно командироването </w:t>
      </w:r>
      <w:r w:rsidRPr="009121CA">
        <w:lastRenderedPageBreak/>
        <w:t>на работници в рамките на предоставянето на услуги</w:t>
      </w:r>
      <w:r w:rsidRPr="009121CA">
        <w:rPr>
          <w:rStyle w:val="FootnoteReference"/>
          <w:color w:val="000000"/>
        </w:rPr>
        <w:footnoteReference w:id="5"/>
      </w:r>
      <w:r w:rsidRPr="009121CA">
        <w:t>,</w:t>
      </w:r>
    </w:p>
    <w:p w:rsidR="002A7CC9" w:rsidRPr="009121CA" w:rsidRDefault="002A7CC9" w:rsidP="002A7CC9">
      <w:pPr>
        <w:pStyle w:val="NormalHanging12a"/>
      </w:pPr>
      <w:r w:rsidRPr="009121CA">
        <w:t>–</w:t>
      </w:r>
      <w:r w:rsidRPr="009121CA">
        <w:tab/>
        <w:t>като взе предвид Регламент (ЕС) 2016/589 на Европейския парламент и на Съвета от 13 април 2016 г. относно европейска мрежа на службите по заетостта (EURES), достъп на работниците до услуги за мобилност и по-нататъшно интегриране на пазарите на труда и за изменение на регламенти (EС) № 492/2011 и (EС) № 1296/2013</w:t>
      </w:r>
      <w:r w:rsidRPr="009121CA">
        <w:rPr>
          <w:rStyle w:val="FootnoteReference"/>
          <w:color w:val="000000"/>
        </w:rPr>
        <w:footnoteReference w:id="6"/>
      </w:r>
      <w:r w:rsidRPr="009121CA">
        <w:t>,</w:t>
      </w:r>
    </w:p>
    <w:p w:rsidR="002A7CC9" w:rsidRPr="009121CA" w:rsidRDefault="002A7CC9" w:rsidP="002A7CC9">
      <w:pPr>
        <w:pStyle w:val="NormalHanging12a"/>
      </w:pPr>
      <w:r w:rsidRPr="009121CA">
        <w:t>–</w:t>
      </w:r>
      <w:r w:rsidRPr="009121CA">
        <w:tab/>
        <w:t>като взе предвид Директива 2013/55/ЕС на Европейския парламент и на Съвета от 20 ноември 2013 г. за изменение на Директива 2005/36/ЕО относно признаването на професионалните квалификации и на Регламент (ЕС) № 1024/2012 относно административно сътрудничество посредством Информационната система за вътрешния пазар</w:t>
      </w:r>
      <w:r w:rsidRPr="009121CA">
        <w:rPr>
          <w:rStyle w:val="FootnoteReference"/>
          <w:color w:val="000000"/>
        </w:rPr>
        <w:footnoteReference w:id="7"/>
      </w:r>
      <w:r w:rsidRPr="009121CA">
        <w:t>,</w:t>
      </w:r>
    </w:p>
    <w:p w:rsidR="002A7CC9" w:rsidRPr="009121CA" w:rsidRDefault="002A7CC9" w:rsidP="002A7CC9">
      <w:pPr>
        <w:pStyle w:val="NormalHanging12a"/>
      </w:pPr>
      <w:r w:rsidRPr="009121CA">
        <w:t>–</w:t>
      </w:r>
      <w:r w:rsidRPr="009121CA">
        <w:tab/>
        <w:t>като взе предвид Директива (ЕС) 2015/637 на Съвета от 20 април 2015 г. относно мерките за координация и сътрудничество за улесняване на консулската закрила на непредставени граждани на Съюза в трети държави и за отмяна на Решение 95/553/ЕО</w:t>
      </w:r>
      <w:r w:rsidRPr="009121CA">
        <w:rPr>
          <w:rStyle w:val="FootnoteReference"/>
        </w:rPr>
        <w:footnoteReference w:id="8"/>
      </w:r>
      <w:r w:rsidRPr="009121CA">
        <w:t>,</w:t>
      </w:r>
    </w:p>
    <w:p w:rsidR="002A7CC9" w:rsidRPr="009121CA" w:rsidRDefault="002A7CC9" w:rsidP="002A7CC9">
      <w:pPr>
        <w:pStyle w:val="NormalHanging12a"/>
      </w:pPr>
      <w:r w:rsidRPr="009121CA">
        <w:t>–</w:t>
      </w:r>
      <w:r w:rsidRPr="009121CA">
        <w:tab/>
        <w:t>като взе предвид Директива (EС) 2019/997 на Съвета от 18 юни 2019 г. за временния документ за пътуване на ЕС и за отмяна на Решение 96/409/ОВППС</w:t>
      </w:r>
      <w:r w:rsidRPr="009121CA">
        <w:rPr>
          <w:rStyle w:val="FootnoteReference"/>
          <w:color w:val="000000"/>
        </w:rPr>
        <w:footnoteReference w:id="9"/>
      </w:r>
      <w:r w:rsidRPr="009121CA">
        <w:t>,</w:t>
      </w:r>
    </w:p>
    <w:p w:rsidR="002A7CC9" w:rsidRPr="009121CA" w:rsidRDefault="002A7CC9" w:rsidP="002A7CC9">
      <w:pPr>
        <w:pStyle w:val="NormalHanging12a"/>
      </w:pPr>
      <w:r w:rsidRPr="009121CA">
        <w:t>–</w:t>
      </w:r>
      <w:r w:rsidRPr="009121CA">
        <w:tab/>
        <w:t>като взе предвид съобщението на Комисията от 2 юли 2009 г. относно насоки за по-добро транспониране и прилагане на Директива 2004/38/ЕО относно правото на граждани на Съюза и на членове на техните семейства да се движат и да пребивават свободно на територията на държавите членки (СОМ(2009)0313),</w:t>
      </w:r>
    </w:p>
    <w:p w:rsidR="002A7CC9" w:rsidRPr="009121CA" w:rsidRDefault="002A7CC9" w:rsidP="002A7CC9">
      <w:pPr>
        <w:pStyle w:val="NormalHanging12a"/>
      </w:pPr>
      <w:r w:rsidRPr="009121CA">
        <w:t>–</w:t>
      </w:r>
      <w:r w:rsidRPr="009121CA">
        <w:tab/>
        <w:t>като взе предвид Регламент (ЕС) 2019/788 на Европейския парламент и на Съвета от 17 април 2019 г. относно европейската гражданска инициатива</w:t>
      </w:r>
      <w:r w:rsidRPr="009121CA">
        <w:rPr>
          <w:vertAlign w:val="superscript"/>
        </w:rPr>
        <w:footnoteReference w:id="10"/>
      </w:r>
      <w:r w:rsidRPr="009121CA">
        <w:t>,</w:t>
      </w:r>
    </w:p>
    <w:p w:rsidR="002A7CC9" w:rsidRPr="009121CA" w:rsidRDefault="002A7CC9" w:rsidP="002A7CC9">
      <w:pPr>
        <w:pStyle w:val="NormalHanging12a"/>
      </w:pPr>
      <w:r w:rsidRPr="009121CA">
        <w:t>–</w:t>
      </w:r>
      <w:r w:rsidRPr="009121CA">
        <w:tab/>
        <w:t>като взе предвид Регламент (ЕС) 2020/1042 на Европейския парламент и на Съвета от 15 юли 2020 г. за определяне на временни мерки във връзка със сроковете за етапите на събиране, проверка и разглеждане, предвидени в Регламент (ЕС) 2019/788 относно европейската гражданска инициатива, с оглед на пандемията от COVID-19</w:t>
      </w:r>
      <w:r w:rsidRPr="009121CA">
        <w:rPr>
          <w:rStyle w:val="FootnoteReference"/>
          <w:color w:val="000000"/>
        </w:rPr>
        <w:footnoteReference w:id="11"/>
      </w:r>
      <w:r w:rsidRPr="009121CA">
        <w:t>,</w:t>
      </w:r>
    </w:p>
    <w:p w:rsidR="002A7CC9" w:rsidRPr="009121CA" w:rsidRDefault="002A7CC9" w:rsidP="002A7CC9">
      <w:pPr>
        <w:pStyle w:val="NormalHanging12a"/>
      </w:pPr>
      <w:r w:rsidRPr="009121CA">
        <w:t>–</w:t>
      </w:r>
      <w:r w:rsidRPr="009121CA">
        <w:tab/>
        <w:t>като взе предвид съобщението на Комисията от 2 декември 2020 г., озаглавено „Стратегия за подобряване на прилагането на Хартата на основните права в ЕС“ (COM(2020)0711),</w:t>
      </w:r>
    </w:p>
    <w:p w:rsidR="002A7CC9" w:rsidRPr="009121CA" w:rsidRDefault="002A7CC9" w:rsidP="002A7CC9">
      <w:pPr>
        <w:pStyle w:val="NormalHanging12a"/>
      </w:pPr>
      <w:r w:rsidRPr="009121CA">
        <w:t>–</w:t>
      </w:r>
      <w:r w:rsidRPr="009121CA">
        <w:tab/>
        <w:t>като взе предвид съобщението на Комисията от 3 декември 2020 г., озаглавено „План за действие за европейската демокрация“ (COM(2020)0790),</w:t>
      </w:r>
    </w:p>
    <w:p w:rsidR="002A7CC9" w:rsidRPr="009121CA" w:rsidRDefault="002A7CC9" w:rsidP="002A7CC9">
      <w:pPr>
        <w:pStyle w:val="NormalHanging12a"/>
      </w:pPr>
      <w:r w:rsidRPr="009121CA">
        <w:t>–</w:t>
      </w:r>
      <w:r w:rsidRPr="009121CA">
        <w:tab/>
        <w:t xml:space="preserve">като взе предвид съобщението на Комисията от </w:t>
      </w:r>
      <w:r w:rsidRPr="009121CA">
        <w:rPr>
          <w:shd w:val="clear" w:color="auto" w:fill="FFFFFF"/>
        </w:rPr>
        <w:t>25 ноември 2021 г.</w:t>
      </w:r>
      <w:r w:rsidRPr="009121CA">
        <w:t xml:space="preserve">, озаглавено </w:t>
      </w:r>
      <w:r w:rsidRPr="009121CA">
        <w:lastRenderedPageBreak/>
        <w:t>„Защита на почтеността на изборите и насърчаване на демократичното участие“ (COM(2021)0730),</w:t>
      </w:r>
    </w:p>
    <w:p w:rsidR="002A7CC9" w:rsidRPr="009121CA" w:rsidRDefault="002A7CC9" w:rsidP="002A7CC9">
      <w:pPr>
        <w:pStyle w:val="NormalHanging12a"/>
      </w:pPr>
      <w:r w:rsidRPr="009121CA">
        <w:t>–</w:t>
      </w:r>
      <w:r w:rsidRPr="009121CA">
        <w:tab/>
        <w:t>като взе предвид доклада на Комисията от 15 декември 2020 г., озаглавен „Доклад за гражданството на ЕС за 2020 г. – Оправомощаване на гражданите и защита на техните права“ (COM(2020)0730),</w:t>
      </w:r>
    </w:p>
    <w:p w:rsidR="002A7CC9" w:rsidRPr="009121CA" w:rsidRDefault="002A7CC9" w:rsidP="002A7CC9">
      <w:pPr>
        <w:pStyle w:val="NormalHanging12a"/>
      </w:pPr>
      <w:r w:rsidRPr="009121CA">
        <w:t>–</w:t>
      </w:r>
      <w:r w:rsidRPr="009121CA">
        <w:tab/>
        <w:t>като взе предвид доклада на Комисията от 15 декември 2020 г. съгласно член 25 от ДФЕС относно напредъка към ефективно гражданство на ЕС за периода 2016 – 2020 г. (COM(2020)0731),</w:t>
      </w:r>
    </w:p>
    <w:p w:rsidR="002A7CC9" w:rsidRPr="009121CA" w:rsidRDefault="002A7CC9" w:rsidP="002A7CC9">
      <w:pPr>
        <w:pStyle w:val="NormalHanging12a"/>
      </w:pPr>
      <w:r w:rsidRPr="009121CA">
        <w:t>–</w:t>
      </w:r>
      <w:r w:rsidRPr="009121CA">
        <w:tab/>
        <w:t xml:space="preserve">като взе предвид своето становище от 14 февруари 2023 г. относно предложението за директива на Съвета за определяне на условията и реда </w:t>
      </w:r>
      <w:r w:rsidRPr="009121CA">
        <w:rPr>
          <w:rStyle w:val="Bold"/>
          <w:color w:val="000000"/>
        </w:rPr>
        <w:t>за</w:t>
      </w:r>
      <w:r w:rsidRPr="009121CA">
        <w:t xml:space="preserve"> упражняване на правото да гласуват и да се кандидатират на избори за Европейски парламент от граждани на Съюза, пребиваващи в държава членка, на която не са граждани</w:t>
      </w:r>
      <w:r w:rsidRPr="009121CA">
        <w:rPr>
          <w:rStyle w:val="FootnoteReference"/>
          <w:color w:val="000000"/>
        </w:rPr>
        <w:footnoteReference w:id="12"/>
      </w:r>
      <w:r w:rsidRPr="009121CA">
        <w:t>,</w:t>
      </w:r>
    </w:p>
    <w:p w:rsidR="002A7CC9" w:rsidRPr="009121CA" w:rsidRDefault="002A7CC9" w:rsidP="002A7CC9">
      <w:pPr>
        <w:pStyle w:val="NormalHanging12a"/>
      </w:pPr>
      <w:r w:rsidRPr="009121CA">
        <w:t>–</w:t>
      </w:r>
      <w:r w:rsidRPr="009121CA">
        <w:tab/>
        <w:t>като взе предвид своето становище от 14 февруари 2023 г. относно предложението за директива на Съвета за определяне на условията и реда за упражняване на правото да избират и да бъдат избирани в местни избори от граждани на Съюза, пребиваващи в държава членка, на която не са граждани</w:t>
      </w:r>
      <w:r w:rsidRPr="009121CA">
        <w:rPr>
          <w:rStyle w:val="FootnoteReference"/>
          <w:color w:val="000000"/>
        </w:rPr>
        <w:footnoteReference w:id="13"/>
      </w:r>
      <w:r w:rsidRPr="009121CA">
        <w:t>,</w:t>
      </w:r>
    </w:p>
    <w:p w:rsidR="002A7CC9" w:rsidRPr="009121CA" w:rsidRDefault="002A7CC9" w:rsidP="002A7CC9">
      <w:pPr>
        <w:pStyle w:val="NormalHanging12a"/>
      </w:pPr>
      <w:r w:rsidRPr="009121CA">
        <w:t>–</w:t>
      </w:r>
      <w:r w:rsidRPr="009121CA">
        <w:tab/>
        <w:t>като взе предвид своята резолюция от 12 февруари 2019 г. относно прилагането на разпоредбите на Договора относно гражданството на ЕС</w:t>
      </w:r>
      <w:r w:rsidRPr="009121CA">
        <w:rPr>
          <w:rStyle w:val="FootnoteReference"/>
          <w:color w:val="000000"/>
        </w:rPr>
        <w:footnoteReference w:id="14"/>
      </w:r>
      <w:r w:rsidRPr="009121CA">
        <w:t>,</w:t>
      </w:r>
    </w:p>
    <w:p w:rsidR="002A7CC9" w:rsidRPr="009121CA" w:rsidRDefault="002A7CC9" w:rsidP="002A7CC9">
      <w:pPr>
        <w:pStyle w:val="NormalHanging12a"/>
      </w:pPr>
      <w:r w:rsidRPr="009121CA">
        <w:t>–</w:t>
      </w:r>
      <w:r w:rsidRPr="009121CA">
        <w:tab/>
        <w:t>като взе предвид своята резолюция от 9 март 2022 г. с предложения към Комисията относно схемите за предоставяне на гражданство и право на пребиваване срещу инвестиции</w:t>
      </w:r>
      <w:r w:rsidRPr="009121CA">
        <w:rPr>
          <w:rStyle w:val="FootnoteReference"/>
          <w:color w:val="000000"/>
        </w:rPr>
        <w:footnoteReference w:id="15"/>
      </w:r>
      <w:r w:rsidRPr="009121CA">
        <w:t>,</w:t>
      </w:r>
    </w:p>
    <w:p w:rsidR="002A7CC9" w:rsidRPr="009121CA" w:rsidRDefault="002A7CC9" w:rsidP="002A7CC9">
      <w:pPr>
        <w:pStyle w:val="NormalHanging12a"/>
      </w:pPr>
      <w:r w:rsidRPr="009121CA">
        <w:t>–</w:t>
      </w:r>
      <w:r w:rsidRPr="009121CA">
        <w:tab/>
        <w:t>като взе предвид своята резолюция от 10 март 2022 г. относно доклада за гражданството на ЕС за 2020 г.: оправомощаване на гражданите и защита на техните права</w:t>
      </w:r>
      <w:r w:rsidRPr="009121CA">
        <w:rPr>
          <w:rStyle w:val="FootnoteReference"/>
          <w:color w:val="000000"/>
        </w:rPr>
        <w:footnoteReference w:id="16"/>
      </w:r>
      <w:r w:rsidRPr="009121CA">
        <w:t>,</w:t>
      </w:r>
    </w:p>
    <w:p w:rsidR="002A7CC9" w:rsidRPr="009121CA" w:rsidRDefault="002A7CC9" w:rsidP="002A7CC9">
      <w:pPr>
        <w:pStyle w:val="NormalHanging12a"/>
      </w:pPr>
      <w:r w:rsidRPr="009121CA">
        <w:t>–</w:t>
      </w:r>
      <w:r w:rsidRPr="009121CA">
        <w:tab/>
        <w:t>като взе предвид своята резолюция от 13 юни 2023 г. относно прилагането на регламентите относно европейската гражданска инициатива</w:t>
      </w:r>
      <w:r w:rsidRPr="009121CA">
        <w:rPr>
          <w:rStyle w:val="FootnoteReference"/>
          <w:color w:val="000000"/>
        </w:rPr>
        <w:footnoteReference w:id="17"/>
      </w:r>
      <w:r w:rsidRPr="009121CA">
        <w:t>,</w:t>
      </w:r>
    </w:p>
    <w:p w:rsidR="002A7CC9" w:rsidRPr="009121CA" w:rsidRDefault="002A7CC9" w:rsidP="002A7CC9">
      <w:pPr>
        <w:pStyle w:val="NormalHanging12a"/>
      </w:pPr>
      <w:r w:rsidRPr="009121CA">
        <w:t>–</w:t>
      </w:r>
      <w:r w:rsidRPr="009121CA">
        <w:tab/>
        <w:t>като взе предвид своята резолюция от 14 септември 2023 г. относно парламентаризма, европейското гражданство и демокрацията</w:t>
      </w:r>
      <w:r w:rsidRPr="009121CA">
        <w:rPr>
          <w:rStyle w:val="FootnoteReference"/>
          <w:color w:val="000000"/>
        </w:rPr>
        <w:footnoteReference w:id="18"/>
      </w:r>
      <w:r w:rsidRPr="009121CA">
        <w:t>,</w:t>
      </w:r>
    </w:p>
    <w:p w:rsidR="002A7CC9" w:rsidRPr="009121CA" w:rsidRDefault="002A7CC9" w:rsidP="002A7CC9">
      <w:pPr>
        <w:pStyle w:val="NormalHanging12a"/>
      </w:pPr>
      <w:r w:rsidRPr="009121CA">
        <w:t>–</w:t>
      </w:r>
      <w:r w:rsidRPr="009121CA">
        <w:tab/>
        <w:t>като взе предвид своята резолюция от 7 юли 2021 г. относно гражданския диалог и гражданското участие в процеса на вземане на решения в ЕС</w:t>
      </w:r>
      <w:r w:rsidRPr="009121CA">
        <w:rPr>
          <w:rStyle w:val="FootnoteReference"/>
          <w:color w:val="000000"/>
        </w:rPr>
        <w:footnoteReference w:id="19"/>
      </w:r>
      <w:r w:rsidRPr="009121CA">
        <w:t>,</w:t>
      </w:r>
    </w:p>
    <w:p w:rsidR="002A7CC9" w:rsidRPr="009121CA" w:rsidRDefault="002A7CC9" w:rsidP="002A7CC9">
      <w:pPr>
        <w:pStyle w:val="NormalHanging12a"/>
      </w:pPr>
      <w:r w:rsidRPr="009121CA">
        <w:t>–</w:t>
      </w:r>
      <w:r w:rsidRPr="009121CA">
        <w:tab/>
        <w:t xml:space="preserve">като взе предвид своята резолюция от 9 март 2022 г. относно осъществяването на </w:t>
      </w:r>
      <w:r w:rsidRPr="009121CA">
        <w:lastRenderedPageBreak/>
        <w:t>диалог с гражданите: правото на петиция, правото на сезиране на Европейския омбудсман и Европейската гражданска инициатива</w:t>
      </w:r>
      <w:r w:rsidRPr="009121CA">
        <w:rPr>
          <w:rStyle w:val="FootnoteReference"/>
          <w:color w:val="000000"/>
        </w:rPr>
        <w:footnoteReference w:id="20"/>
      </w:r>
      <w:r w:rsidRPr="009121CA">
        <w:t>,</w:t>
      </w:r>
    </w:p>
    <w:p w:rsidR="002A7CC9" w:rsidRPr="009121CA" w:rsidRDefault="002A7CC9" w:rsidP="002A7CC9">
      <w:pPr>
        <w:pStyle w:val="NormalHanging12a"/>
        <w:rPr>
          <w:szCs w:val="23"/>
        </w:rPr>
      </w:pPr>
      <w:r w:rsidRPr="009121CA">
        <w:t>–</w:t>
      </w:r>
      <w:r w:rsidRPr="009121CA">
        <w:tab/>
        <w:t>като взе предвид своята резолюция от 15 март 2017 г. относно пречките пред гражданите на ЕС за свободно движение и работа в рамките на вътрешния пазар</w:t>
      </w:r>
      <w:r w:rsidRPr="009121CA">
        <w:rPr>
          <w:rStyle w:val="FootnoteReference"/>
          <w:color w:val="000000"/>
          <w:szCs w:val="23"/>
        </w:rPr>
        <w:footnoteReference w:id="21"/>
      </w:r>
      <w:r w:rsidRPr="009121CA">
        <w:t>,</w:t>
      </w:r>
    </w:p>
    <w:p w:rsidR="002A7CC9" w:rsidRPr="009121CA" w:rsidRDefault="002A7CC9" w:rsidP="002A7CC9">
      <w:pPr>
        <w:pStyle w:val="NormalHanging12a"/>
        <w:rPr>
          <w:szCs w:val="23"/>
        </w:rPr>
      </w:pPr>
      <w:r w:rsidRPr="009121CA">
        <w:t>–</w:t>
      </w:r>
      <w:r w:rsidRPr="009121CA">
        <w:tab/>
        <w:t>като взе предвид доклада на Агенцията на Европейския съюз за основните права относно основните права за 2023 г.,</w:t>
      </w:r>
    </w:p>
    <w:p w:rsidR="002A7CC9" w:rsidRPr="009121CA" w:rsidRDefault="002A7CC9" w:rsidP="002A7CC9">
      <w:pPr>
        <w:pStyle w:val="NormalHanging12a"/>
      </w:pPr>
      <w:r w:rsidRPr="009121CA">
        <w:t>–</w:t>
      </w:r>
      <w:r w:rsidRPr="009121CA">
        <w:tab/>
        <w:t>като взе предвид доклада за окончателните резултати от Конференцията за бъдещето на Европа,</w:t>
      </w:r>
    </w:p>
    <w:p w:rsidR="002A7CC9" w:rsidRDefault="002A7CC9" w:rsidP="002A7CC9">
      <w:pPr>
        <w:pStyle w:val="NormalHanging12a"/>
      </w:pPr>
      <w:r w:rsidRPr="009121CA">
        <w:t>–</w:t>
      </w:r>
      <w:r w:rsidRPr="009121CA">
        <w:tab/>
        <w:t>като взе предвид резултатите от експресното проучване на Евробарометър 485/2020 и стандартното проучване на Евробарометър 99/2023,</w:t>
      </w:r>
    </w:p>
    <w:p w:rsidR="006F20FD" w:rsidRPr="009121CA" w:rsidRDefault="006F20FD" w:rsidP="002A7CC9">
      <w:pPr>
        <w:pStyle w:val="NormalHanging12a"/>
      </w:pPr>
      <w:r w:rsidRPr="006F20FD">
        <w:t>–</w:t>
      </w:r>
      <w:r w:rsidRPr="006F20FD">
        <w:tab/>
        <w:t xml:space="preserve">като взе предвид доклада на Комисията съгласно член 25 от ДФЕС </w:t>
      </w:r>
      <w:r w:rsidR="000A62D8">
        <w:t xml:space="preserve">от 6 декември 2023 г. </w:t>
      </w:r>
      <w:bookmarkStart w:id="8" w:name="_GoBack"/>
      <w:bookmarkEnd w:id="8"/>
      <w:r w:rsidRPr="006F20FD">
        <w:t>относно напредъка към ефективно гражданство на ЕС за периода 2020 – 2023 г. (COM(2023)0931) (доклада за гражданството на ЕС за 2023 г.),</w:t>
      </w:r>
    </w:p>
    <w:p w:rsidR="002A7CC9" w:rsidRPr="009121CA" w:rsidRDefault="002A7CC9" w:rsidP="002A7CC9">
      <w:pPr>
        <w:pStyle w:val="NormalHanging12a"/>
      </w:pPr>
      <w:r w:rsidRPr="009121CA">
        <w:t>–</w:t>
      </w:r>
      <w:r w:rsidRPr="009121CA">
        <w:tab/>
        <w:t>като взе предвид член 54 от своя Правилник за дейността, както и член 1, параграф 1, буква д) от решението на Председателския съвет от 12 декември 2002 г. относно процедурата по разрешаване на изготвянето на доклади по собствена инициатива и приложение 3 към него,</w:t>
      </w:r>
    </w:p>
    <w:p w:rsidR="002A7CC9" w:rsidRPr="009121CA" w:rsidRDefault="002A7CC9" w:rsidP="002A7CC9">
      <w:pPr>
        <w:pStyle w:val="NormalHanging12a"/>
      </w:pPr>
      <w:r w:rsidRPr="009121CA">
        <w:t>–</w:t>
      </w:r>
      <w:r w:rsidRPr="009121CA">
        <w:tab/>
        <w:t>като взе предвид становището на комисията по граждански свободи, правосъдие и вътрешни работи,</w:t>
      </w:r>
    </w:p>
    <w:p w:rsidR="002A7CC9" w:rsidRPr="009121CA" w:rsidRDefault="002A7CC9" w:rsidP="002A7CC9">
      <w:pPr>
        <w:pStyle w:val="NormalHanging12a"/>
        <w:ind w:right="-286"/>
      </w:pPr>
      <w:r w:rsidRPr="009121CA">
        <w:t>–</w:t>
      </w:r>
      <w:r w:rsidRPr="009121CA">
        <w:tab/>
        <w:t>като взе предвид доклада на комисията по конституционни въпроси (A9-0436/2023),</w:t>
      </w:r>
    </w:p>
    <w:p w:rsidR="002A7CC9" w:rsidRPr="009121CA" w:rsidRDefault="002A7CC9" w:rsidP="002A7CC9">
      <w:pPr>
        <w:pStyle w:val="NormalHanging12a"/>
      </w:pPr>
      <w:r w:rsidRPr="009121CA">
        <w:t>А.</w:t>
      </w:r>
      <w:r w:rsidRPr="009121CA">
        <w:tab/>
        <w:t>като има предвид, че гражданството на ЕС беше създадено с влизането в сила на Договора от Маастрихт през 1993 г. и допълнително укрепено с Договора от Лисабон през 2009 г.; като има предвид, че оттогава изминаха тридесет години от създаването му и настъпиха големи социални, цифрови, икономически и политически промени;</w:t>
      </w:r>
    </w:p>
    <w:p w:rsidR="002A7CC9" w:rsidRPr="009121CA" w:rsidRDefault="002A7CC9" w:rsidP="002A7CC9">
      <w:pPr>
        <w:pStyle w:val="NormalHanging12a"/>
        <w:rPr>
          <w:b/>
          <w:i/>
        </w:rPr>
      </w:pPr>
      <w:r w:rsidRPr="009121CA">
        <w:t>Б.</w:t>
      </w:r>
      <w:r w:rsidRPr="009121CA">
        <w:rPr>
          <w:b/>
          <w:i/>
        </w:rPr>
        <w:tab/>
      </w:r>
      <w:r w:rsidRPr="009121CA">
        <w:t>като има предвид, че съгласно член 20, параграф 1 от ДФЕС гражданството на ЕС е допълващо към</w:t>
      </w:r>
      <w:r w:rsidRPr="009121CA">
        <w:rPr>
          <w:color w:val="333333"/>
          <w:sz w:val="27"/>
          <w:shd w:val="clear" w:color="auto" w:fill="FFFFFF"/>
        </w:rPr>
        <w:t xml:space="preserve"> </w:t>
      </w:r>
      <w:r w:rsidRPr="009121CA">
        <w:t>националното гражданство, а не го замества; като има предвид, че гражданството на ЕС все още не налага никакви задължения на гражданите на Съюза;</w:t>
      </w:r>
    </w:p>
    <w:p w:rsidR="002A7CC9" w:rsidRPr="009121CA" w:rsidRDefault="002A7CC9" w:rsidP="002A7CC9">
      <w:pPr>
        <w:pStyle w:val="NormalHanging12a"/>
        <w:rPr>
          <w:shd w:val="clear" w:color="auto" w:fill="FFFFFF"/>
        </w:rPr>
      </w:pPr>
      <w:r w:rsidRPr="009121CA">
        <w:t>В.</w:t>
      </w:r>
      <w:r w:rsidRPr="009121CA">
        <w:tab/>
      </w:r>
      <w:r w:rsidRPr="009121CA">
        <w:rPr>
          <w:shd w:val="clear" w:color="auto" w:fill="FFFFFF"/>
        </w:rPr>
        <w:t>като има предвид, че гражданството на ЕС е уникална конструкция, отразяваща общата демократична идентичност и споделените ценности на гражданите на ЕС, и е допринесло за изграждането на връзки, насърчаването на равенството и отхвърлянето на всички форми на расизъм и дискриминация; като има предвид, че гражданството на ЕС все още не е достигнало пълния си потенциал;</w:t>
      </w:r>
    </w:p>
    <w:p w:rsidR="002A7CC9" w:rsidRPr="009121CA" w:rsidRDefault="002A7CC9" w:rsidP="002A7CC9">
      <w:pPr>
        <w:pStyle w:val="NormalHanging12a"/>
      </w:pPr>
      <w:r w:rsidRPr="009121CA">
        <w:rPr>
          <w:shd w:val="clear" w:color="auto" w:fill="FFFFFF"/>
        </w:rPr>
        <w:t>Г.</w:t>
      </w:r>
      <w:r w:rsidRPr="009121CA">
        <w:rPr>
          <w:b/>
          <w:i/>
          <w:shd w:val="clear" w:color="auto" w:fill="FFFFFF"/>
        </w:rPr>
        <w:tab/>
      </w:r>
      <w:r w:rsidRPr="009121CA">
        <w:rPr>
          <w:shd w:val="clear" w:color="auto" w:fill="FFFFFF"/>
        </w:rPr>
        <w:t xml:space="preserve">като има предвид, че свободата на движение позволи на над 15 милиона граждани </w:t>
      </w:r>
      <w:r w:rsidRPr="009121CA">
        <w:rPr>
          <w:shd w:val="clear" w:color="auto" w:fill="FFFFFF"/>
        </w:rPr>
        <w:lastRenderedPageBreak/>
        <w:t>на ЕС</w:t>
      </w:r>
      <w:r w:rsidRPr="009121CA">
        <w:rPr>
          <w:rStyle w:val="FootnoteReference"/>
          <w:shd w:val="clear" w:color="auto" w:fill="FFFFFF"/>
        </w:rPr>
        <w:footnoteReference w:id="22"/>
      </w:r>
      <w:r w:rsidRPr="009121CA">
        <w:rPr>
          <w:shd w:val="clear" w:color="auto" w:fill="FFFFFF"/>
        </w:rPr>
        <w:t xml:space="preserve"> да живеят и работят в друга държава членка и всички граждани на ЕС да пътуват свободно в рамките на ЕС, което прави гражданството на ЕС по-важно от всякога;</w:t>
      </w:r>
    </w:p>
    <w:p w:rsidR="002A7CC9" w:rsidRPr="009121CA" w:rsidRDefault="002A7CC9" w:rsidP="002A7CC9">
      <w:pPr>
        <w:pStyle w:val="NormalHanging12a"/>
      </w:pPr>
      <w:r w:rsidRPr="009121CA">
        <w:t>Д.</w:t>
      </w:r>
      <w:r w:rsidRPr="009121CA">
        <w:tab/>
      </w:r>
      <w:r w:rsidRPr="009121CA">
        <w:rPr>
          <w:shd w:val="clear" w:color="auto" w:fill="FFFFFF"/>
        </w:rPr>
        <w:t>като има предвид, че твърде често гражданите на ЕС не са осведомени, не познават и не разбират в достатъчна степен правата, гражданските задължения и свободите, произтичащи от гражданството на ЕС; като има предвид, че все още съществуват значителни недостатъци в практическото прилагане на гражданството на ЕС и пълното упражняване на произтичащите от него права и свободи, някои от които се дължат на нееднаквото прилагане на законодателството на ЕС от страна на държавите членки;</w:t>
      </w:r>
    </w:p>
    <w:p w:rsidR="002A7CC9" w:rsidRPr="009121CA" w:rsidRDefault="002A7CC9" w:rsidP="002A7CC9">
      <w:pPr>
        <w:pStyle w:val="NormalHanging12a"/>
      </w:pPr>
      <w:r w:rsidRPr="009121CA">
        <w:t>Е.</w:t>
      </w:r>
      <w:r w:rsidRPr="009121CA">
        <w:tab/>
        <w:t>като има предвид, че резултатите от обществената консултация относно гражданството на ЕС от 2020 г. показаха, че над 60 % от участниците не считат, че са добре информирани за правата си, произтичащи от гражданството на ЕС</w:t>
      </w:r>
      <w:r w:rsidRPr="009121CA">
        <w:rPr>
          <w:rStyle w:val="FootnoteReference"/>
          <w:color w:val="000000"/>
          <w:szCs w:val="24"/>
        </w:rPr>
        <w:footnoteReference w:id="23"/>
      </w:r>
      <w:r w:rsidRPr="009121CA">
        <w:t>;</w:t>
      </w:r>
      <w:r w:rsidR="009760A8">
        <w:t xml:space="preserve"> </w:t>
      </w:r>
      <w:r w:rsidR="009760A8" w:rsidRPr="009760A8">
        <w:t>като има предвид, че експресното проучване „Евробарометър“ от 2023 г. относно гражданството и демокрацията показва, че половината от респондентите считат, че са добре информирани за правата си като граждани на ЕС;</w:t>
      </w:r>
    </w:p>
    <w:p w:rsidR="002A7CC9" w:rsidRPr="009121CA" w:rsidRDefault="002A7CC9" w:rsidP="002A7CC9">
      <w:pPr>
        <w:pStyle w:val="NormalHanging12a"/>
      </w:pPr>
      <w:r w:rsidRPr="009121CA">
        <w:t>Ж.</w:t>
      </w:r>
      <w:r w:rsidRPr="009121CA">
        <w:tab/>
        <w:t>като има предвид, че гражданите на ЕС са изправени пред безпрецедентни предизвикателства в резултат на пандемията от COVID-19, в допълнение към цифровата революция и свързаните с нея социални и икономически трансформации;</w:t>
      </w:r>
    </w:p>
    <w:p w:rsidR="002A7CC9" w:rsidRPr="009121CA" w:rsidRDefault="002A7CC9" w:rsidP="002A7CC9">
      <w:pPr>
        <w:pStyle w:val="NormalHanging12a"/>
        <w:shd w:val="clear" w:color="auto" w:fill="FFFFFF" w:themeFill="background1"/>
      </w:pPr>
      <w:r w:rsidRPr="009121CA">
        <w:t>З.</w:t>
      </w:r>
      <w:r w:rsidRPr="009121CA">
        <w:tab/>
        <w:t>като има предвид, че събирането и консолидирането на съществуващите права и на бъдещите права биха улеснили по-доброто и по-информирано упражняване на правата и свободите, произтичащи от гражданството на ЕС;</w:t>
      </w:r>
    </w:p>
    <w:p w:rsidR="002A7CC9" w:rsidRPr="009121CA" w:rsidRDefault="002A7CC9" w:rsidP="002A7CC9">
      <w:pPr>
        <w:pStyle w:val="NormalHanging12a"/>
        <w:shd w:val="clear" w:color="auto" w:fill="FFFFFF" w:themeFill="background1"/>
      </w:pPr>
      <w:r w:rsidRPr="009121CA">
        <w:t>И.</w:t>
      </w:r>
      <w:r w:rsidRPr="009121CA">
        <w:tab/>
        <w:t>като има предвид, че Конференцията за бъдещето на Европа представлява конкретен пример за участието на гражданите в демократичния живот на Съюза; като има предвид, че заключенията от нея съдържат предложения и мерки, които отразяват споразумението между европейските институции и гражданите на ЕС за укрепване на гражданството на ЕС;</w:t>
      </w:r>
    </w:p>
    <w:p w:rsidR="002A7CC9" w:rsidRPr="009121CA" w:rsidRDefault="002A7CC9" w:rsidP="002A7CC9">
      <w:pPr>
        <w:pStyle w:val="NormalHanging12a"/>
        <w:shd w:val="clear" w:color="auto" w:fill="FFFFFF" w:themeFill="background1"/>
      </w:pPr>
      <w:r w:rsidRPr="009121CA">
        <w:t>Й.</w:t>
      </w:r>
      <w:r w:rsidRPr="009121CA">
        <w:tab/>
        <w:t>като има предвид, че съществуващите пречки пред упражняването на правата, произтичащи от гражданството на ЕС, създават ситуации на неравенство и дискриминация между гражданите на ЕС, по-специално мобилните граждани на ЕС и членовете на техните семейства, особено децата, лицата, живеещи в трансграничните региони и селските райони на ЕС, и членовете на уязвими и маргинализирани групи, например малцинства, лица с ниски доходи, бездомни хора, възрастни хора, хора с увреждания, както и хора, изложени на риск от цифрово изключване;</w:t>
      </w:r>
    </w:p>
    <w:p w:rsidR="002A7CC9" w:rsidRPr="009121CA" w:rsidRDefault="002A7CC9" w:rsidP="002A7CC9">
      <w:pPr>
        <w:pStyle w:val="NormalHanging12a"/>
        <w:rPr>
          <w:rStyle w:val="y2iqfc"/>
          <w:color w:val="000000"/>
          <w:shd w:val="clear" w:color="auto" w:fill="FFFFFF"/>
        </w:rPr>
      </w:pPr>
      <w:r w:rsidRPr="009121CA">
        <w:t>К.</w:t>
      </w:r>
      <w:r w:rsidRPr="009121CA">
        <w:tab/>
        <w:t xml:space="preserve">като има предвид, че почти 87 милиона граждани на ЕС живеят с някаква форма </w:t>
      </w:r>
      <w:r w:rsidRPr="009121CA">
        <w:lastRenderedPageBreak/>
        <w:t>на увреждане</w:t>
      </w:r>
      <w:r w:rsidRPr="009121CA">
        <w:rPr>
          <w:rStyle w:val="FootnoteReference"/>
          <w:color w:val="000000"/>
          <w:shd w:val="clear" w:color="auto" w:fill="FFFFFF"/>
        </w:rPr>
        <w:footnoteReference w:id="24"/>
      </w:r>
      <w:r w:rsidRPr="009121CA">
        <w:t xml:space="preserve"> и изпитват затруднения при упражняването на своите права, произтичащи от гражданството, като тези трудности понякога водят до пряк отказ от правото им на свободно движение и пребиваване и до ограничения на упражняването на техните политически права;</w:t>
      </w:r>
    </w:p>
    <w:p w:rsidR="002A7CC9" w:rsidRPr="009121CA" w:rsidRDefault="002A7CC9" w:rsidP="002A7CC9">
      <w:pPr>
        <w:pStyle w:val="NormalHanging12a"/>
      </w:pPr>
      <w:r w:rsidRPr="009121CA">
        <w:rPr>
          <w:rStyle w:val="y2iqfc"/>
          <w:color w:val="000000"/>
          <w:shd w:val="clear" w:color="auto" w:fill="FFFFFF"/>
        </w:rPr>
        <w:t>Л.</w:t>
      </w:r>
      <w:r w:rsidRPr="009121CA">
        <w:rPr>
          <w:rStyle w:val="y2iqfc"/>
          <w:color w:val="000000"/>
          <w:shd w:val="clear" w:color="auto" w:fill="FFFFFF"/>
        </w:rPr>
        <w:tab/>
      </w:r>
      <w:r w:rsidRPr="009121CA">
        <w:t>като има предвид, че някои държави членки все още предлагат така наречените програми за „златна виза“ и схеми за инвестиции като средство за получаване на тяхно гражданство и следователно на гражданство на ЕС;</w:t>
      </w:r>
    </w:p>
    <w:p w:rsidR="002A7CC9" w:rsidRPr="009121CA" w:rsidRDefault="002A7CC9" w:rsidP="002A7CC9">
      <w:pPr>
        <w:pStyle w:val="NormalHanging12a"/>
        <w:rPr>
          <w:b/>
          <w:i/>
        </w:rPr>
      </w:pPr>
      <w:r w:rsidRPr="009121CA">
        <w:rPr>
          <w:b/>
          <w:i/>
        </w:rPr>
        <w:t>Увод</w:t>
      </w:r>
    </w:p>
    <w:p w:rsidR="002A7CC9" w:rsidRPr="009121CA" w:rsidRDefault="002A7CC9" w:rsidP="002A7CC9">
      <w:pPr>
        <w:pStyle w:val="NormalHanging12a"/>
      </w:pPr>
      <w:r w:rsidRPr="009121CA">
        <w:t>1.</w:t>
      </w:r>
      <w:r w:rsidRPr="009121CA">
        <w:tab/>
        <w:t>счита, че гражданството на ЕС включва споделената и обща европейска демократична идентичност и свързаните с нея специфични права, граждански задължения и свободи, и че упражняването на тези права, както онлайн, така и офлайн, укрепва връзката на гражданите с ЕС и с неговата демократична легитимност и им предоставя допълнителни права;</w:t>
      </w:r>
    </w:p>
    <w:p w:rsidR="002A7CC9" w:rsidRPr="009121CA" w:rsidRDefault="002A7CC9" w:rsidP="002A7CC9">
      <w:pPr>
        <w:pStyle w:val="NormalHanging12a"/>
      </w:pPr>
      <w:r w:rsidRPr="009121CA">
        <w:t>2.</w:t>
      </w:r>
      <w:r w:rsidRPr="009121CA">
        <w:tab/>
        <w:t>посочва, че изграждането на гражданство на ЕС трябва да напредва, за да се отговори на нуждите и предизвикателствата пред ЕС в 21-ви век, като се признава потенциалът на цифровите иновации и необходимостта от балансиран подход за преодоляване на сложността, предизвикана от глобализацията и новите технологии; подчертава, че има риск цифровизацията на демократичните процеси, съчетана с недостатъчна цифрова грамотност и достъп до информационни и комуникационни технологии, да допринесе за нарастващо цифрово разделение при упражняването на гражданските права, като част от обществеността ще остане отчуждена от европейския проект;</w:t>
      </w:r>
    </w:p>
    <w:p w:rsidR="002A7CC9" w:rsidRPr="009121CA" w:rsidRDefault="002A7CC9" w:rsidP="002A7CC9">
      <w:pPr>
        <w:pStyle w:val="NormalHanging12a"/>
        <w:rPr>
          <w:rStyle w:val="doceo-font-family-base"/>
          <w:rFonts w:eastAsiaTheme="minorHAnsi"/>
          <w:b/>
          <w:i/>
        </w:rPr>
      </w:pPr>
      <w:r w:rsidRPr="009121CA">
        <w:rPr>
          <w:rStyle w:val="doceo-font-family-base"/>
        </w:rPr>
        <w:t>3.</w:t>
      </w:r>
      <w:r w:rsidRPr="009121CA">
        <w:rPr>
          <w:rStyle w:val="doceo-font-family-base"/>
        </w:rPr>
        <w:tab/>
        <w:t>счита, че многоезичието в рамките на институциите на ЕС и във връзка с взаимодействието им с гражданите е важен аспект, укрепващ понятието за гражданство на ЕС; подчертава във връзка с това, че в заключенията на Съвета от 13 юни 2005 г. се планира, че неофициалните езици на ЕС, признати в държава членка или на част от нейната територия, биха могли да се използват от гражданите на ЕС при взаимодействието им с институциите на ЕС, както и да се използват официално в институциите или органите на ЕС, включително Европейския парламент;</w:t>
      </w:r>
      <w:r w:rsidRPr="009121CA">
        <w:rPr>
          <w:rStyle w:val="doceo-font-family-base"/>
          <w:b/>
          <w:i/>
        </w:rPr>
        <w:t xml:space="preserve"> </w:t>
      </w:r>
    </w:p>
    <w:p w:rsidR="002A7CC9" w:rsidRPr="009121CA" w:rsidRDefault="002A7CC9" w:rsidP="002A7CC9">
      <w:pPr>
        <w:pStyle w:val="NormalHanging12a"/>
        <w:rPr>
          <w:rStyle w:val="doceo-font-family-base"/>
        </w:rPr>
      </w:pPr>
      <w:r w:rsidRPr="009121CA">
        <w:rPr>
          <w:rStyle w:val="doceo-font-family-base"/>
        </w:rPr>
        <w:t>4.</w:t>
      </w:r>
      <w:r w:rsidRPr="009121CA">
        <w:rPr>
          <w:rStyle w:val="doceo-font-family-base"/>
        </w:rPr>
        <w:tab/>
        <w:t>посочва, че Парламентът призова за създаването на статут на гражданството на ЕС в</w:t>
      </w:r>
      <w:r w:rsidRPr="009121CA">
        <w:t xml:space="preserve"> своята резолюция от 12 февруари 2019 г. относно прилагането на разпоредбите на Договора, свързани с гражданството на ЕС, </w:t>
      </w:r>
      <w:r w:rsidRPr="009121CA">
        <w:rPr>
          <w:rStyle w:val="doceo-font-family-base"/>
        </w:rPr>
        <w:t>и в своята</w:t>
      </w:r>
      <w:r w:rsidRPr="009121CA">
        <w:t xml:space="preserve"> резолюция от 10 март 2022 г. относно Доклада за гражданството на ЕС за 2020 г.: оправомощаване на гражданите и защита на техните права;</w:t>
      </w:r>
      <w:r w:rsidRPr="009121CA">
        <w:rPr>
          <w:rStyle w:val="doceo-font-family-base"/>
        </w:rPr>
        <w:t xml:space="preserve"> припомня, че Конференцията за бъдещето на Европа</w:t>
      </w:r>
      <w:r w:rsidRPr="009121CA">
        <w:t xml:space="preserve"> подчерта значението на укрепването на гражданството на ЕС, </w:t>
      </w:r>
      <w:r w:rsidRPr="009121CA">
        <w:rPr>
          <w:rStyle w:val="doceo-font-family-base"/>
        </w:rPr>
        <w:t>като посочи в заключенията си, че такъв статут би бил полезен инструмент, за да станат принципите и ценностите на ЕС в по-осезаеми;</w:t>
      </w:r>
    </w:p>
    <w:p w:rsidR="002A7CC9" w:rsidRPr="009121CA" w:rsidRDefault="002A7CC9" w:rsidP="002A7CC9">
      <w:pPr>
        <w:pStyle w:val="NormalHanging12a"/>
      </w:pPr>
      <w:r w:rsidRPr="009121CA">
        <w:t>5.</w:t>
      </w:r>
      <w:r w:rsidRPr="009121CA">
        <w:tab/>
        <w:t xml:space="preserve">изразява съжаление във връзка с факта, че Комисията не споменава изрично </w:t>
      </w:r>
      <w:r w:rsidRPr="009121CA">
        <w:lastRenderedPageBreak/>
        <w:t>укрепването на гражданството на ЕС и потенциалните начини за това да бъде постигнато в своето съобщение относно Конференцията за бъдещето на Европа</w:t>
      </w:r>
      <w:r w:rsidRPr="009121CA">
        <w:rPr>
          <w:rStyle w:val="FootnoteReference"/>
          <w:bCs/>
        </w:rPr>
        <w:footnoteReference w:id="25"/>
      </w:r>
      <w:r w:rsidRPr="009121CA">
        <w:t>; припомня, че Съветът показа готовност за укрепване на гражданството в техническата оценка, която публикува във връзка с Конференцията за бъдещето на Европа, но все още не е предложил, предприел, нито осъществил мерки за постигането на тази цел;</w:t>
      </w:r>
    </w:p>
    <w:p w:rsidR="002A7CC9" w:rsidRPr="009121CA" w:rsidRDefault="002A7CC9" w:rsidP="002A7CC9">
      <w:pPr>
        <w:pStyle w:val="NormalHanging12a"/>
      </w:pPr>
      <w:r w:rsidRPr="009121CA">
        <w:t>6.</w:t>
      </w:r>
      <w:r w:rsidRPr="009121CA">
        <w:tab/>
        <w:t>припомня, че Комисията ще публикува своя Доклад за гражданството на ЕС за 2023 г. преди края на годината и очаква от нея да предложи нови инициативи за укрепване на гражданството на ЕС и справяне с недостатъците при неговото прилагане; изразява съжаление, че този път Комисията реши да публикува покана за представяне на мнения, а не обществена консултация, както е направила през предходните години; припомня, че резултатите от поканата за представяне на мнения не съдържат цялостен преглед на последните събития и пропуски в изпълнението; подчертава, че докладът следва да бъде изготвен въз основа на осъвременени данни;</w:t>
      </w:r>
    </w:p>
    <w:p w:rsidR="002A7CC9" w:rsidRPr="009121CA" w:rsidRDefault="002A7CC9" w:rsidP="002A7CC9">
      <w:pPr>
        <w:pStyle w:val="NormalHanging12a"/>
        <w:rPr>
          <w:b/>
          <w:i/>
        </w:rPr>
      </w:pPr>
      <w:r w:rsidRPr="009121CA">
        <w:rPr>
          <w:b/>
          <w:i/>
        </w:rPr>
        <w:t>Проблеми, свързани с гражданството на ЕС</w:t>
      </w:r>
    </w:p>
    <w:p w:rsidR="002A7CC9" w:rsidRPr="009121CA" w:rsidRDefault="002A7CC9" w:rsidP="002A7CC9">
      <w:pPr>
        <w:pStyle w:val="NormalHanging12a"/>
        <w:rPr>
          <w:bCs/>
        </w:rPr>
      </w:pPr>
      <w:r w:rsidRPr="009121CA">
        <w:t>7.</w:t>
      </w:r>
      <w:r w:rsidRPr="009121CA">
        <w:tab/>
        <w:t>изразява загриженост относно специфичните трудности, които възпрепятстват пълноценното упражняване на правата и свободите, произтичащи от гражданството на ЕС;</w:t>
      </w:r>
    </w:p>
    <w:p w:rsidR="002A7CC9" w:rsidRPr="009121CA" w:rsidRDefault="002A7CC9" w:rsidP="002A7CC9">
      <w:pPr>
        <w:pStyle w:val="NormalHanging12a"/>
        <w:rPr>
          <w:b/>
          <w:i/>
        </w:rPr>
      </w:pPr>
      <w:r w:rsidRPr="009121CA">
        <w:rPr>
          <w:b/>
          <w:i/>
        </w:rPr>
        <w:t>Политически права</w:t>
      </w:r>
    </w:p>
    <w:p w:rsidR="002A7CC9" w:rsidRPr="009121CA" w:rsidRDefault="002A7CC9" w:rsidP="002A7CC9">
      <w:pPr>
        <w:pStyle w:val="NormalHanging12a"/>
        <w:rPr>
          <w:rStyle w:val="y2iqfc"/>
        </w:rPr>
      </w:pPr>
      <w:r w:rsidRPr="009121CA">
        <w:rPr>
          <w:rStyle w:val="y2iqfc"/>
        </w:rPr>
        <w:t>8.</w:t>
      </w:r>
      <w:r w:rsidRPr="009121CA">
        <w:rPr>
          <w:rStyle w:val="y2iqfc"/>
        </w:rPr>
        <w:tab/>
        <w:t>изразява съжаление относно факта, че е по-малко вероятно мобилните граждани да упражняват правото си да гласуват и да се кандидатират на избори за Европейски парламент и общински избори в държавите членки, в които пребивават, като сред причините за това са недостатъчната информация, езиковите бариери, трудностите при регистрирането за гласуване и ниският процент на успеваемост на кандидатите, които не са граждани на съответната държава членка;</w:t>
      </w:r>
    </w:p>
    <w:p w:rsidR="002A7CC9" w:rsidRPr="009121CA" w:rsidRDefault="002A7CC9" w:rsidP="002A7CC9">
      <w:pPr>
        <w:pStyle w:val="NormalHanging12a"/>
      </w:pPr>
      <w:r w:rsidRPr="009121CA">
        <w:t>9.</w:t>
      </w:r>
      <w:r w:rsidRPr="009121CA">
        <w:tab/>
        <w:t>изразява силна загриженост във връзка с практиката на някои държави членки да лишават своите граждани от правото да гласуват на национални парламентарни избори, когато живеят в чужбина постоянно или временно, което води до изключването им от политическия живот както в държавата им на произход, така и в държавата им на пребиваване;</w:t>
      </w:r>
      <w:r w:rsidRPr="009121CA">
        <w:rPr>
          <w:b/>
          <w:i/>
        </w:rPr>
        <w:t xml:space="preserve"> </w:t>
      </w:r>
    </w:p>
    <w:p w:rsidR="002A7CC9" w:rsidRPr="009121CA" w:rsidRDefault="002A7CC9" w:rsidP="002A7CC9">
      <w:pPr>
        <w:pStyle w:val="NormalHanging12a"/>
        <w:rPr>
          <w:b/>
          <w:i/>
        </w:rPr>
      </w:pPr>
      <w:r w:rsidRPr="009121CA">
        <w:rPr>
          <w:b/>
          <w:i/>
        </w:rPr>
        <w:t>Свобода на движението и пребиваването</w:t>
      </w:r>
    </w:p>
    <w:p w:rsidR="002A7CC9" w:rsidRPr="009121CA" w:rsidRDefault="002A7CC9" w:rsidP="002A7CC9">
      <w:pPr>
        <w:pStyle w:val="NormalHanging12a"/>
      </w:pPr>
      <w:r w:rsidRPr="009121CA">
        <w:t>10.</w:t>
      </w:r>
      <w:r w:rsidRPr="009121CA">
        <w:rPr>
          <w:b/>
          <w:i/>
        </w:rPr>
        <w:tab/>
      </w:r>
      <w:r w:rsidRPr="009121CA">
        <w:t>подчертава, че Шенгенското пространство е едно от най-големите постижения на ЕС; подчертава, че всички пречки пред свободата на движение в рамките на ЕС следва да бъдат премахнати, за да се постигнат равни права, произтичащи от гражданството на ЕС, за всички европейски граждани; призовава за присъединяването на Румъния и България към Шенгенското пространство в съответствие с резолюциите на Парламента;</w:t>
      </w:r>
    </w:p>
    <w:p w:rsidR="002A7CC9" w:rsidRPr="009121CA" w:rsidRDefault="002A7CC9" w:rsidP="002A7CC9">
      <w:pPr>
        <w:pStyle w:val="NormalHanging12a"/>
        <w:rPr>
          <w:b/>
          <w:i/>
        </w:rPr>
      </w:pPr>
      <w:r w:rsidRPr="009121CA">
        <w:lastRenderedPageBreak/>
        <w:t>11.</w:t>
      </w:r>
      <w:r w:rsidRPr="009121CA">
        <w:tab/>
      </w:r>
      <w:r w:rsidRPr="009121CA">
        <w:rPr>
          <w:rStyle w:val="y2iqfc"/>
        </w:rPr>
        <w:t>изразява загриженост във връзка с факта, че мобилните граждани на ЕС,</w:t>
      </w:r>
      <w:r w:rsidRPr="009121CA">
        <w:t xml:space="preserve"> особено тези от уязвими групи, </w:t>
      </w:r>
      <w:r w:rsidRPr="009121CA">
        <w:rPr>
          <w:rStyle w:val="y2iqfc"/>
        </w:rPr>
        <w:t>се третират по различен начин от гражданите на съответната държава членка на пребиваване по отношение на достъпа до обезщетения; призовава държавите членки да прилагат</w:t>
      </w:r>
      <w:r w:rsidRPr="009121CA">
        <w:t xml:space="preserve"> правилно съдебната практика на Съда на ЕС, която забранява подобна дискриминация;</w:t>
      </w:r>
      <w:r w:rsidRPr="009121CA">
        <w:rPr>
          <w:b/>
          <w:i/>
        </w:rPr>
        <w:t xml:space="preserve"> </w:t>
      </w:r>
    </w:p>
    <w:p w:rsidR="002A7CC9" w:rsidRPr="009121CA" w:rsidRDefault="002A7CC9" w:rsidP="002A7CC9">
      <w:pPr>
        <w:pStyle w:val="NormalHanging12a"/>
      </w:pPr>
      <w:r w:rsidRPr="009121CA">
        <w:t>12.</w:t>
      </w:r>
      <w:r w:rsidRPr="009121CA">
        <w:rPr>
          <w:b/>
          <w:i/>
        </w:rPr>
        <w:tab/>
      </w:r>
      <w:r w:rsidRPr="009121CA">
        <w:t>изразява загриженост във връзка с трудностите и предизвикателствата, пред които са изправени гражданите, живеещи в трансгранични региони на ЕС, особено в случай на затваряне на границите поради криза в целия ЕС или криза на регионално равнище; призовава в такива случаи държавите членки да поддържат трансгранично сътрудничество и когато е целесъобразно, тясно взаимодействие със съответните местни и регионални органи;</w:t>
      </w:r>
    </w:p>
    <w:p w:rsidR="002A7CC9" w:rsidRPr="009121CA" w:rsidRDefault="002A7CC9" w:rsidP="002A7CC9">
      <w:pPr>
        <w:pStyle w:val="NormalHanging12a"/>
        <w:rPr>
          <w:b/>
          <w:i/>
        </w:rPr>
      </w:pPr>
      <w:r w:rsidRPr="009121CA">
        <w:rPr>
          <w:b/>
          <w:i/>
        </w:rPr>
        <w:t>Консулска закрила</w:t>
      </w:r>
    </w:p>
    <w:p w:rsidR="002A7CC9" w:rsidRPr="009121CA" w:rsidRDefault="002A7CC9" w:rsidP="002A7CC9">
      <w:pPr>
        <w:pStyle w:val="NormalHanging12a"/>
      </w:pPr>
      <w:r w:rsidRPr="009121CA">
        <w:t>13.</w:t>
      </w:r>
      <w:r w:rsidRPr="009121CA">
        <w:tab/>
        <w:t>изразява загриженост относно наличието на недостатъци в прилагането на Директивата за консулската закрила и на слабости във функционирането на консулските мрежи на държавите членки, като отбелязва, че те са се увеличили след излизането на Обединеното кралство от ЕС; във връзка с това изразява съжаление относно факта, че гражданите на ЕС имат ограничен достъп до консулска закрила и помощ в някои държави извън ЕС;</w:t>
      </w:r>
    </w:p>
    <w:p w:rsidR="002A7CC9" w:rsidRPr="009121CA" w:rsidRDefault="002A7CC9" w:rsidP="002A7CC9">
      <w:pPr>
        <w:pStyle w:val="NormalHanging12a"/>
      </w:pPr>
      <w:r w:rsidRPr="009121CA">
        <w:t>14.</w:t>
      </w:r>
      <w:r w:rsidRPr="009121CA">
        <w:tab/>
        <w:t>посочва, че има случаи, в които две лица, които са граждани на две различни държави членки, не са били в състояние да изпълнят определени формалности, например сключване на брак, в консулското представителство на една от държавите членки, дори ако другата държава членка няма достъпно консулско представителство в тази държава;</w:t>
      </w:r>
    </w:p>
    <w:p w:rsidR="002A7CC9" w:rsidRPr="009121CA" w:rsidRDefault="002A7CC9" w:rsidP="002A7CC9">
      <w:pPr>
        <w:pStyle w:val="NormalHanging12a"/>
        <w:rPr>
          <w:b/>
          <w:i/>
        </w:rPr>
      </w:pPr>
      <w:r w:rsidRPr="009121CA">
        <w:rPr>
          <w:b/>
          <w:i/>
        </w:rPr>
        <w:t>Дискриминация</w:t>
      </w:r>
    </w:p>
    <w:p w:rsidR="002A7CC9" w:rsidRPr="009121CA" w:rsidRDefault="002A7CC9" w:rsidP="002A7CC9">
      <w:pPr>
        <w:pStyle w:val="NormalHanging12a"/>
      </w:pPr>
      <w:r w:rsidRPr="009121CA">
        <w:t>15.</w:t>
      </w:r>
      <w:r w:rsidRPr="009121CA">
        <w:tab/>
        <w:t>счита, че липсата на единство в правилата на държавите членки относно придобиването и загубата на национално гражданство е довела до различия по отношение на придобиването и загубата на гражданство на ЕС и че тези различия в някои случаи са довели до нарушаване на принципите и ценностите на ЕС;</w:t>
      </w:r>
    </w:p>
    <w:p w:rsidR="002A7CC9" w:rsidRPr="009121CA" w:rsidRDefault="002A7CC9" w:rsidP="002A7CC9">
      <w:pPr>
        <w:pStyle w:val="NormalHanging12a"/>
      </w:pPr>
      <w:r w:rsidRPr="009121CA">
        <w:t>16.</w:t>
      </w:r>
      <w:r w:rsidRPr="009121CA">
        <w:tab/>
        <w:t xml:space="preserve">подчертава, че все още има няколко случая, при които е отказано придобиването на производно право на пребиваване за граждани на държави извън ЕС, чиито ненавършили пълнолетие лица на издръжка са граждани на ЕС, въпреки развитието на съдебната практика на Съда на ЕС; </w:t>
      </w:r>
    </w:p>
    <w:p w:rsidR="002A7CC9" w:rsidRPr="009121CA" w:rsidRDefault="002A7CC9" w:rsidP="002A7CC9">
      <w:pPr>
        <w:pStyle w:val="NormalHanging12a"/>
      </w:pPr>
      <w:r w:rsidRPr="009121CA">
        <w:t>17.</w:t>
      </w:r>
      <w:r w:rsidRPr="009121CA">
        <w:rPr>
          <w:b/>
        </w:rPr>
        <w:tab/>
      </w:r>
      <w:r w:rsidRPr="009121CA">
        <w:t xml:space="preserve">отново изразява загриженост относно дискриминацията, на която са подложени еднополовите двойки и техните деца при упражняването на основното право на свободно движение в рамките на ЕС; </w:t>
      </w:r>
    </w:p>
    <w:p w:rsidR="002A7CC9" w:rsidRPr="009121CA" w:rsidRDefault="002A7CC9" w:rsidP="002A7CC9">
      <w:pPr>
        <w:pStyle w:val="NormalHanging12a"/>
        <w:rPr>
          <w:b/>
          <w:i/>
        </w:rPr>
      </w:pPr>
      <w:r w:rsidRPr="009121CA">
        <w:rPr>
          <w:b/>
          <w:i/>
        </w:rPr>
        <w:t>Препоръки</w:t>
      </w:r>
    </w:p>
    <w:p w:rsidR="002A7CC9" w:rsidRPr="009121CA" w:rsidRDefault="002A7CC9" w:rsidP="002A7CC9">
      <w:pPr>
        <w:pStyle w:val="NormalHanging12a"/>
      </w:pPr>
      <w:r w:rsidRPr="009121CA">
        <w:t>18.</w:t>
      </w:r>
      <w:r w:rsidRPr="009121CA">
        <w:tab/>
        <w:t xml:space="preserve">призовава държавите членки и регионалните и местните органи да приложат изцяло съществуващите директиви относно правата на мобилните граждани и своевременно да преодолеят съществуващите различни недостатъци в контекста на предстоящите европейски избори; призовава за създаването на целенасочени кампании на осведомяване в държавата по пребиваване с цел информиране на мобилните граждани на ЕС относно правото им да гласуват и да се кандидатират </w:t>
      </w:r>
      <w:r w:rsidRPr="009121CA">
        <w:lastRenderedPageBreak/>
        <w:t>на европейски и общински избори в съответната държава; отново призовава за разширяване на правата на мобилните граждани на национални и регионални избори;</w:t>
      </w:r>
    </w:p>
    <w:p w:rsidR="002A7CC9" w:rsidRPr="009121CA" w:rsidRDefault="002A7CC9" w:rsidP="002A7CC9">
      <w:pPr>
        <w:pStyle w:val="NormalHanging12a"/>
      </w:pPr>
      <w:r w:rsidRPr="009121CA">
        <w:t>19.</w:t>
      </w:r>
      <w:r w:rsidRPr="009121CA">
        <w:tab/>
        <w:t>призовава държавите членки да гарантират правото на своите експатрирани граждани да гласуват в държавата си на произход, когато са признати, като създадат регулаторни условия, които дават възможност за гласуване и като премахнат всички бюрократични пречки, затрудняващи и понякога възпрепятстващи упражняването на това право; призовава държавите членки по-специално да гарантират тези права и да премахнат, когато е приложимо, всякакъв вид различно третиране на своите граждани, живеещи в чужбина, когато става въпрос за дистанционно гласуване, особено гласуване по пощата; призовава за еднакво прилагане на правото да гласуват на европейски избори за граждани на ЕС, които пребивават извън ЕС;</w:t>
      </w:r>
    </w:p>
    <w:p w:rsidR="002A7CC9" w:rsidRPr="009121CA" w:rsidRDefault="002A7CC9" w:rsidP="002A7CC9">
      <w:pPr>
        <w:pStyle w:val="NormalHanging12a"/>
      </w:pPr>
      <w:r w:rsidRPr="009121CA">
        <w:t>20.</w:t>
      </w:r>
      <w:r w:rsidRPr="009121CA">
        <w:tab/>
      </w:r>
      <w:r w:rsidRPr="009121CA">
        <w:rPr>
          <w:rStyle w:val="doceo-font-family-base"/>
          <w:color w:val="000000"/>
        </w:rPr>
        <w:t>призовава Комисията да приеме</w:t>
      </w:r>
      <w:r w:rsidRPr="009121CA">
        <w:t xml:space="preserve"> ново съобщение с цел изясняване на някои ключови понятия, съдържащи се в Директива 2004/38/ЕО относно правото на граждани на Съюза и на членове на техните семейства да се движат и да пребивават свободно на територията на държавите членки, за да предостави на държавите членки актуални насоки, които биха могли да допринесат за подобряване на прилагането на директивата на национално равнище, като по този начин се облагодетелстват гражданите на ЕС и членовете на техните семейства;</w:t>
      </w:r>
    </w:p>
    <w:p w:rsidR="002A7CC9" w:rsidRPr="009121CA" w:rsidRDefault="002A7CC9" w:rsidP="002A7CC9">
      <w:pPr>
        <w:pStyle w:val="NormalHanging12a"/>
      </w:pPr>
      <w:r w:rsidRPr="009121CA">
        <w:t>21.</w:t>
      </w:r>
      <w:r w:rsidRPr="009121CA">
        <w:tab/>
        <w:t>призовава ЕС да насърчава приемането на обвързваща Европейска харта за цифровите права, включително цифровите права, произтичащи от гражданството, въз основа на Европейската декларация за цифровите права и принципите за цифровото десетилетие;</w:t>
      </w:r>
    </w:p>
    <w:p w:rsidR="002A7CC9" w:rsidRPr="009121CA" w:rsidRDefault="002A7CC9" w:rsidP="002A7CC9">
      <w:pPr>
        <w:pStyle w:val="NormalHanging12a"/>
      </w:pPr>
      <w:r w:rsidRPr="009121CA">
        <w:t>22.</w:t>
      </w:r>
      <w:r w:rsidRPr="009121CA">
        <w:tab/>
      </w:r>
      <w:r w:rsidR="009760A8" w:rsidRPr="009760A8">
        <w:t xml:space="preserve">приветства предложението на Комисията </w:t>
      </w:r>
      <w:r w:rsidRPr="009121CA">
        <w:t xml:space="preserve">за актуализиране и подобряване на Директивата за консулската </w:t>
      </w:r>
      <w:r w:rsidR="009760A8" w:rsidRPr="009760A8">
        <w:t>закрила с цел укрепване на правото на гражданите на ЕС на консулска закрила, особено в кризисни ситуации</w:t>
      </w:r>
      <w:r w:rsidRPr="009121CA">
        <w:t>, включително чрез предоставяне на делегациите на ЕС на по-активна роля в подпомаг</w:t>
      </w:r>
      <w:r w:rsidRPr="0096568A">
        <w:t>ането на по-слабо представените граждани на ЕС;</w:t>
      </w:r>
    </w:p>
    <w:p w:rsidR="002A7CC9" w:rsidRPr="009121CA" w:rsidRDefault="002A7CC9" w:rsidP="002A7CC9">
      <w:pPr>
        <w:pStyle w:val="NormalHanging12a"/>
      </w:pPr>
      <w:r w:rsidRPr="009121CA">
        <w:t>23.</w:t>
      </w:r>
      <w:r w:rsidRPr="009121CA">
        <w:tab/>
        <w:t>призовава държавите членки да прекратят програмите за „златна виза“ и схемите за инвестиции, както и всички други подобни национални схеми, които водят до придобиване на тяхното гражданство и включват пряка или непряка продажба на и злоупотреба с гражданство на ЕС, тъй като те подкопават самата концепция за гражданство на ЕС и нарушават принципите и ценностите на ЕС; настоятелно призовава държавите членки да гарантират целостта и стойността на гражданството на ЕС; призовава Комисията да предприеме всички необходими действия, например да предявява искове пред Съда на ЕС срещу съответните държави членки;</w:t>
      </w:r>
    </w:p>
    <w:p w:rsidR="002A7CC9" w:rsidRPr="009121CA" w:rsidRDefault="002A7CC9" w:rsidP="002A7CC9">
      <w:pPr>
        <w:pStyle w:val="NormalHanging12a"/>
      </w:pPr>
      <w:r w:rsidRPr="009121CA">
        <w:t>24.</w:t>
      </w:r>
      <w:r w:rsidRPr="009121CA">
        <w:rPr>
          <w:b/>
          <w:i/>
        </w:rPr>
        <w:tab/>
      </w:r>
      <w:r w:rsidRPr="009121CA">
        <w:t>призовава, в контекста на следващото преразглеждане на Договорите, Европейският парламент и Съветът да могат, в съответствие с обикновената законодателна процедура, да приемат общи разпоредби за предотвратяване на продажбата на паспорти или други злоупотреби, свързани с придобиването и загубата на гражданство на ЕС от граждани на трети държави, с оглед уеднаквяване на условията, при които такова гражданство може да бъде придобито;</w:t>
      </w:r>
    </w:p>
    <w:p w:rsidR="002A7CC9" w:rsidRPr="009121CA" w:rsidRDefault="002A7CC9" w:rsidP="002A7CC9">
      <w:pPr>
        <w:pStyle w:val="NormalHanging12a"/>
      </w:pPr>
      <w:r w:rsidRPr="009121CA">
        <w:lastRenderedPageBreak/>
        <w:t>25.</w:t>
      </w:r>
      <w:r w:rsidRPr="009121CA">
        <w:tab/>
        <w:t>призовава държавите членки и съответните органи да адаптират съществуващите учебни програми или да изготвят нови, за да преподават историята на Европа и на Европейския съюз и неговото функциониране, с цел да се насърчат активното гражданство и общите европейски ценности и да се повиши осведомеността относно добавената стойност на това да си европеец и гражданин на ЕС; подчертава, че засилването на европейското измерение на гражданското образование и гарантирането на равен достъп за всички, включително чрез използване на всички цифрови инструменти, с които да разполагаме, ще дадат възможност на гражданите на ЕС да действат като информирани граждани и да участват пълноценно в гражданския, политическия и социалния живот както на европейско, така и на национално равнище; подчертава, че програмата „Еразъм +“ може да играе важна роля за насърчаване на гражданското образование в ЕС чрез мобилност с учебна цел за всички, независимо от възрастта, пола, заетостта или образователната степен;</w:t>
      </w:r>
    </w:p>
    <w:p w:rsidR="002A7CC9" w:rsidRPr="009121CA" w:rsidRDefault="002A7CC9" w:rsidP="002A7CC9">
      <w:pPr>
        <w:pStyle w:val="NormalHanging12a"/>
      </w:pPr>
      <w:r w:rsidRPr="009121CA">
        <w:t>26.</w:t>
      </w:r>
      <w:r w:rsidRPr="009121CA">
        <w:tab/>
        <w:t xml:space="preserve">призовава Комисията да разработи обществени консултации, съобразени с всички граждани на ЕС, особено с младите хора, с цел увеличаване на участието на гражданите на ЕС; настоятелно призовава Комисията да актуализира начина, по който се провеждат обществените консултации, за да се засили гражданската ангажираност и участието на по-широк кръг европейски граждани, в съответствие с успешния пример на Конференцията за бъдещето на Европа; във връзка с това призовава Комисията да подобри допълнително портала „Споделете мнението си“, като се възползва от новите технологии и да предостави информация за това как обратната връзка от гражданите допринася за различните инициативи; </w:t>
      </w:r>
    </w:p>
    <w:p w:rsidR="002A7CC9" w:rsidRPr="009121CA" w:rsidRDefault="002A7CC9" w:rsidP="002A7CC9">
      <w:pPr>
        <w:pStyle w:val="NormalHanging12a"/>
        <w:shd w:val="clear" w:color="auto" w:fill="FFFFFF" w:themeFill="background1"/>
      </w:pPr>
      <w:r w:rsidRPr="009121CA">
        <w:t>27.</w:t>
      </w:r>
      <w:r w:rsidRPr="009121CA">
        <w:tab/>
        <w:t xml:space="preserve">призовава за създаване на „обслужване на едно гише“ за всички инструменти на ЕС за участие, например Европейската гражданска инициатива, петициите до Парламента, жалбите до Европейския омбудсман, обществените консултации и гражданския диалог, както и за повишаване на ефективността на тези инструменти, по-специално като се гарантира, че те допринасят за определянето на европейския дневен ред, като същевременно се гарантира укрепването на представителната демокрация в процеса на вземане на решения; призовава Комисията, държавите членки и регионалните и местните органи да увеличат усилията си за осведомяване на обществеността относно съществуващите инструменти за участие; </w:t>
      </w:r>
    </w:p>
    <w:p w:rsidR="002A7CC9" w:rsidRPr="009121CA" w:rsidRDefault="002A7CC9" w:rsidP="002A7CC9">
      <w:pPr>
        <w:pStyle w:val="NormalHanging12a"/>
        <w:shd w:val="clear" w:color="auto" w:fill="FFFFFF" w:themeFill="background1"/>
      </w:pPr>
      <w:r w:rsidRPr="009121CA">
        <w:t>28.</w:t>
      </w:r>
      <w:r w:rsidRPr="009121CA">
        <w:tab/>
        <w:t>отново отправя своето предложение за създаване на постоянен механизъм за консултации с гражданите, който да позволява на гражданите, особено на младите хора, да обсъждат приоритетите и политиките на ЕС, като допринася за прилагането, наред с другото, на „проверка във връзка с младежта“ в законодателството с оглед допълване, а не замяна на представителната парламентарна демокрация; предлага представителите на Парламента да бъдат осведомявани за тези обсъждания, така че те да могат да преценят дали да предоставят последващи действия, ако е целесъобразно;</w:t>
      </w:r>
    </w:p>
    <w:p w:rsidR="002A7CC9" w:rsidRPr="009121CA" w:rsidRDefault="002A7CC9" w:rsidP="002A7CC9">
      <w:pPr>
        <w:pStyle w:val="NormalHanging12a"/>
      </w:pPr>
      <w:r w:rsidRPr="009121CA">
        <w:t>29.</w:t>
      </w:r>
      <w:r w:rsidRPr="009121CA">
        <w:tab/>
        <w:t>предлага да се обмисли въвеждането на европейска гражданска карта, която би могла например да улесни упражняването на гражданските права и гласуването на европейските избори, както и използването на инструменти за участие;</w:t>
      </w:r>
    </w:p>
    <w:p w:rsidR="002A7CC9" w:rsidRPr="009121CA" w:rsidRDefault="002A7CC9" w:rsidP="002A7CC9">
      <w:pPr>
        <w:pStyle w:val="NormalHanging12a"/>
        <w:shd w:val="clear" w:color="auto" w:fill="FFFFFF" w:themeFill="background1"/>
      </w:pPr>
      <w:r w:rsidRPr="009121CA">
        <w:t>30.</w:t>
      </w:r>
      <w:r w:rsidRPr="009121CA">
        <w:rPr>
          <w:b/>
          <w:i/>
        </w:rPr>
        <w:tab/>
      </w:r>
      <w:r w:rsidRPr="009121CA">
        <w:t xml:space="preserve">подчертава значителната роля на центровете Europe Direct за увеличаване на участието на гражданите на местно равнище в демократичния живот на ЕС; </w:t>
      </w:r>
      <w:r w:rsidRPr="009121CA">
        <w:lastRenderedPageBreak/>
        <w:t>насърчава държавите членки и образуванията на регионално и местно равнище да увеличат сътрудничеството с тези центрове;</w:t>
      </w:r>
    </w:p>
    <w:p w:rsidR="002A7CC9" w:rsidRPr="009121CA" w:rsidRDefault="002A7CC9" w:rsidP="002A7CC9">
      <w:pPr>
        <w:pStyle w:val="NormalHanging12a"/>
      </w:pPr>
      <w:r w:rsidRPr="009121CA">
        <w:t>31.</w:t>
      </w:r>
      <w:r w:rsidRPr="009121CA">
        <w:rPr>
          <w:b/>
          <w:i/>
        </w:rPr>
        <w:tab/>
      </w:r>
      <w:r w:rsidRPr="009121CA">
        <w:t xml:space="preserve">призовава Комисията да увеличи използването на социалните медии и цифровите инструменти, със специален акцент върху засилването на участието на младите хора и хората с увреждания в демократичния процес, като по този начин насърчава тяхната ангажираност, като същевременно признава по-ниската възраст за гласуване за европейски избори в държавите членки; във връзка с това призовава Комисията да засили насърчаването на демократичното участие, като укрепи диалога си с гражданите и повиши осведомеността на гражданите относно въздействието на законодателството на ЕС върху тяхното ежедневие; </w:t>
      </w:r>
    </w:p>
    <w:p w:rsidR="002A7CC9" w:rsidRPr="009121CA" w:rsidRDefault="002A7CC9" w:rsidP="002A7CC9">
      <w:pPr>
        <w:pStyle w:val="NormalHanging12a"/>
      </w:pPr>
      <w:r w:rsidRPr="009121CA">
        <w:t>32.</w:t>
      </w:r>
      <w:r w:rsidRPr="009121CA">
        <w:rPr>
          <w:b/>
          <w:i/>
        </w:rPr>
        <w:tab/>
      </w:r>
      <w:r w:rsidRPr="009121CA">
        <w:t xml:space="preserve">счита, че с оглед на нарастващото влияние на цифровата сфера върху живота на гражданите, особено върху социалните медии и ИИ, продължава да бъде от съществено значение държавите членки и европейските институции да запазят акцента си върху създаването на нови публични политики и прилагането на ефективни механизми, насочени към защита на основните права онлайн и към борба с външната намеса и дезинформацията, тъй като те представляват екзистенциални заплахи за демокрацията и самото упражняване на правата на гражданите; </w:t>
      </w:r>
    </w:p>
    <w:p w:rsidR="002A7CC9" w:rsidRPr="009121CA" w:rsidRDefault="002A7CC9" w:rsidP="002A7CC9">
      <w:pPr>
        <w:spacing w:after="240"/>
        <w:ind w:left="567" w:hanging="567"/>
        <w:rPr>
          <w:rFonts w:eastAsiaTheme="minorHAnsi" w:cstheme="minorBidi"/>
          <w:szCs w:val="22"/>
        </w:rPr>
      </w:pPr>
      <w:r w:rsidRPr="009121CA">
        <w:t>33.</w:t>
      </w:r>
      <w:r w:rsidRPr="009121CA">
        <w:tab/>
        <w:t>настоятелно призовава Съвета и Комисията да възобновят преговорите по преразглеждането на Регламент (ЕО) № 1049/2001</w:t>
      </w:r>
      <w:r w:rsidRPr="009121CA">
        <w:rPr>
          <w:rFonts w:eastAsiaTheme="minorHAnsi" w:cstheme="minorBidi"/>
          <w:szCs w:val="22"/>
          <w:vertAlign w:val="superscript"/>
          <w:lang w:eastAsia="en-US"/>
        </w:rPr>
        <w:footnoteReference w:id="26"/>
      </w:r>
      <w:r w:rsidRPr="009121CA">
        <w:t xml:space="preserve"> с цел да се гарантира, че гражданите на ЕС са в състояние да упражняват пълноценно правото си на достъп до документи и да осъществяват контрол върху институциите, органите, службите и агенциите на ЕС.</w:t>
      </w:r>
    </w:p>
    <w:p w:rsidR="002A7CC9" w:rsidRPr="009121CA" w:rsidRDefault="002A7CC9" w:rsidP="009760A8">
      <w:pPr>
        <w:pStyle w:val="AMNumberTabs"/>
        <w:keepNext/>
        <w:spacing w:before="0" w:after="240"/>
        <w:ind w:left="567" w:hanging="567"/>
        <w:rPr>
          <w:rStyle w:val="doceo-font-family-base"/>
          <w:rFonts w:eastAsiaTheme="minorHAnsi"/>
          <w:b w:val="0"/>
          <w:color w:val="000000"/>
          <w:szCs w:val="24"/>
        </w:rPr>
      </w:pPr>
      <w:r w:rsidRPr="009121CA">
        <w:rPr>
          <w:rStyle w:val="doceo-font-family-base"/>
          <w:b w:val="0"/>
          <w:color w:val="000000"/>
        </w:rPr>
        <w:t>34.</w:t>
      </w:r>
      <w:r w:rsidRPr="009121CA">
        <w:rPr>
          <w:rStyle w:val="doceo-font-family-base"/>
          <w:color w:val="000000"/>
        </w:rPr>
        <w:tab/>
      </w:r>
      <w:r w:rsidRPr="009121CA">
        <w:rPr>
          <w:b w:val="0"/>
        </w:rPr>
        <w:t>отново подчертава необходимостта от изготвяне на статут на гражданството на ЕС въз основа на член 25 от ДФЕС, който да обединява съществуващите и бъдещите права, произтичащи от гражданството, с цел приложимост на гражданските права и гарантиране на равенството на гражданите, подобряване на сближаването и реакция на социалните, икономическите, политическите и цифровите промени; припомня, че това следва да се извършва в рамките на Договорите</w:t>
      </w:r>
      <w:r w:rsidRPr="009121CA">
        <w:rPr>
          <w:rStyle w:val="doceo-font-family-base"/>
          <w:b w:val="0"/>
          <w:color w:val="000000"/>
        </w:rPr>
        <w:t xml:space="preserve">; </w:t>
      </w:r>
    </w:p>
    <w:p w:rsidR="002A7CC9" w:rsidRPr="009121CA" w:rsidRDefault="002A7CC9" w:rsidP="009760A8">
      <w:pPr>
        <w:pStyle w:val="AMNumberTabs"/>
        <w:keepNext/>
        <w:ind w:left="567" w:hanging="567"/>
        <w:rPr>
          <w:b w:val="0"/>
        </w:rPr>
      </w:pPr>
      <w:r w:rsidRPr="009121CA">
        <w:rPr>
          <w:b w:val="0"/>
        </w:rPr>
        <w:t>35.</w:t>
      </w:r>
      <w:r w:rsidRPr="009121CA">
        <w:rPr>
          <w:b w:val="0"/>
        </w:rPr>
        <w:tab/>
        <w:t xml:space="preserve">предлага в областта на участието и политическите права, свободата на движение и цифровото гражданство и в съответствие със съществуващото и бъдещото законодателство на ЕС гражданите да имат по-специално: </w:t>
      </w:r>
    </w:p>
    <w:p w:rsidR="002A7CC9" w:rsidRPr="009121CA" w:rsidRDefault="002A7CC9" w:rsidP="009760A8">
      <w:pPr>
        <w:pStyle w:val="AMNumberTabs"/>
        <w:tabs>
          <w:tab w:val="clear" w:pos="879"/>
          <w:tab w:val="clear" w:pos="936"/>
          <w:tab w:val="left" w:pos="1276"/>
        </w:tabs>
        <w:ind w:left="992" w:hanging="425"/>
        <w:rPr>
          <w:b w:val="0"/>
        </w:rPr>
      </w:pPr>
      <w:r w:rsidRPr="009121CA">
        <w:rPr>
          <w:b w:val="0"/>
        </w:rPr>
        <w:t xml:space="preserve">– </w:t>
      </w:r>
      <w:r w:rsidR="00E41244">
        <w:rPr>
          <w:b w:val="0"/>
        </w:rPr>
        <w:tab/>
      </w:r>
      <w:r w:rsidRPr="009121CA">
        <w:rPr>
          <w:b w:val="0"/>
        </w:rPr>
        <w:t>балансирано по отношение на половете демократично представителство в избирателните списъци;</w:t>
      </w:r>
    </w:p>
    <w:p w:rsidR="002A7CC9" w:rsidRPr="009121CA" w:rsidRDefault="002A7CC9" w:rsidP="009760A8">
      <w:pPr>
        <w:pStyle w:val="AMNumberTabs"/>
        <w:tabs>
          <w:tab w:val="clear" w:pos="879"/>
          <w:tab w:val="clear" w:pos="936"/>
          <w:tab w:val="left" w:pos="1276"/>
        </w:tabs>
        <w:ind w:left="1134" w:hanging="567"/>
        <w:rPr>
          <w:b w:val="0"/>
        </w:rPr>
      </w:pPr>
      <w:r w:rsidRPr="009121CA">
        <w:rPr>
          <w:b w:val="0"/>
        </w:rPr>
        <w:t xml:space="preserve">– </w:t>
      </w:r>
      <w:r w:rsidR="00E41244">
        <w:rPr>
          <w:b w:val="0"/>
        </w:rPr>
        <w:tab/>
      </w:r>
      <w:r w:rsidRPr="009121CA">
        <w:rPr>
          <w:b w:val="0"/>
        </w:rPr>
        <w:t>постоянна интерактивна цифрова платформа, чрез която гражданите да могат да представят своите предложения и идеи на всички официални езици на ЕС;</w:t>
      </w:r>
    </w:p>
    <w:p w:rsidR="002A7CC9" w:rsidRPr="009121CA" w:rsidRDefault="002A7CC9" w:rsidP="009760A8">
      <w:pPr>
        <w:pStyle w:val="AMNumberTabs"/>
        <w:tabs>
          <w:tab w:val="clear" w:pos="879"/>
          <w:tab w:val="clear" w:pos="936"/>
          <w:tab w:val="left" w:pos="1276"/>
        </w:tabs>
        <w:ind w:left="992" w:hanging="425"/>
        <w:rPr>
          <w:b w:val="0"/>
        </w:rPr>
      </w:pPr>
      <w:r w:rsidRPr="009121CA">
        <w:rPr>
          <w:b w:val="0"/>
        </w:rPr>
        <w:t xml:space="preserve">– </w:t>
      </w:r>
      <w:r w:rsidR="00E41244">
        <w:rPr>
          <w:b w:val="0"/>
        </w:rPr>
        <w:tab/>
      </w:r>
      <w:r w:rsidRPr="009121CA">
        <w:rPr>
          <w:b w:val="0"/>
        </w:rPr>
        <w:t xml:space="preserve">признаване на периоди на обучение, а не само на квалификации и </w:t>
      </w:r>
      <w:r w:rsidRPr="009121CA">
        <w:rPr>
          <w:b w:val="0"/>
        </w:rPr>
        <w:lastRenderedPageBreak/>
        <w:t>професионални компетентности, като равностойни, с цел възможност за работа в друга държава членка;</w:t>
      </w:r>
    </w:p>
    <w:p w:rsidR="002A7CC9" w:rsidRPr="009121CA" w:rsidRDefault="002A7CC9" w:rsidP="009760A8">
      <w:pPr>
        <w:pStyle w:val="AMNumberTabs"/>
        <w:tabs>
          <w:tab w:val="clear" w:pos="879"/>
          <w:tab w:val="clear" w:pos="936"/>
          <w:tab w:val="left" w:pos="1276"/>
        </w:tabs>
        <w:ind w:left="992" w:hanging="425"/>
        <w:rPr>
          <w:b w:val="0"/>
        </w:rPr>
      </w:pPr>
      <w:r w:rsidRPr="009121CA">
        <w:rPr>
          <w:b w:val="0"/>
        </w:rPr>
        <w:t xml:space="preserve">– </w:t>
      </w:r>
      <w:r w:rsidR="00E41244">
        <w:rPr>
          <w:b w:val="0"/>
        </w:rPr>
        <w:tab/>
      </w:r>
      <w:r w:rsidRPr="009121CA">
        <w:rPr>
          <w:b w:val="0"/>
        </w:rPr>
        <w:t>универсален достъп до интернет, за да се гарантира приобщаването и равният достъп на гражданите до цифровата среда;</w:t>
      </w:r>
    </w:p>
    <w:p w:rsidR="002A7CC9" w:rsidRPr="009121CA" w:rsidRDefault="002A7CC9" w:rsidP="009760A8">
      <w:pPr>
        <w:pStyle w:val="AMNumberTabs"/>
        <w:tabs>
          <w:tab w:val="clear" w:pos="879"/>
          <w:tab w:val="clear" w:pos="936"/>
          <w:tab w:val="left" w:pos="1276"/>
        </w:tabs>
        <w:ind w:left="992" w:hanging="425"/>
        <w:rPr>
          <w:b w:val="0"/>
        </w:rPr>
      </w:pPr>
      <w:r w:rsidRPr="009121CA">
        <w:rPr>
          <w:b w:val="0"/>
        </w:rPr>
        <w:t xml:space="preserve">– </w:t>
      </w:r>
      <w:r w:rsidR="00E41244">
        <w:rPr>
          <w:b w:val="0"/>
        </w:rPr>
        <w:tab/>
      </w:r>
      <w:r w:rsidRPr="009121CA">
        <w:rPr>
          <w:b w:val="0"/>
        </w:rPr>
        <w:t>управление на собствената цифрова самоличност, което надхвърля вече съществуващата защита по отношение на личните данни в цифровата среда;</w:t>
      </w:r>
    </w:p>
    <w:p w:rsidR="002A7CC9" w:rsidRPr="009121CA" w:rsidRDefault="002A7CC9" w:rsidP="009760A8">
      <w:pPr>
        <w:pStyle w:val="AMNumberTabs"/>
        <w:tabs>
          <w:tab w:val="clear" w:pos="879"/>
          <w:tab w:val="clear" w:pos="936"/>
          <w:tab w:val="left" w:pos="1276"/>
        </w:tabs>
        <w:ind w:left="992" w:hanging="425"/>
        <w:rPr>
          <w:b w:val="0"/>
        </w:rPr>
      </w:pPr>
      <w:r w:rsidRPr="009121CA">
        <w:rPr>
          <w:b w:val="0"/>
        </w:rPr>
        <w:t xml:space="preserve">– </w:t>
      </w:r>
      <w:r w:rsidR="00E41244">
        <w:rPr>
          <w:b w:val="0"/>
        </w:rPr>
        <w:tab/>
      </w:r>
      <w:r w:rsidRPr="009121CA">
        <w:rPr>
          <w:b w:val="0"/>
        </w:rPr>
        <w:t>цифрово наследяване на цифровите данни на починало лице;</w:t>
      </w:r>
    </w:p>
    <w:p w:rsidR="002A7CC9" w:rsidRPr="009121CA" w:rsidRDefault="002A7CC9" w:rsidP="009760A8">
      <w:pPr>
        <w:pStyle w:val="AMNumberTabs"/>
        <w:tabs>
          <w:tab w:val="clear" w:pos="879"/>
          <w:tab w:val="clear" w:pos="936"/>
          <w:tab w:val="left" w:pos="1276"/>
        </w:tabs>
        <w:ind w:left="992" w:hanging="425"/>
        <w:rPr>
          <w:b w:val="0"/>
        </w:rPr>
      </w:pPr>
      <w:r w:rsidRPr="009121CA">
        <w:rPr>
          <w:b w:val="0"/>
        </w:rPr>
        <w:t xml:space="preserve">– </w:t>
      </w:r>
      <w:r w:rsidR="00E41244">
        <w:rPr>
          <w:b w:val="0"/>
        </w:rPr>
        <w:tab/>
      </w:r>
      <w:r w:rsidRPr="009121CA">
        <w:rPr>
          <w:b w:val="0"/>
        </w:rPr>
        <w:t>разработването на системи с ИИ, които са безопасни, прозрачни, проследими и контролирани от хора и регулаторни институции;</w:t>
      </w:r>
    </w:p>
    <w:p w:rsidR="002A7CC9" w:rsidRPr="009121CA" w:rsidRDefault="002A7CC9" w:rsidP="002A7CC9">
      <w:pPr>
        <w:pStyle w:val="NormalHanging12a"/>
        <w:spacing w:before="240" w:after="0"/>
        <w:rPr>
          <w:rStyle w:val="doceo-font-family-base"/>
          <w:color w:val="000000"/>
          <w:u w:val="single"/>
        </w:rPr>
      </w:pPr>
      <w:r w:rsidRPr="009121CA">
        <w:rPr>
          <w:rStyle w:val="doceo-font-family-base"/>
          <w:color w:val="000000"/>
        </w:rPr>
        <w:t>36.</w:t>
      </w:r>
      <w:r w:rsidRPr="009121CA">
        <w:rPr>
          <w:rStyle w:val="doceo-font-family-base"/>
          <w:color w:val="000000"/>
        </w:rPr>
        <w:tab/>
      </w:r>
      <w:r w:rsidRPr="009121CA">
        <w:t>призовава в статута на гражданството на ЕС да бъде включена хоризонтална клауза за недискриминация като допълнителна гаранция за равенство при упражняването на правата, произтичащи от гражданството, с цел да се гарантира недискриминация и да се защитят гражданите, по-специално членовете на уязвими и маргинализирани групи и лицата, които живеят в трансграничните региони на ЕС;</w:t>
      </w:r>
    </w:p>
    <w:p w:rsidR="002A7CC9" w:rsidRPr="009121CA" w:rsidRDefault="002A7CC9" w:rsidP="002A7CC9">
      <w:pPr>
        <w:pStyle w:val="NormalHanging12a"/>
        <w:spacing w:before="240" w:after="0"/>
        <w:rPr>
          <w:rStyle w:val="doceo-font-family-base"/>
          <w:color w:val="000000"/>
          <w:szCs w:val="24"/>
        </w:rPr>
      </w:pPr>
      <w:r w:rsidRPr="009121CA">
        <w:rPr>
          <w:rStyle w:val="doceo-font-family-base"/>
          <w:color w:val="000000"/>
        </w:rPr>
        <w:t>37.</w:t>
      </w:r>
      <w:r w:rsidRPr="009121CA">
        <w:rPr>
          <w:rStyle w:val="doceo-font-family-base"/>
          <w:color w:val="000000"/>
        </w:rPr>
        <w:tab/>
        <w:t>призовава Комисията да проведе целенасочени кампании за повишаване на осведомеността относно</w:t>
      </w:r>
      <w:r w:rsidRPr="009121CA">
        <w:t xml:space="preserve"> правата и гражданските задължения, произтичащи от </w:t>
      </w:r>
      <w:r w:rsidRPr="009121CA">
        <w:rPr>
          <w:rStyle w:val="doceo-font-family-base"/>
          <w:color w:val="000000"/>
        </w:rPr>
        <w:t xml:space="preserve">гражданството на ЕС и от статута, включително чрез въвеждане на пакет на ЕС за предоставяне на информация относно гражданството на ЕС, както и да отдели повече ресурси за гражданството на ЕС; подчертава, че благодарение на цифровата и технологичната революция гражданите се превърнаха в истински стълбове на нашите демократични системи и именно те ще защитават тези системи; </w:t>
      </w:r>
    </w:p>
    <w:p w:rsidR="002A7CC9" w:rsidRPr="009121CA" w:rsidRDefault="002A7CC9" w:rsidP="002A7CC9">
      <w:pPr>
        <w:pStyle w:val="NormalHanging12a"/>
        <w:spacing w:before="240" w:after="0"/>
        <w:rPr>
          <w:rStyle w:val="doceo-font-family-base"/>
          <w:color w:val="000000"/>
          <w:szCs w:val="24"/>
        </w:rPr>
      </w:pPr>
      <w:r w:rsidRPr="009121CA">
        <w:rPr>
          <w:rStyle w:val="doceo-font-family-base"/>
          <w:color w:val="000000"/>
        </w:rPr>
        <w:t>38.</w:t>
      </w:r>
      <w:r w:rsidRPr="009121CA">
        <w:rPr>
          <w:rStyle w:val="doceo-font-family-base"/>
          <w:color w:val="000000"/>
        </w:rPr>
        <w:tab/>
      </w:r>
      <w:r w:rsidR="006F20FD" w:rsidRPr="006F20FD">
        <w:rPr>
          <w:rStyle w:val="doceo-font-family-base"/>
          <w:color w:val="000000"/>
        </w:rPr>
        <w:t xml:space="preserve">отбелязва пакета за гражданството, по-специално доклада за гражданството на ЕС за 2023 г., публикуван от Комисията на 6 декември 2023 г., за да се постигне допълнителен напредък по отношение на гражданството на ЕС и то да стане по-осезаемо за гражданите на ЕС; </w:t>
      </w:r>
      <w:r w:rsidRPr="009121CA">
        <w:rPr>
          <w:rStyle w:val="doceo-font-family-base"/>
          <w:color w:val="000000"/>
        </w:rPr>
        <w:t xml:space="preserve">призовава Комисията да вземе предвид </w:t>
      </w:r>
      <w:r w:rsidR="006F20FD" w:rsidRPr="006F20FD">
        <w:rPr>
          <w:rStyle w:val="doceo-font-family-base"/>
          <w:color w:val="000000"/>
        </w:rPr>
        <w:t xml:space="preserve">препоръките, включени в този доклад, </w:t>
      </w:r>
      <w:r w:rsidRPr="009121CA">
        <w:rPr>
          <w:rStyle w:val="doceo-font-family-base"/>
          <w:color w:val="000000"/>
        </w:rPr>
        <w:t>за гражданството на ЕС</w:t>
      </w:r>
      <w:r w:rsidRPr="009121CA">
        <w:t xml:space="preserve"> за 2023 г. и да предприеме необходимите стъпки за тяхното изпълнение съгласно </w:t>
      </w:r>
      <w:r w:rsidRPr="009121CA">
        <w:rPr>
          <w:rStyle w:val="doceo-font-family-base"/>
          <w:color w:val="000000"/>
        </w:rPr>
        <w:t>процедурата по Договорите;</w:t>
      </w:r>
    </w:p>
    <w:p w:rsidR="002A7CC9" w:rsidRDefault="002A7CC9" w:rsidP="0096568A">
      <w:pPr>
        <w:pStyle w:val="NormalHanging12a"/>
        <w:spacing w:before="240" w:after="0"/>
      </w:pPr>
      <w:r w:rsidRPr="009121CA">
        <w:rPr>
          <w:rStyle w:val="doceo-font-family-base"/>
          <w:color w:val="000000"/>
        </w:rPr>
        <w:t>39.</w:t>
      </w:r>
      <w:r w:rsidRPr="009121CA">
        <w:rPr>
          <w:rStyle w:val="doceo-font-family-base"/>
          <w:color w:val="000000"/>
        </w:rPr>
        <w:tab/>
        <w:t>отново</w:t>
      </w:r>
      <w:r w:rsidRPr="009121CA">
        <w:t xml:space="preserve"> призовава за свикване на Конвент за преразглеждане на Договорите, както е предвидено в член 48 от ДЕС; изразява твърдо убеждение, че Конвентът следва внимателно да прецени начините за по-нататъшно укрепване на гражданството на ЕС;</w:t>
      </w:r>
    </w:p>
    <w:p w:rsidR="0096568A" w:rsidRDefault="0096568A" w:rsidP="0096568A">
      <w:pPr>
        <w:pStyle w:val="NormalHanging12a"/>
        <w:widowControl/>
        <w:ind w:left="0" w:firstLine="0"/>
        <w:jc w:val="center"/>
      </w:pPr>
      <w:r>
        <w:t>°</w:t>
      </w:r>
    </w:p>
    <w:p w:rsidR="0096568A" w:rsidRDefault="0096568A" w:rsidP="0096568A">
      <w:pPr>
        <w:pStyle w:val="NormalHanging12a"/>
        <w:widowControl/>
        <w:ind w:left="0" w:firstLine="0"/>
        <w:jc w:val="center"/>
      </w:pPr>
      <w:r>
        <w:t>°     °</w:t>
      </w:r>
    </w:p>
    <w:p w:rsidR="002A7CC9" w:rsidRPr="009121CA" w:rsidRDefault="002A7CC9" w:rsidP="002A7CC9">
      <w:pPr>
        <w:pStyle w:val="NormalHanging12a"/>
        <w:rPr>
          <w:rFonts w:eastAsiaTheme="minorHAnsi"/>
        </w:rPr>
      </w:pPr>
      <w:r w:rsidRPr="009121CA">
        <w:t>40.</w:t>
      </w:r>
      <w:r w:rsidRPr="009121CA">
        <w:tab/>
        <w:t xml:space="preserve">възлага на своя председател да предаде настоящата резолюция съответно </w:t>
      </w:r>
      <w:r w:rsidR="009121CA" w:rsidRPr="009121CA">
        <w:t>на Съвета и на Комисията.</w:t>
      </w:r>
    </w:p>
    <w:sectPr w:rsidR="002A7CC9" w:rsidRPr="009121CA" w:rsidSect="009121C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7ADB" w:rsidRPr="009121CA" w:rsidRDefault="000A7ADB">
      <w:r w:rsidRPr="009121CA">
        <w:separator/>
      </w:r>
    </w:p>
  </w:endnote>
  <w:endnote w:type="continuationSeparator" w:id="0">
    <w:p w:rsidR="000A7ADB" w:rsidRPr="009121CA" w:rsidRDefault="000A7ADB">
      <w:r w:rsidRPr="009121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21C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21C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21C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7ADB" w:rsidRPr="009121CA" w:rsidRDefault="000A7ADB">
      <w:r w:rsidRPr="009121CA">
        <w:separator/>
      </w:r>
    </w:p>
  </w:footnote>
  <w:footnote w:type="continuationSeparator" w:id="0">
    <w:p w:rsidR="000A7ADB" w:rsidRPr="009121CA" w:rsidRDefault="000A7ADB">
      <w:r w:rsidRPr="009121CA">
        <w:continuationSeparator/>
      </w:r>
    </w:p>
  </w:footnote>
  <w:footnote w:id="1">
    <w:p w:rsidR="002A7CC9" w:rsidRPr="009121CA" w:rsidRDefault="002A7CC9" w:rsidP="009121CA">
      <w:pPr>
        <w:pStyle w:val="FootnoteText"/>
        <w:ind w:left="567" w:hanging="567"/>
        <w:rPr>
          <w:sz w:val="24"/>
          <w:lang w:val="bg-BG"/>
        </w:rPr>
      </w:pPr>
      <w:r w:rsidRPr="009121CA">
        <w:rPr>
          <w:rStyle w:val="FootnoteReference"/>
          <w:sz w:val="24"/>
          <w:lang w:val="bg-BG"/>
        </w:rPr>
        <w:footnoteRef/>
      </w:r>
      <w:r w:rsidR="009121CA" w:rsidRPr="009121CA">
        <w:rPr>
          <w:sz w:val="24"/>
          <w:lang w:val="bg-BG"/>
        </w:rPr>
        <w:t xml:space="preserve"> </w:t>
      </w:r>
      <w:r w:rsidR="009121CA" w:rsidRPr="009121CA">
        <w:rPr>
          <w:sz w:val="24"/>
          <w:lang w:val="bg-BG"/>
        </w:rPr>
        <w:tab/>
      </w:r>
      <w:r w:rsidRPr="009121CA">
        <w:rPr>
          <w:sz w:val="24"/>
          <w:lang w:val="bg-BG"/>
        </w:rPr>
        <w:t>ОВ L 158, 30.4.2004 г., стр. 77.</w:t>
      </w:r>
    </w:p>
  </w:footnote>
  <w:footnote w:id="2">
    <w:p w:rsidR="002A7CC9" w:rsidRPr="009121CA" w:rsidRDefault="002A7CC9" w:rsidP="009121CA">
      <w:pPr>
        <w:pStyle w:val="FootnoteText"/>
        <w:ind w:left="567" w:hanging="567"/>
        <w:rPr>
          <w:sz w:val="24"/>
          <w:lang w:val="bg-BG"/>
        </w:rPr>
      </w:pPr>
      <w:r w:rsidRPr="009121CA">
        <w:rPr>
          <w:rStyle w:val="FootnoteReference"/>
          <w:sz w:val="24"/>
          <w:lang w:val="bg-BG"/>
        </w:rPr>
        <w:footnoteRef/>
      </w:r>
      <w:r w:rsidR="009121CA" w:rsidRPr="009121CA">
        <w:rPr>
          <w:sz w:val="24"/>
          <w:lang w:val="bg-BG"/>
        </w:rPr>
        <w:t xml:space="preserve"> </w:t>
      </w:r>
      <w:r w:rsidR="009121CA" w:rsidRPr="009121CA">
        <w:rPr>
          <w:sz w:val="24"/>
          <w:lang w:val="bg-BG"/>
        </w:rPr>
        <w:tab/>
      </w:r>
      <w:r w:rsidRPr="009121CA">
        <w:rPr>
          <w:sz w:val="24"/>
          <w:lang w:val="bg-BG"/>
        </w:rPr>
        <w:t>ОВ L 156, 5.5.2021 г., стр. 1</w:t>
      </w:r>
      <w:r w:rsidRPr="009121CA">
        <w:rPr>
          <w:rStyle w:val="Emphasis"/>
          <w:color w:val="333333"/>
          <w:sz w:val="24"/>
          <w:shd w:val="clear" w:color="auto" w:fill="FFFFFF"/>
          <w:lang w:val="bg-BG"/>
        </w:rPr>
        <w:t>.</w:t>
      </w:r>
    </w:p>
  </w:footnote>
  <w:footnote w:id="3">
    <w:p w:rsidR="002A7CC9" w:rsidRPr="009121CA" w:rsidRDefault="002A7CC9" w:rsidP="009121CA">
      <w:pPr>
        <w:pStyle w:val="FootnoteText"/>
        <w:ind w:left="567" w:hanging="567"/>
        <w:rPr>
          <w:sz w:val="24"/>
          <w:lang w:val="bg-BG"/>
        </w:rPr>
      </w:pPr>
      <w:r w:rsidRPr="009121CA">
        <w:rPr>
          <w:rStyle w:val="FootnoteReference"/>
          <w:sz w:val="24"/>
          <w:lang w:val="bg-BG"/>
        </w:rPr>
        <w:footnoteRef/>
      </w:r>
      <w:r w:rsidR="009121CA" w:rsidRPr="009121CA">
        <w:rPr>
          <w:sz w:val="24"/>
          <w:lang w:val="bg-BG"/>
        </w:rPr>
        <w:t xml:space="preserve"> </w:t>
      </w:r>
      <w:r w:rsidR="009121CA" w:rsidRPr="009121CA">
        <w:rPr>
          <w:sz w:val="24"/>
          <w:lang w:val="bg-BG"/>
        </w:rPr>
        <w:tab/>
      </w:r>
      <w:r w:rsidRPr="009121CA">
        <w:rPr>
          <w:sz w:val="24"/>
          <w:lang w:val="bg-BG"/>
        </w:rPr>
        <w:t>ОВ L 141, 27.5.2011 г., стр. 1.</w:t>
      </w:r>
    </w:p>
  </w:footnote>
  <w:footnote w:id="4">
    <w:p w:rsidR="002A7CC9" w:rsidRPr="009121CA" w:rsidRDefault="002A7CC9" w:rsidP="009121CA">
      <w:pPr>
        <w:pStyle w:val="FootnoteText"/>
        <w:ind w:left="567" w:hanging="567"/>
        <w:rPr>
          <w:sz w:val="24"/>
          <w:lang w:val="bg-BG"/>
        </w:rPr>
      </w:pPr>
      <w:r w:rsidRPr="009121CA">
        <w:rPr>
          <w:rStyle w:val="FootnoteReference"/>
          <w:sz w:val="24"/>
          <w:lang w:val="bg-BG"/>
        </w:rPr>
        <w:footnoteRef/>
      </w:r>
      <w:r w:rsidR="009121CA" w:rsidRPr="009121CA">
        <w:rPr>
          <w:sz w:val="24"/>
          <w:lang w:val="bg-BG"/>
        </w:rPr>
        <w:t xml:space="preserve"> </w:t>
      </w:r>
      <w:r w:rsidR="009121CA" w:rsidRPr="009121CA">
        <w:rPr>
          <w:sz w:val="24"/>
          <w:lang w:val="bg-BG"/>
        </w:rPr>
        <w:tab/>
      </w:r>
      <w:r w:rsidRPr="009121CA">
        <w:rPr>
          <w:sz w:val="24"/>
          <w:lang w:val="bg-BG"/>
        </w:rPr>
        <w:t>ОВ L 186, 11.7.2019 г., стр. 21.</w:t>
      </w:r>
    </w:p>
  </w:footnote>
  <w:footnote w:id="5">
    <w:p w:rsidR="002A7CC9" w:rsidRPr="009121CA" w:rsidRDefault="002A7CC9" w:rsidP="009121CA">
      <w:pPr>
        <w:pStyle w:val="FootnoteText"/>
        <w:ind w:left="567" w:hanging="567"/>
        <w:rPr>
          <w:sz w:val="24"/>
          <w:lang w:val="bg-BG"/>
        </w:rPr>
      </w:pPr>
      <w:r w:rsidRPr="009121CA">
        <w:rPr>
          <w:rStyle w:val="FootnoteReference"/>
          <w:sz w:val="24"/>
          <w:lang w:val="bg-BG"/>
        </w:rPr>
        <w:footnoteRef/>
      </w:r>
      <w:r w:rsidR="009121CA" w:rsidRPr="009121CA">
        <w:rPr>
          <w:sz w:val="24"/>
          <w:lang w:val="bg-BG"/>
        </w:rPr>
        <w:t xml:space="preserve"> </w:t>
      </w:r>
      <w:r w:rsidR="009121CA" w:rsidRPr="009121CA">
        <w:rPr>
          <w:sz w:val="24"/>
          <w:lang w:val="bg-BG"/>
        </w:rPr>
        <w:tab/>
      </w:r>
      <w:r w:rsidRPr="009121CA">
        <w:rPr>
          <w:sz w:val="24"/>
          <w:lang w:val="bg-BG"/>
        </w:rPr>
        <w:t>ОВ L 173, 9.7.2018 г., стр. 16.</w:t>
      </w:r>
    </w:p>
  </w:footnote>
  <w:footnote w:id="6">
    <w:p w:rsidR="002A7CC9" w:rsidRPr="009121CA" w:rsidRDefault="002A7CC9" w:rsidP="009121CA">
      <w:pPr>
        <w:pStyle w:val="FootnoteText"/>
        <w:ind w:left="567" w:hanging="567"/>
        <w:rPr>
          <w:sz w:val="24"/>
          <w:lang w:val="bg-BG"/>
        </w:rPr>
      </w:pPr>
      <w:r w:rsidRPr="009121CA">
        <w:rPr>
          <w:rStyle w:val="FootnoteReference"/>
          <w:sz w:val="24"/>
          <w:lang w:val="bg-BG"/>
        </w:rPr>
        <w:footnoteRef/>
      </w:r>
      <w:r w:rsidR="009121CA" w:rsidRPr="009121CA">
        <w:rPr>
          <w:sz w:val="24"/>
          <w:lang w:val="bg-BG"/>
        </w:rPr>
        <w:t xml:space="preserve"> </w:t>
      </w:r>
      <w:r w:rsidR="009121CA" w:rsidRPr="009121CA">
        <w:rPr>
          <w:sz w:val="24"/>
          <w:lang w:val="bg-BG"/>
        </w:rPr>
        <w:tab/>
      </w:r>
      <w:r w:rsidRPr="009121CA">
        <w:rPr>
          <w:sz w:val="24"/>
          <w:lang w:val="bg-BG"/>
        </w:rPr>
        <w:t>ОВ L 107, 22.4.2016 г., стр. 1.</w:t>
      </w:r>
    </w:p>
  </w:footnote>
  <w:footnote w:id="7">
    <w:p w:rsidR="002A7CC9" w:rsidRPr="009121CA" w:rsidRDefault="002A7CC9" w:rsidP="009121CA">
      <w:pPr>
        <w:pStyle w:val="FootnoteText"/>
        <w:ind w:left="567" w:hanging="567"/>
        <w:rPr>
          <w:sz w:val="24"/>
          <w:lang w:val="bg-BG"/>
        </w:rPr>
      </w:pPr>
      <w:r w:rsidRPr="009121CA">
        <w:rPr>
          <w:rStyle w:val="FootnoteReference"/>
          <w:sz w:val="24"/>
          <w:lang w:val="bg-BG"/>
        </w:rPr>
        <w:footnoteRef/>
      </w:r>
      <w:r w:rsidR="009121CA" w:rsidRPr="009121CA">
        <w:rPr>
          <w:sz w:val="24"/>
          <w:lang w:val="bg-BG"/>
        </w:rPr>
        <w:t xml:space="preserve"> </w:t>
      </w:r>
      <w:r w:rsidR="009121CA" w:rsidRPr="009121CA">
        <w:rPr>
          <w:sz w:val="24"/>
          <w:lang w:val="bg-BG"/>
        </w:rPr>
        <w:tab/>
      </w:r>
      <w:r w:rsidRPr="009121CA">
        <w:rPr>
          <w:sz w:val="24"/>
          <w:lang w:val="bg-BG"/>
        </w:rPr>
        <w:t>ОВ L 354, 28.12.2013 г., стр. 132.</w:t>
      </w:r>
    </w:p>
  </w:footnote>
  <w:footnote w:id="8">
    <w:p w:rsidR="002A7CC9" w:rsidRPr="009121CA" w:rsidRDefault="002A7CC9" w:rsidP="009121CA">
      <w:pPr>
        <w:pStyle w:val="FootnoteText"/>
        <w:ind w:left="567" w:hanging="567"/>
        <w:rPr>
          <w:sz w:val="24"/>
          <w:lang w:val="bg-BG"/>
        </w:rPr>
      </w:pPr>
      <w:r w:rsidRPr="009121CA">
        <w:rPr>
          <w:rStyle w:val="FootnoteReference"/>
          <w:sz w:val="24"/>
          <w:lang w:val="bg-BG"/>
        </w:rPr>
        <w:footnoteRef/>
      </w:r>
      <w:r w:rsidR="009121CA" w:rsidRPr="009121CA">
        <w:rPr>
          <w:sz w:val="24"/>
          <w:lang w:val="bg-BG"/>
        </w:rPr>
        <w:t xml:space="preserve"> </w:t>
      </w:r>
      <w:r w:rsidR="009121CA" w:rsidRPr="009121CA">
        <w:rPr>
          <w:sz w:val="24"/>
          <w:lang w:val="bg-BG"/>
        </w:rPr>
        <w:tab/>
      </w:r>
      <w:r w:rsidRPr="009121CA">
        <w:rPr>
          <w:sz w:val="24"/>
          <w:lang w:val="bg-BG"/>
        </w:rPr>
        <w:t>ОВ L 106, 24.4.2015 г., стр. 1.</w:t>
      </w:r>
    </w:p>
  </w:footnote>
  <w:footnote w:id="9">
    <w:p w:rsidR="002A7CC9" w:rsidRPr="009121CA" w:rsidRDefault="002A7CC9" w:rsidP="009121CA">
      <w:pPr>
        <w:pStyle w:val="FootnoteText"/>
        <w:ind w:left="567" w:hanging="567"/>
        <w:rPr>
          <w:sz w:val="24"/>
          <w:lang w:val="bg-BG"/>
        </w:rPr>
      </w:pPr>
      <w:r w:rsidRPr="009121CA">
        <w:rPr>
          <w:rStyle w:val="FootnoteReference"/>
          <w:sz w:val="24"/>
          <w:lang w:val="bg-BG"/>
        </w:rPr>
        <w:footnoteRef/>
      </w:r>
      <w:r w:rsidR="009121CA" w:rsidRPr="009121CA">
        <w:rPr>
          <w:sz w:val="24"/>
          <w:lang w:val="bg-BG"/>
        </w:rPr>
        <w:t xml:space="preserve"> </w:t>
      </w:r>
      <w:r w:rsidR="009121CA" w:rsidRPr="009121CA">
        <w:rPr>
          <w:sz w:val="24"/>
          <w:lang w:val="bg-BG"/>
        </w:rPr>
        <w:tab/>
      </w:r>
      <w:r w:rsidRPr="009121CA">
        <w:rPr>
          <w:sz w:val="24"/>
          <w:lang w:val="bg-BG"/>
        </w:rPr>
        <w:t>ОВ L 163, 20.6.2019 г., стр. 1.</w:t>
      </w:r>
    </w:p>
  </w:footnote>
  <w:footnote w:id="10">
    <w:p w:rsidR="002A7CC9" w:rsidRPr="009121CA" w:rsidRDefault="002A7CC9" w:rsidP="009121CA">
      <w:pPr>
        <w:pStyle w:val="FootnoteText"/>
        <w:ind w:left="567" w:hanging="567"/>
        <w:rPr>
          <w:sz w:val="24"/>
          <w:lang w:val="bg-BG"/>
        </w:rPr>
      </w:pPr>
      <w:r w:rsidRPr="009121CA">
        <w:rPr>
          <w:rStyle w:val="FootnoteReference"/>
          <w:sz w:val="24"/>
          <w:lang w:val="bg-BG"/>
        </w:rPr>
        <w:footnoteRef/>
      </w:r>
      <w:r w:rsidR="009121CA" w:rsidRPr="009121CA">
        <w:rPr>
          <w:sz w:val="24"/>
          <w:lang w:val="bg-BG"/>
        </w:rPr>
        <w:t xml:space="preserve"> </w:t>
      </w:r>
      <w:r w:rsidR="009121CA" w:rsidRPr="009121CA">
        <w:rPr>
          <w:sz w:val="24"/>
          <w:lang w:val="bg-BG"/>
        </w:rPr>
        <w:tab/>
      </w:r>
      <w:r w:rsidRPr="009121CA">
        <w:rPr>
          <w:sz w:val="24"/>
          <w:lang w:val="bg-BG"/>
        </w:rPr>
        <w:t>ОВ L 130, 17.5.2019 г., стр. 55.</w:t>
      </w:r>
    </w:p>
  </w:footnote>
  <w:footnote w:id="11">
    <w:p w:rsidR="002A7CC9" w:rsidRPr="009121CA" w:rsidRDefault="002A7CC9" w:rsidP="009121CA">
      <w:pPr>
        <w:pStyle w:val="FootnoteText"/>
        <w:ind w:left="567" w:hanging="567"/>
        <w:rPr>
          <w:sz w:val="24"/>
          <w:lang w:val="bg-BG"/>
        </w:rPr>
      </w:pPr>
      <w:r w:rsidRPr="009121CA">
        <w:rPr>
          <w:rStyle w:val="FootnoteReference"/>
          <w:sz w:val="24"/>
          <w:lang w:val="bg-BG"/>
        </w:rPr>
        <w:footnoteRef/>
      </w:r>
      <w:r w:rsidR="009121CA" w:rsidRPr="009121CA">
        <w:rPr>
          <w:sz w:val="24"/>
          <w:lang w:val="bg-BG"/>
        </w:rPr>
        <w:t xml:space="preserve"> </w:t>
      </w:r>
      <w:r w:rsidR="009121CA" w:rsidRPr="009121CA">
        <w:rPr>
          <w:sz w:val="24"/>
          <w:lang w:val="bg-BG"/>
        </w:rPr>
        <w:tab/>
      </w:r>
      <w:r w:rsidRPr="009121CA">
        <w:rPr>
          <w:sz w:val="24"/>
          <w:lang w:val="bg-BG"/>
        </w:rPr>
        <w:t>ОВ L 231, 17.7.2020 г., стр. 7.</w:t>
      </w:r>
    </w:p>
  </w:footnote>
  <w:footnote w:id="12">
    <w:p w:rsidR="002A7CC9" w:rsidRPr="009121CA" w:rsidRDefault="002A7CC9" w:rsidP="009121CA">
      <w:pPr>
        <w:pStyle w:val="FootnoteText"/>
        <w:ind w:left="567" w:hanging="567"/>
        <w:rPr>
          <w:sz w:val="24"/>
          <w:lang w:val="bg-BG"/>
        </w:rPr>
      </w:pPr>
      <w:r w:rsidRPr="009121CA">
        <w:rPr>
          <w:rStyle w:val="FootnoteReference"/>
          <w:sz w:val="24"/>
          <w:lang w:val="bg-BG"/>
        </w:rPr>
        <w:footnoteRef/>
      </w:r>
      <w:r w:rsidR="009121CA" w:rsidRPr="009121CA">
        <w:rPr>
          <w:sz w:val="24"/>
          <w:lang w:val="bg-BG"/>
        </w:rPr>
        <w:t xml:space="preserve"> </w:t>
      </w:r>
      <w:r w:rsidR="009121CA" w:rsidRPr="009121CA">
        <w:rPr>
          <w:sz w:val="24"/>
          <w:lang w:val="bg-BG"/>
        </w:rPr>
        <w:tab/>
      </w:r>
      <w:r w:rsidRPr="009121CA">
        <w:rPr>
          <w:sz w:val="24"/>
          <w:lang w:val="bg-BG"/>
        </w:rPr>
        <w:t>ОВ C 283, 11.8.2023 г., стр. 76.</w:t>
      </w:r>
    </w:p>
  </w:footnote>
  <w:footnote w:id="13">
    <w:p w:rsidR="002A7CC9" w:rsidRPr="009121CA" w:rsidRDefault="002A7CC9" w:rsidP="009121CA">
      <w:pPr>
        <w:pStyle w:val="FootnoteText"/>
        <w:ind w:left="567" w:hanging="567"/>
        <w:rPr>
          <w:sz w:val="24"/>
          <w:lang w:val="bg-BG"/>
        </w:rPr>
      </w:pPr>
      <w:r w:rsidRPr="009121CA">
        <w:rPr>
          <w:rStyle w:val="FootnoteReference"/>
          <w:sz w:val="24"/>
          <w:lang w:val="bg-BG"/>
        </w:rPr>
        <w:footnoteRef/>
      </w:r>
      <w:r w:rsidR="009121CA" w:rsidRPr="009121CA">
        <w:rPr>
          <w:sz w:val="24"/>
          <w:lang w:val="bg-BG"/>
        </w:rPr>
        <w:t xml:space="preserve"> </w:t>
      </w:r>
      <w:r w:rsidR="009121CA" w:rsidRPr="009121CA">
        <w:rPr>
          <w:sz w:val="24"/>
          <w:lang w:val="bg-BG"/>
        </w:rPr>
        <w:tab/>
      </w:r>
      <w:r w:rsidRPr="009121CA">
        <w:rPr>
          <w:sz w:val="24"/>
          <w:lang w:val="bg-BG"/>
        </w:rPr>
        <w:t>ОВ С 283, 11.8.2023 г., стр. 100.</w:t>
      </w:r>
    </w:p>
  </w:footnote>
  <w:footnote w:id="14">
    <w:p w:rsidR="002A7CC9" w:rsidRPr="009121CA" w:rsidRDefault="002A7CC9" w:rsidP="009121CA">
      <w:pPr>
        <w:pStyle w:val="FootnoteText"/>
        <w:ind w:left="567" w:hanging="567"/>
        <w:rPr>
          <w:sz w:val="24"/>
          <w:lang w:val="bg-BG"/>
        </w:rPr>
      </w:pPr>
      <w:r w:rsidRPr="009121CA">
        <w:rPr>
          <w:rStyle w:val="FootnoteReference"/>
          <w:sz w:val="24"/>
          <w:lang w:val="bg-BG"/>
        </w:rPr>
        <w:footnoteRef/>
      </w:r>
      <w:r w:rsidR="009121CA" w:rsidRPr="009121CA">
        <w:rPr>
          <w:sz w:val="24"/>
          <w:lang w:val="bg-BG"/>
        </w:rPr>
        <w:t xml:space="preserve"> </w:t>
      </w:r>
      <w:r w:rsidR="009121CA" w:rsidRPr="009121CA">
        <w:rPr>
          <w:sz w:val="24"/>
          <w:lang w:val="bg-BG"/>
        </w:rPr>
        <w:tab/>
      </w:r>
      <w:r w:rsidRPr="009121CA">
        <w:rPr>
          <w:sz w:val="24"/>
          <w:lang w:val="bg-BG"/>
        </w:rPr>
        <w:t>OВ C 449, 23.12.2020 г., стр. 6.</w:t>
      </w:r>
    </w:p>
  </w:footnote>
  <w:footnote w:id="15">
    <w:p w:rsidR="002A7CC9" w:rsidRPr="009121CA" w:rsidRDefault="002A7CC9" w:rsidP="009121CA">
      <w:pPr>
        <w:pStyle w:val="FootnoteText"/>
        <w:ind w:left="567" w:hanging="567"/>
        <w:rPr>
          <w:sz w:val="24"/>
          <w:lang w:val="bg-BG"/>
        </w:rPr>
      </w:pPr>
      <w:r w:rsidRPr="009121CA">
        <w:rPr>
          <w:rStyle w:val="FootnoteReference"/>
          <w:sz w:val="24"/>
          <w:lang w:val="bg-BG"/>
        </w:rPr>
        <w:footnoteRef/>
      </w:r>
      <w:r w:rsidR="009121CA" w:rsidRPr="009121CA">
        <w:rPr>
          <w:sz w:val="24"/>
          <w:lang w:val="bg-BG"/>
        </w:rPr>
        <w:t xml:space="preserve"> </w:t>
      </w:r>
      <w:r w:rsidR="009121CA" w:rsidRPr="009121CA">
        <w:rPr>
          <w:sz w:val="24"/>
          <w:lang w:val="bg-BG"/>
        </w:rPr>
        <w:tab/>
      </w:r>
      <w:r w:rsidRPr="009121CA">
        <w:rPr>
          <w:sz w:val="24"/>
          <w:lang w:val="bg-BG"/>
        </w:rPr>
        <w:t>ОВ C 347, 9.9.2022 г., стр. 97.</w:t>
      </w:r>
    </w:p>
  </w:footnote>
  <w:footnote w:id="16">
    <w:p w:rsidR="002A7CC9" w:rsidRPr="009121CA" w:rsidRDefault="002A7CC9" w:rsidP="009121CA">
      <w:pPr>
        <w:pStyle w:val="FootnoteText"/>
        <w:ind w:left="567" w:hanging="567"/>
        <w:rPr>
          <w:sz w:val="24"/>
          <w:lang w:val="bg-BG"/>
        </w:rPr>
      </w:pPr>
      <w:r w:rsidRPr="009121CA">
        <w:rPr>
          <w:rStyle w:val="FootnoteReference"/>
          <w:sz w:val="24"/>
          <w:lang w:val="bg-BG"/>
        </w:rPr>
        <w:footnoteRef/>
      </w:r>
      <w:r w:rsidR="009121CA" w:rsidRPr="009121CA">
        <w:rPr>
          <w:sz w:val="24"/>
          <w:lang w:val="bg-BG"/>
        </w:rPr>
        <w:t xml:space="preserve"> </w:t>
      </w:r>
      <w:r w:rsidR="009121CA" w:rsidRPr="009121CA">
        <w:rPr>
          <w:sz w:val="24"/>
          <w:lang w:val="bg-BG"/>
        </w:rPr>
        <w:tab/>
      </w:r>
      <w:r w:rsidRPr="009121CA">
        <w:rPr>
          <w:sz w:val="24"/>
          <w:lang w:val="bg-BG"/>
        </w:rPr>
        <w:t>ОВ C 347, 9.9.2022 г., стр. 202.</w:t>
      </w:r>
    </w:p>
  </w:footnote>
  <w:footnote w:id="17">
    <w:p w:rsidR="002A7CC9" w:rsidRPr="009121CA" w:rsidRDefault="002A7CC9" w:rsidP="009121CA">
      <w:pPr>
        <w:pStyle w:val="FootnoteText"/>
        <w:ind w:left="567" w:hanging="567"/>
        <w:rPr>
          <w:sz w:val="24"/>
          <w:lang w:val="bg-BG"/>
        </w:rPr>
      </w:pPr>
      <w:r w:rsidRPr="009121CA">
        <w:rPr>
          <w:rStyle w:val="FootnoteReference"/>
          <w:sz w:val="24"/>
          <w:lang w:val="bg-BG"/>
        </w:rPr>
        <w:footnoteRef/>
      </w:r>
      <w:r w:rsidR="009121CA" w:rsidRPr="009121CA">
        <w:rPr>
          <w:sz w:val="24"/>
          <w:lang w:val="bg-BG"/>
        </w:rPr>
        <w:t xml:space="preserve"> </w:t>
      </w:r>
      <w:r w:rsidR="009121CA" w:rsidRPr="009121CA">
        <w:rPr>
          <w:sz w:val="24"/>
          <w:lang w:val="bg-BG"/>
        </w:rPr>
        <w:tab/>
      </w:r>
      <w:r w:rsidRPr="009121CA">
        <w:rPr>
          <w:sz w:val="24"/>
          <w:lang w:val="bg-BG"/>
        </w:rPr>
        <w:t>Приети текстове, P9_TA(2023)0230.</w:t>
      </w:r>
    </w:p>
  </w:footnote>
  <w:footnote w:id="18">
    <w:p w:rsidR="002A7CC9" w:rsidRPr="009121CA" w:rsidRDefault="002A7CC9" w:rsidP="009121CA">
      <w:pPr>
        <w:pStyle w:val="FootnoteText"/>
        <w:ind w:left="567" w:hanging="567"/>
        <w:rPr>
          <w:sz w:val="24"/>
          <w:lang w:val="bg-BG"/>
        </w:rPr>
      </w:pPr>
      <w:r w:rsidRPr="009121CA">
        <w:rPr>
          <w:rStyle w:val="FootnoteReference"/>
          <w:sz w:val="24"/>
          <w:lang w:val="bg-BG"/>
        </w:rPr>
        <w:footnoteRef/>
      </w:r>
      <w:r w:rsidR="009121CA" w:rsidRPr="009121CA">
        <w:rPr>
          <w:sz w:val="24"/>
          <w:lang w:val="bg-BG"/>
        </w:rPr>
        <w:t xml:space="preserve"> </w:t>
      </w:r>
      <w:r w:rsidR="009121CA" w:rsidRPr="009121CA">
        <w:rPr>
          <w:sz w:val="24"/>
          <w:lang w:val="bg-BG"/>
        </w:rPr>
        <w:tab/>
      </w:r>
      <w:r w:rsidRPr="009121CA">
        <w:rPr>
          <w:sz w:val="24"/>
          <w:lang w:val="bg-BG"/>
        </w:rPr>
        <w:t>Приети текстове, P9_TA(2023)0330.</w:t>
      </w:r>
    </w:p>
  </w:footnote>
  <w:footnote w:id="19">
    <w:p w:rsidR="002A7CC9" w:rsidRPr="009121CA" w:rsidRDefault="002A7CC9" w:rsidP="009121CA">
      <w:pPr>
        <w:pStyle w:val="FootnoteText"/>
        <w:ind w:left="567" w:hanging="567"/>
        <w:rPr>
          <w:sz w:val="24"/>
          <w:lang w:val="bg-BG"/>
        </w:rPr>
      </w:pPr>
      <w:r w:rsidRPr="009121CA">
        <w:rPr>
          <w:rStyle w:val="FootnoteReference"/>
          <w:sz w:val="24"/>
          <w:lang w:val="bg-BG"/>
        </w:rPr>
        <w:footnoteRef/>
      </w:r>
      <w:r w:rsidR="009121CA" w:rsidRPr="009121CA">
        <w:rPr>
          <w:sz w:val="24"/>
          <w:lang w:val="bg-BG"/>
        </w:rPr>
        <w:t xml:space="preserve"> </w:t>
      </w:r>
      <w:r w:rsidR="009121CA" w:rsidRPr="009121CA">
        <w:rPr>
          <w:sz w:val="24"/>
          <w:lang w:val="bg-BG"/>
        </w:rPr>
        <w:tab/>
      </w:r>
      <w:r w:rsidRPr="009121CA">
        <w:rPr>
          <w:sz w:val="24"/>
          <w:lang w:val="bg-BG"/>
        </w:rPr>
        <w:t>ОВ C 99, 1.3.2022 г., стр. 96.</w:t>
      </w:r>
    </w:p>
  </w:footnote>
  <w:footnote w:id="20">
    <w:p w:rsidR="002A7CC9" w:rsidRPr="009121CA" w:rsidRDefault="002A7CC9" w:rsidP="009121CA">
      <w:pPr>
        <w:pStyle w:val="FootnoteText"/>
        <w:ind w:left="567" w:hanging="567"/>
        <w:rPr>
          <w:sz w:val="24"/>
          <w:lang w:val="bg-BG"/>
        </w:rPr>
      </w:pPr>
      <w:r w:rsidRPr="009121CA">
        <w:rPr>
          <w:rStyle w:val="FootnoteReference"/>
          <w:sz w:val="24"/>
          <w:lang w:val="bg-BG"/>
        </w:rPr>
        <w:footnoteRef/>
      </w:r>
      <w:r w:rsidR="009121CA" w:rsidRPr="009121CA">
        <w:rPr>
          <w:sz w:val="24"/>
          <w:lang w:val="bg-BG"/>
        </w:rPr>
        <w:t xml:space="preserve"> </w:t>
      </w:r>
      <w:r w:rsidR="009121CA" w:rsidRPr="009121CA">
        <w:rPr>
          <w:sz w:val="24"/>
          <w:lang w:val="bg-BG"/>
        </w:rPr>
        <w:tab/>
      </w:r>
      <w:r w:rsidRPr="009121CA">
        <w:rPr>
          <w:sz w:val="24"/>
          <w:lang w:val="bg-BG"/>
        </w:rPr>
        <w:t>ОВ C 347, 9.9.2022 г., стр. 110.</w:t>
      </w:r>
    </w:p>
  </w:footnote>
  <w:footnote w:id="21">
    <w:p w:rsidR="002A7CC9" w:rsidRPr="009121CA" w:rsidRDefault="002A7CC9" w:rsidP="009121CA">
      <w:pPr>
        <w:pStyle w:val="FootnoteText"/>
        <w:ind w:left="567" w:hanging="567"/>
        <w:rPr>
          <w:sz w:val="24"/>
          <w:lang w:val="bg-BG"/>
        </w:rPr>
      </w:pPr>
      <w:r w:rsidRPr="009121CA">
        <w:rPr>
          <w:rStyle w:val="FootnoteReference"/>
          <w:sz w:val="24"/>
          <w:lang w:val="bg-BG"/>
        </w:rPr>
        <w:footnoteRef/>
      </w:r>
      <w:r w:rsidR="009121CA" w:rsidRPr="009121CA">
        <w:rPr>
          <w:sz w:val="24"/>
          <w:lang w:val="bg-BG"/>
        </w:rPr>
        <w:t xml:space="preserve"> </w:t>
      </w:r>
      <w:r w:rsidR="009121CA" w:rsidRPr="009121CA">
        <w:rPr>
          <w:sz w:val="24"/>
          <w:lang w:val="bg-BG"/>
        </w:rPr>
        <w:tab/>
      </w:r>
      <w:r w:rsidRPr="009121CA">
        <w:rPr>
          <w:sz w:val="24"/>
          <w:lang w:val="bg-BG"/>
        </w:rPr>
        <w:t>ОВ C 263, 25.7.2018 г., стр. 98.</w:t>
      </w:r>
    </w:p>
  </w:footnote>
  <w:footnote w:id="22">
    <w:p w:rsidR="002A7CC9" w:rsidRPr="009121CA" w:rsidRDefault="002A7CC9" w:rsidP="009121CA">
      <w:pPr>
        <w:pStyle w:val="FootnoteText"/>
        <w:ind w:left="567" w:hanging="567"/>
        <w:rPr>
          <w:sz w:val="24"/>
          <w:lang w:val="bg-BG"/>
        </w:rPr>
      </w:pPr>
      <w:r w:rsidRPr="009121CA">
        <w:rPr>
          <w:rStyle w:val="FootnoteReference"/>
          <w:sz w:val="24"/>
          <w:lang w:val="bg-BG"/>
        </w:rPr>
        <w:footnoteRef/>
      </w:r>
      <w:r w:rsidR="009121CA" w:rsidRPr="009121CA">
        <w:rPr>
          <w:sz w:val="24"/>
          <w:lang w:val="bg-BG"/>
        </w:rPr>
        <w:t xml:space="preserve"> </w:t>
      </w:r>
      <w:r w:rsidR="009121CA" w:rsidRPr="009121CA">
        <w:rPr>
          <w:sz w:val="24"/>
          <w:lang w:val="bg-BG"/>
        </w:rPr>
        <w:tab/>
      </w:r>
      <w:r w:rsidRPr="009121CA">
        <w:rPr>
          <w:sz w:val="24"/>
          <w:lang w:val="bg-BG"/>
        </w:rPr>
        <w:t>Евростат, „</w:t>
      </w:r>
      <w:hyperlink r:id="rId1" w:history="1">
        <w:r w:rsidRPr="009121CA">
          <w:rPr>
            <w:rStyle w:val="Hyperlink"/>
            <w:sz w:val="24"/>
            <w:lang w:val="bg-BG"/>
          </w:rPr>
          <w:t xml:space="preserve">Архив: </w:t>
        </w:r>
      </w:hyperlink>
      <w:hyperlink r:id="rId2" w:history="1">
        <w:r w:rsidRPr="009121CA">
          <w:rPr>
            <w:rStyle w:val="Hyperlink"/>
            <w:sz w:val="24"/>
            <w:lang w:val="bg-BG"/>
          </w:rPr>
          <w:t xml:space="preserve"> </w:t>
        </w:r>
      </w:hyperlink>
      <w:hyperlink r:id="rId3" w:history="1">
        <w:r w:rsidRPr="009121CA">
          <w:rPr>
            <w:rStyle w:val="Hyperlink"/>
            <w:sz w:val="24"/>
            <w:lang w:val="bg-BG"/>
          </w:rPr>
          <w:t>EU citizens living in another Member State - statistical overview</w:t>
        </w:r>
      </w:hyperlink>
      <w:r w:rsidRPr="009121CA">
        <w:rPr>
          <w:sz w:val="24"/>
          <w:lang w:val="bg-BG"/>
        </w:rPr>
        <w:t>“ (Граждани на ЕС, които живеят в друга държава членка – статистически преглед).</w:t>
      </w:r>
    </w:p>
  </w:footnote>
  <w:footnote w:id="23">
    <w:p w:rsidR="002A7CC9" w:rsidRPr="009121CA" w:rsidRDefault="002A7CC9" w:rsidP="009121CA">
      <w:pPr>
        <w:pStyle w:val="FootnoteText"/>
        <w:ind w:left="567" w:hanging="567"/>
        <w:rPr>
          <w:sz w:val="24"/>
          <w:lang w:val="bg-BG"/>
        </w:rPr>
      </w:pPr>
      <w:r w:rsidRPr="009121CA">
        <w:rPr>
          <w:rStyle w:val="FootnoteReference"/>
          <w:sz w:val="24"/>
          <w:lang w:val="bg-BG"/>
        </w:rPr>
        <w:footnoteRef/>
      </w:r>
      <w:r w:rsidR="009121CA" w:rsidRPr="009121CA">
        <w:rPr>
          <w:sz w:val="24"/>
          <w:lang w:val="bg-BG"/>
        </w:rPr>
        <w:t xml:space="preserve"> </w:t>
      </w:r>
      <w:r w:rsidR="009121CA" w:rsidRPr="009121CA">
        <w:rPr>
          <w:sz w:val="24"/>
          <w:lang w:val="bg-BG"/>
        </w:rPr>
        <w:tab/>
      </w:r>
      <w:r w:rsidRPr="009121CA">
        <w:rPr>
          <w:sz w:val="24"/>
          <w:lang w:val="bg-BG"/>
        </w:rPr>
        <w:t>Европейска комисия, „Гражданство на ЕС за 2020 г. – окончателен доклад: Резултати от обществената консултация относно правата, произтичащи от гражданството на ЕС през 2020 г.“, декември 2020 г.</w:t>
      </w:r>
    </w:p>
  </w:footnote>
  <w:footnote w:id="24">
    <w:p w:rsidR="002A7CC9" w:rsidRPr="009121CA" w:rsidRDefault="002A7CC9" w:rsidP="009121CA">
      <w:pPr>
        <w:pStyle w:val="FootnoteText"/>
        <w:ind w:left="567" w:hanging="567"/>
        <w:rPr>
          <w:sz w:val="24"/>
          <w:lang w:val="bg-BG"/>
        </w:rPr>
      </w:pPr>
      <w:r w:rsidRPr="009121CA">
        <w:rPr>
          <w:rStyle w:val="FootnoteReference"/>
          <w:sz w:val="24"/>
          <w:lang w:val="bg-BG"/>
        </w:rPr>
        <w:footnoteRef/>
      </w:r>
      <w:r w:rsidR="009121CA" w:rsidRPr="009121CA">
        <w:rPr>
          <w:sz w:val="24"/>
          <w:lang w:val="bg-BG"/>
        </w:rPr>
        <w:t xml:space="preserve"> </w:t>
      </w:r>
      <w:r w:rsidR="009121CA" w:rsidRPr="009121CA">
        <w:rPr>
          <w:sz w:val="24"/>
          <w:lang w:val="bg-BG"/>
        </w:rPr>
        <w:tab/>
      </w:r>
      <w:r w:rsidRPr="009121CA">
        <w:rPr>
          <w:sz w:val="24"/>
          <w:lang w:val="bg-BG"/>
        </w:rPr>
        <w:t>По данни на: статистически данни на Общността за доходите и условията на живот (EU-SILC) и проучване на работната сила в ЕС (EU-LFS); Grammenos, S. и Priestley, M., „Europe 2020 data and people with disabilities – tables“ (Данни за Европа за 2020 г. и хората с увреждания – таблици). Евростат, 2020 г.</w:t>
      </w:r>
    </w:p>
  </w:footnote>
  <w:footnote w:id="25">
    <w:p w:rsidR="002A7CC9" w:rsidRPr="009121CA" w:rsidRDefault="002A7CC9" w:rsidP="009121CA">
      <w:pPr>
        <w:pStyle w:val="FootnoteText"/>
        <w:ind w:left="567" w:hanging="567"/>
        <w:rPr>
          <w:sz w:val="24"/>
          <w:lang w:val="bg-BG"/>
        </w:rPr>
      </w:pPr>
      <w:r w:rsidRPr="009121CA">
        <w:rPr>
          <w:rStyle w:val="FootnoteReference"/>
          <w:sz w:val="24"/>
          <w:lang w:val="bg-BG"/>
        </w:rPr>
        <w:footnoteRef/>
      </w:r>
      <w:r w:rsidR="009121CA" w:rsidRPr="009121CA">
        <w:rPr>
          <w:sz w:val="24"/>
          <w:lang w:val="bg-BG"/>
        </w:rPr>
        <w:t xml:space="preserve"> </w:t>
      </w:r>
      <w:r w:rsidR="009121CA" w:rsidRPr="009121CA">
        <w:rPr>
          <w:sz w:val="24"/>
          <w:lang w:val="bg-BG"/>
        </w:rPr>
        <w:tab/>
      </w:r>
      <w:r w:rsidRPr="009121CA">
        <w:rPr>
          <w:sz w:val="24"/>
          <w:lang w:val="bg-BG"/>
        </w:rPr>
        <w:t>Съобщение на Комисията от 17 юни 2022 г., озаглавено „Конференция за бъдещето на Европа – претворяване на визията в конкретни действия“ (COM(2022)0404).</w:t>
      </w:r>
    </w:p>
  </w:footnote>
  <w:footnote w:id="26">
    <w:p w:rsidR="002A7CC9" w:rsidRPr="009121CA" w:rsidRDefault="002A7CC9" w:rsidP="009121CA">
      <w:pPr>
        <w:pStyle w:val="FootnoteText"/>
        <w:ind w:left="567" w:hanging="567"/>
        <w:rPr>
          <w:sz w:val="24"/>
          <w:lang w:val="bg-BG"/>
        </w:rPr>
      </w:pPr>
      <w:r w:rsidRPr="009121CA">
        <w:rPr>
          <w:rStyle w:val="FootnoteReference"/>
          <w:sz w:val="24"/>
          <w:lang w:val="bg-BG"/>
        </w:rPr>
        <w:footnoteRef/>
      </w:r>
      <w:r w:rsidR="009121CA" w:rsidRPr="009121CA">
        <w:rPr>
          <w:sz w:val="24"/>
          <w:lang w:val="bg-BG"/>
        </w:rPr>
        <w:t xml:space="preserve"> </w:t>
      </w:r>
      <w:r w:rsidR="009121CA" w:rsidRPr="009121CA">
        <w:rPr>
          <w:sz w:val="24"/>
          <w:lang w:val="bg-BG"/>
        </w:rPr>
        <w:tab/>
      </w:r>
      <w:r w:rsidRPr="009121CA">
        <w:rPr>
          <w:sz w:val="24"/>
          <w:lang w:val="bg-BG"/>
        </w:rPr>
        <w:t xml:space="preserve">Регламент (ЕО) № 1049/2001 на Европейския парламент и на Съвета от 30 май 2001 г. относно публичния достъп до документи на Европейския парламент, на Съвета и на Комисията </w:t>
      </w:r>
      <w:r w:rsidR="00E41244">
        <w:rPr>
          <w:sz w:val="24"/>
          <w:lang w:val="bg-BG"/>
        </w:rPr>
        <w:t>(</w:t>
      </w:r>
      <w:r w:rsidRPr="009121CA">
        <w:rPr>
          <w:sz w:val="24"/>
          <w:lang w:val="bg-BG"/>
        </w:rPr>
        <w:t>ОВ L 145, 31.5.2001 г., стр. 43</w:t>
      </w:r>
      <w:r w:rsidR="00E41244">
        <w:rPr>
          <w:sz w:val="24"/>
          <w:lang w:val="bg-BG"/>
        </w:rPr>
        <w:t>)</w:t>
      </w:r>
      <w:r w:rsidRPr="009121CA">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21C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21C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21C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6/2023"/>
    <w:docVar w:name="dvlangue" w:val="BG"/>
    <w:docVar w:name="dvnumam" w:val="0"/>
    <w:docVar w:name="dvpe" w:val="754.647"/>
    <w:docVar w:name="dvrapporteur" w:val="Докладчик: "/>
    <w:docVar w:name="dvtitre" w:val="Резолюция на Европейския парламент от ... 2024 г. относно прилагането на разпоредбите на Договора относно гражданството на Съюза(2023/2085(INI))"/>
  </w:docVars>
  <w:rsids>
    <w:rsidRoot w:val="000A7ADB"/>
    <w:rsid w:val="00002272"/>
    <w:rsid w:val="00064002"/>
    <w:rsid w:val="000677B9"/>
    <w:rsid w:val="000831BA"/>
    <w:rsid w:val="000A42CC"/>
    <w:rsid w:val="000A62D8"/>
    <w:rsid w:val="000A7ADB"/>
    <w:rsid w:val="000E7DD9"/>
    <w:rsid w:val="0010095E"/>
    <w:rsid w:val="00125B37"/>
    <w:rsid w:val="00187494"/>
    <w:rsid w:val="001F32AE"/>
    <w:rsid w:val="002767FF"/>
    <w:rsid w:val="002A7CC9"/>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20F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21CA"/>
    <w:rsid w:val="00930C23"/>
    <w:rsid w:val="0093193B"/>
    <w:rsid w:val="009509D8"/>
    <w:rsid w:val="00950B64"/>
    <w:rsid w:val="0096568A"/>
    <w:rsid w:val="009760A8"/>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1244"/>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CD6ED5"/>
  <w15:chartTrackingRefBased/>
  <w15:docId w15:val="{CD1645BC-75D4-4857-8D7B-2500F1CAA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A7CC9"/>
    <w:pPr>
      <w:spacing w:after="240"/>
      <w:ind w:left="567" w:hanging="567"/>
    </w:pPr>
  </w:style>
  <w:style w:type="character" w:styleId="Hyperlink">
    <w:name w:val="Hyperlink"/>
    <w:basedOn w:val="DefaultParagraphFont"/>
    <w:uiPriority w:val="99"/>
    <w:unhideWhenUsed/>
    <w:rsid w:val="002A7CC9"/>
    <w:rPr>
      <w:color w:val="0563C1" w:themeColor="hyperlink"/>
      <w:u w:val="single"/>
    </w:rPr>
  </w:style>
  <w:style w:type="paragraph" w:customStyle="1" w:styleId="Normal12">
    <w:name w:val="Normal12"/>
    <w:basedOn w:val="Normal"/>
    <w:rsid w:val="002A7CC9"/>
    <w:pPr>
      <w:spacing w:after="240"/>
    </w:pPr>
  </w:style>
  <w:style w:type="character" w:customStyle="1" w:styleId="doceo-font-family-base">
    <w:name w:val="doceo-font-family-base"/>
    <w:basedOn w:val="DefaultParagraphFont"/>
    <w:rsid w:val="002A7CC9"/>
  </w:style>
  <w:style w:type="character" w:customStyle="1" w:styleId="y2iqfc">
    <w:name w:val="y2iqfc"/>
    <w:basedOn w:val="DefaultParagraphFont"/>
    <w:rsid w:val="002A7CC9"/>
  </w:style>
  <w:style w:type="character" w:customStyle="1" w:styleId="Bold">
    <w:name w:val="Bold"/>
    <w:uiPriority w:val="1"/>
    <w:rsid w:val="002A7CC9"/>
    <w:rPr>
      <w:b/>
      <w:bCs w:val="0"/>
    </w:rPr>
  </w:style>
  <w:style w:type="character" w:styleId="Emphasis">
    <w:name w:val="Emphasis"/>
    <w:basedOn w:val="DefaultParagraphFont"/>
    <w:uiPriority w:val="20"/>
    <w:qFormat/>
    <w:rsid w:val="002A7CC9"/>
    <w:rPr>
      <w:i/>
      <w:iCs/>
    </w:rPr>
  </w:style>
  <w:style w:type="paragraph" w:customStyle="1" w:styleId="AMNumberTabs">
    <w:name w:val="AMNumberTabs"/>
    <w:basedOn w:val="Normal"/>
    <w:rsid w:val="002A7CC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NormalHanging12aChar">
    <w:name w:val="NormalHanging12a Char"/>
    <w:basedOn w:val="DefaultParagraphFont"/>
    <w:link w:val="NormalHanging12a"/>
    <w:locked/>
    <w:rsid w:val="002A7CC9"/>
    <w:rPr>
      <w:sz w:val="24"/>
      <w:lang w:val="bg-BG"/>
    </w:rPr>
  </w:style>
  <w:style w:type="paragraph" w:styleId="BalloonText">
    <w:name w:val="Balloon Text"/>
    <w:basedOn w:val="Normal"/>
    <w:link w:val="BalloonTextChar"/>
    <w:rsid w:val="00E41244"/>
    <w:rPr>
      <w:rFonts w:ascii="Segoe UI" w:hAnsi="Segoe UI" w:cs="Segoe UI"/>
      <w:sz w:val="18"/>
      <w:szCs w:val="18"/>
    </w:rPr>
  </w:style>
  <w:style w:type="character" w:customStyle="1" w:styleId="BalloonTextChar">
    <w:name w:val="Balloon Text Char"/>
    <w:basedOn w:val="DefaultParagraphFont"/>
    <w:link w:val="BalloonText"/>
    <w:rsid w:val="00E41244"/>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eurostat/statistics-explained/index.php?title=Archive:EU_citizens_living_in_another_Member_State_-_statistical_overview" TargetMode="External"/><Relationship Id="rId2" Type="http://schemas.openxmlformats.org/officeDocument/2006/relationships/hyperlink" Target="https://ec.europa.eu/eurostat/statistics-explained/index.php?title=Archive:EU_citizens_living_in_another_Member_State_-_statistical_overview" TargetMode="External"/><Relationship Id="rId1" Type="http://schemas.openxmlformats.org/officeDocument/2006/relationships/hyperlink" Target="https://ec.europa.eu/eurostat/statistics-explained/index.php?title=Archive:EU_citizens_living_in_another_Member_State_-_statistical_over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942E18-420C-489C-95B1-404561BBC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4453</Words>
  <Characters>25633</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DIMITROV Cvetan</cp:lastModifiedBy>
  <cp:revision>2</cp:revision>
  <cp:lastPrinted>2004-11-19T15:42:00Z</cp:lastPrinted>
  <dcterms:created xsi:type="dcterms:W3CDTF">2024-02-14T13:29:00Z</dcterms:created>
  <dcterms:modified xsi:type="dcterms:W3CDTF">2024-02-14T13:29:00Z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A9-0436/2023</vt:lpwstr>
  </property>
  <property fmtid="{D5CDD505-2E9C-101B-9397-08002B2CF9AE}" pid="4" name="&lt;Type&gt;">
    <vt:lpwstr>RR</vt:lpwstr>
  </property>
</Properties>
</file>