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027C" w:rsidTr="0010095E">
        <w:trPr>
          <w:trHeight w:hRule="exact" w:val="1418"/>
        </w:trPr>
        <w:tc>
          <w:tcPr>
            <w:tcW w:w="6804" w:type="dxa"/>
            <w:shd w:val="clear" w:color="auto" w:fill="auto"/>
            <w:vAlign w:val="center"/>
          </w:tcPr>
          <w:p w:rsidR="00751A4A" w:rsidRPr="00B7027C" w:rsidRDefault="00B91678" w:rsidP="0010095E">
            <w:pPr>
              <w:pStyle w:val="EPName"/>
            </w:pPr>
            <w:r w:rsidRPr="00B7027C">
              <w:t>Evropský parlament</w:t>
            </w:r>
          </w:p>
          <w:p w:rsidR="00751A4A" w:rsidRPr="00B7027C" w:rsidRDefault="00817416" w:rsidP="00756632">
            <w:pPr>
              <w:pStyle w:val="EPTerm"/>
              <w:rPr>
                <w:rStyle w:val="HideTWBExt"/>
                <w:noProof w:val="0"/>
                <w:vanish w:val="0"/>
                <w:color w:val="auto"/>
              </w:rPr>
            </w:pPr>
            <w:r w:rsidRPr="00B7027C">
              <w:t>2019-2024</w:t>
            </w:r>
          </w:p>
        </w:tc>
        <w:tc>
          <w:tcPr>
            <w:tcW w:w="2268" w:type="dxa"/>
            <w:shd w:val="clear" w:color="auto" w:fill="auto"/>
          </w:tcPr>
          <w:p w:rsidR="00751A4A" w:rsidRPr="00B7027C" w:rsidRDefault="00187494" w:rsidP="0010095E">
            <w:pPr>
              <w:pStyle w:val="EPLogo"/>
            </w:pPr>
            <w:r w:rsidRPr="00B702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027C" w:rsidRDefault="00D058B8" w:rsidP="004C5D52">
      <w:pPr>
        <w:pStyle w:val="LineTop"/>
      </w:pPr>
    </w:p>
    <w:p w:rsidR="00680577" w:rsidRPr="00B7027C" w:rsidRDefault="00B91678" w:rsidP="00680577">
      <w:pPr>
        <w:pStyle w:val="EPBodyTA1"/>
      </w:pPr>
      <w:r w:rsidRPr="00B7027C">
        <w:t>PŘIJATÉ TEXTY</w:t>
      </w:r>
    </w:p>
    <w:p w:rsidR="00D058B8" w:rsidRPr="00B7027C" w:rsidRDefault="00D058B8" w:rsidP="00D058B8">
      <w:pPr>
        <w:pStyle w:val="LineBottom"/>
      </w:pPr>
    </w:p>
    <w:p w:rsidR="00B91678" w:rsidRPr="00B7027C" w:rsidRDefault="00B91678" w:rsidP="00B91678">
      <w:pPr>
        <w:pStyle w:val="ATHeading1"/>
      </w:pPr>
      <w:bookmarkStart w:id="0" w:name="TANumber"/>
      <w:r w:rsidRPr="00B7027C">
        <w:t>P9_TA(2024)00</w:t>
      </w:r>
      <w:bookmarkEnd w:id="0"/>
      <w:r w:rsidR="000375C9">
        <w:t>24</w:t>
      </w:r>
    </w:p>
    <w:p w:rsidR="00B91678" w:rsidRPr="00B7027C" w:rsidRDefault="00B91678" w:rsidP="00B91678">
      <w:pPr>
        <w:pStyle w:val="ATHeading2"/>
      </w:pPr>
      <w:bookmarkStart w:id="1" w:name="title"/>
      <w:r w:rsidRPr="00B7027C">
        <w:t>Provádění ustanovení Smlouvy o občanství EU</w:t>
      </w:r>
      <w:bookmarkEnd w:id="1"/>
    </w:p>
    <w:p w:rsidR="00B91678" w:rsidRPr="00B7027C" w:rsidRDefault="00B91678" w:rsidP="00B91678">
      <w:pPr>
        <w:rPr>
          <w:i/>
          <w:vanish/>
        </w:rPr>
      </w:pPr>
      <w:r w:rsidRPr="00B7027C">
        <w:rPr>
          <w:i/>
        </w:rPr>
        <w:fldChar w:fldCharType="begin"/>
      </w:r>
      <w:r w:rsidRPr="00B7027C">
        <w:rPr>
          <w:i/>
        </w:rPr>
        <w:instrText xml:space="preserve"> TC"(</w:instrText>
      </w:r>
      <w:bookmarkStart w:id="2" w:name="DocNumber"/>
      <w:r w:rsidRPr="00B7027C">
        <w:rPr>
          <w:i/>
        </w:rPr>
        <w:instrText>A9-0436/2023</w:instrText>
      </w:r>
      <w:bookmarkEnd w:id="2"/>
      <w:r w:rsidRPr="00B7027C">
        <w:rPr>
          <w:i/>
        </w:rPr>
        <w:instrText xml:space="preserve"> - Zpravodajka: </w:instrText>
      </w:r>
      <w:proofErr w:type="spellStart"/>
      <w:r w:rsidRPr="00B7027C">
        <w:rPr>
          <w:i/>
        </w:rPr>
        <w:instrText>Maite</w:instrText>
      </w:r>
      <w:proofErr w:type="spellEnd"/>
      <w:r w:rsidRPr="00B7027C">
        <w:rPr>
          <w:i/>
        </w:rPr>
        <w:instrText xml:space="preserve"> </w:instrText>
      </w:r>
      <w:proofErr w:type="spellStart"/>
      <w:r w:rsidRPr="00B7027C">
        <w:rPr>
          <w:i/>
        </w:rPr>
        <w:instrText>Pagazaurtundúa</w:instrText>
      </w:r>
      <w:proofErr w:type="spellEnd"/>
      <w:r w:rsidRPr="00B7027C">
        <w:rPr>
          <w:i/>
        </w:rPr>
        <w:instrText xml:space="preserve">)"\l3 \n&gt; \* MERGEFORMAT </w:instrText>
      </w:r>
      <w:r w:rsidRPr="00B7027C">
        <w:rPr>
          <w:i/>
        </w:rPr>
        <w:fldChar w:fldCharType="end"/>
      </w:r>
    </w:p>
    <w:p w:rsidR="00B91678" w:rsidRPr="00B7027C" w:rsidRDefault="00B91678" w:rsidP="00B91678">
      <w:pPr>
        <w:rPr>
          <w:vanish/>
        </w:rPr>
      </w:pPr>
      <w:bookmarkStart w:id="3" w:name="Commission"/>
      <w:r w:rsidRPr="00B7027C">
        <w:rPr>
          <w:vanish/>
        </w:rPr>
        <w:t>Výbor pro ústavní záležitosti</w:t>
      </w:r>
      <w:bookmarkEnd w:id="3"/>
    </w:p>
    <w:p w:rsidR="00B91678" w:rsidRPr="00B7027C" w:rsidRDefault="00B91678" w:rsidP="00B91678">
      <w:pPr>
        <w:rPr>
          <w:vanish/>
        </w:rPr>
      </w:pPr>
      <w:bookmarkStart w:id="4" w:name="PE"/>
      <w:r w:rsidRPr="00B7027C">
        <w:rPr>
          <w:vanish/>
        </w:rPr>
        <w:t>PE754.647</w:t>
      </w:r>
      <w:bookmarkEnd w:id="4"/>
    </w:p>
    <w:p w:rsidR="00B91678" w:rsidRPr="00B7027C" w:rsidRDefault="00B91678" w:rsidP="00B91678">
      <w:pPr>
        <w:pStyle w:val="ATHeading3"/>
      </w:pPr>
      <w:bookmarkStart w:id="5" w:name="Sujet"/>
      <w:r w:rsidRPr="00B7027C">
        <w:t xml:space="preserve">Usnesení </w:t>
      </w:r>
      <w:r w:rsidR="000375C9">
        <w:t>Evropského parlamentu ze dne 17</w:t>
      </w:r>
      <w:r w:rsidR="00C71866">
        <w:t>. ledna</w:t>
      </w:r>
      <w:r w:rsidRPr="00B7027C">
        <w:t xml:space="preserve"> 2024 o provádění ustanovení Smlouvy o občanství EU</w:t>
      </w:r>
      <w:bookmarkEnd w:id="5"/>
      <w:r w:rsidRPr="00B7027C">
        <w:t xml:space="preserve"> </w:t>
      </w:r>
      <w:bookmarkStart w:id="6" w:name="References"/>
      <w:r w:rsidRPr="00B7027C">
        <w:t>(2023/2085(INI))</w:t>
      </w:r>
      <w:bookmarkEnd w:id="6"/>
    </w:p>
    <w:p w:rsidR="00B91678" w:rsidRPr="00B7027C" w:rsidRDefault="00B91678" w:rsidP="00B91678"/>
    <w:p w:rsidR="0071320D" w:rsidRPr="00B7027C" w:rsidRDefault="0071320D" w:rsidP="0071320D">
      <w:pPr>
        <w:pStyle w:val="Normal12"/>
        <w:jc w:val="both"/>
      </w:pPr>
      <w:bookmarkStart w:id="7" w:name="TextBodyBegin"/>
      <w:bookmarkEnd w:id="7"/>
      <w:r w:rsidRPr="00B7027C">
        <w:rPr>
          <w:i/>
        </w:rPr>
        <w:t>Evropský parlament</w:t>
      </w:r>
      <w:r w:rsidRPr="00B7027C">
        <w:t>,</w:t>
      </w:r>
    </w:p>
    <w:p w:rsidR="0071320D" w:rsidRPr="00B7027C" w:rsidRDefault="0071320D" w:rsidP="0071320D">
      <w:pPr>
        <w:pStyle w:val="NormalHanging12a"/>
      </w:pPr>
      <w:r w:rsidRPr="00B7027C">
        <w:t>–</w:t>
      </w:r>
      <w:r w:rsidRPr="00B7027C">
        <w:tab/>
        <w:t>s ohledem na články 2, 3, 6, 9, 10, 11, 12, 21 a 23 Smlouvy o Evropské unii (SEU),</w:t>
      </w:r>
    </w:p>
    <w:p w:rsidR="0071320D" w:rsidRPr="00B7027C" w:rsidRDefault="0071320D" w:rsidP="0071320D">
      <w:pPr>
        <w:pStyle w:val="NormalHanging12a"/>
      </w:pPr>
      <w:r w:rsidRPr="00B7027C">
        <w:t>–</w:t>
      </w:r>
      <w:r w:rsidRPr="00B7027C">
        <w:tab/>
        <w:t>s ohledem na články 15, 20, 21, 22, 24, 26, 45, 46, 47, 48, 153 a 165 Smlouvy o fungování Evropské unie (SFEU),</w:t>
      </w:r>
    </w:p>
    <w:p w:rsidR="0071320D" w:rsidRPr="00B7027C" w:rsidRDefault="0071320D" w:rsidP="0071320D">
      <w:pPr>
        <w:pStyle w:val="NormalHanging12a"/>
      </w:pPr>
      <w:r w:rsidRPr="00B7027C">
        <w:t>–</w:t>
      </w:r>
      <w:r w:rsidRPr="00B7027C">
        <w:tab/>
        <w:t>s ohledem na Listinu základních práv Evropské unie,</w:t>
      </w:r>
    </w:p>
    <w:p w:rsidR="0071320D" w:rsidRPr="00B7027C" w:rsidRDefault="0071320D" w:rsidP="0071320D">
      <w:pPr>
        <w:pStyle w:val="NormalHanging12a"/>
      </w:pPr>
      <w:r w:rsidRPr="00B7027C">
        <w:t>–</w:t>
      </w:r>
      <w:r w:rsidRPr="00B7027C">
        <w:tab/>
        <w:t>s ohledem na směrnici Evropského parlamentu a Rady 2004/38/ES ze dne 29. dubna 2004 o právu občanů Unie a jejich rodinných příslušníků svobodně se pohybovat a pobývat na území členských států, o změně nařízení (EHS) č. 1612/68 a o zrušení směrnic 64/221/EHS, 68/360/EHS, 72/194/EHS, 73/148/EHS, 75/34/EHS, 75/35/EHS, 90/364/EHS, 90/365/EHS a 93/96/EHS</w:t>
      </w:r>
      <w:r w:rsidRPr="00B7027C">
        <w:rPr>
          <w:rStyle w:val="FootnoteReference"/>
          <w:color w:val="000000"/>
        </w:rPr>
        <w:footnoteReference w:id="1"/>
      </w:r>
      <w:r w:rsidRPr="00B7027C">
        <w:t>,</w:t>
      </w:r>
    </w:p>
    <w:p w:rsidR="0071320D" w:rsidRPr="00B7027C" w:rsidRDefault="0071320D" w:rsidP="0071320D">
      <w:pPr>
        <w:pStyle w:val="NormalHanging12a"/>
      </w:pPr>
      <w:r w:rsidRPr="00B7027C">
        <w:t>–</w:t>
      </w:r>
      <w:r w:rsidRPr="00B7027C">
        <w:tab/>
        <w:t>s ohledem na nařízení Evropského parlamentu a Rady (EU) 2021/692 ze dne 28. dubna 2021, kterým se zavádí program Občané, rovnost, práva a hodnoty a zrušují nařízení Evropského parlamentu a Rady (EU) č. 1381/2013 a nařízení Rady (EU) č. 390/2014</w:t>
      </w:r>
      <w:r w:rsidRPr="00B7027C">
        <w:rPr>
          <w:rStyle w:val="FootnoteReference"/>
          <w:color w:val="000000"/>
        </w:rPr>
        <w:footnoteReference w:id="2"/>
      </w:r>
      <w:r w:rsidRPr="00B7027C">
        <w:t>,</w:t>
      </w:r>
    </w:p>
    <w:p w:rsidR="0071320D" w:rsidRPr="00B7027C" w:rsidRDefault="0071320D" w:rsidP="0071320D">
      <w:pPr>
        <w:pStyle w:val="NormalHanging12a"/>
      </w:pPr>
      <w:r w:rsidRPr="00B7027C">
        <w:t>–</w:t>
      </w:r>
      <w:r w:rsidRPr="00B7027C">
        <w:tab/>
        <w:t>s ohledem na nařízení Evropského parlamentu a Rady (EU) č. 492/2011 ze dne 5. dubna 2011 o volném pohybu pracovníků uvnitř Unie</w:t>
      </w:r>
      <w:r w:rsidRPr="00B7027C">
        <w:rPr>
          <w:rStyle w:val="FootnoteReference"/>
          <w:color w:val="000000"/>
        </w:rPr>
        <w:footnoteReference w:id="3"/>
      </w:r>
      <w:r w:rsidRPr="00B7027C">
        <w:t>,</w:t>
      </w:r>
    </w:p>
    <w:p w:rsidR="0071320D" w:rsidRPr="00B7027C" w:rsidRDefault="0071320D" w:rsidP="0071320D">
      <w:pPr>
        <w:pStyle w:val="NormalHanging12a"/>
      </w:pPr>
      <w:r w:rsidRPr="00B7027C">
        <w:t>–</w:t>
      </w:r>
      <w:r w:rsidRPr="00B7027C">
        <w:tab/>
        <w:t xml:space="preserve">s ohledem na nařízení Evropského parlamentu a Rady (EU) 2019/1149 ze dne 20. června 2019, kterým se zřizuje Evropský orgán pro pracovní záležitosti, mění nařízení (ES) č. 883/2004, (EU) č. 492/2011 a (EU) 2016/589 a zrušuje rozhodnutí (EU) </w:t>
      </w:r>
      <w:r w:rsidRPr="00B7027C">
        <w:lastRenderedPageBreak/>
        <w:t>2016/344</w:t>
      </w:r>
      <w:r w:rsidRPr="00B7027C">
        <w:rPr>
          <w:rStyle w:val="FootnoteReference"/>
          <w:color w:val="000000"/>
        </w:rPr>
        <w:footnoteReference w:id="4"/>
      </w:r>
      <w:r w:rsidRPr="00B7027C">
        <w:t>,</w:t>
      </w:r>
    </w:p>
    <w:p w:rsidR="0071320D" w:rsidRPr="00B7027C" w:rsidRDefault="0071320D" w:rsidP="0071320D">
      <w:pPr>
        <w:pStyle w:val="NormalHanging12a"/>
      </w:pPr>
      <w:r w:rsidRPr="00B7027C">
        <w:t>–</w:t>
      </w:r>
      <w:r w:rsidRPr="00B7027C">
        <w:tab/>
        <w:t>s ohledem na směrnici Evropského parlamentu a Rady (EU) 2018/957 ze dne 28. června 2018, kterou se mění směrnice 96/71/ES o vysílání pracovníků v rámci poskytování služeb</w:t>
      </w:r>
      <w:r w:rsidRPr="00B7027C">
        <w:rPr>
          <w:rStyle w:val="FootnoteReference"/>
          <w:color w:val="000000"/>
        </w:rPr>
        <w:footnoteReference w:id="5"/>
      </w:r>
      <w:r w:rsidRPr="00B7027C">
        <w:t>,</w:t>
      </w:r>
    </w:p>
    <w:p w:rsidR="0071320D" w:rsidRPr="00B7027C" w:rsidRDefault="0071320D" w:rsidP="0071320D">
      <w:pPr>
        <w:pStyle w:val="NormalHanging12a"/>
      </w:pPr>
      <w:r w:rsidRPr="00B7027C">
        <w:t>–</w:t>
      </w:r>
      <w:r w:rsidRPr="00B7027C">
        <w:tab/>
        <w:t>s ohledem na nařízení Evropského parlamentu a Rady (EU) 2016/589 ze dne 13. dubna 2016 o Evropské síti služeb zaměstnanosti (EURES), přístupu pracovníků ke službám mobility a další integraci trhů práce a o změně nařízení (EU) č. 492/2011 a (EU) č. 1296/2013</w:t>
      </w:r>
      <w:r w:rsidRPr="00B7027C">
        <w:rPr>
          <w:rStyle w:val="FootnoteReference"/>
          <w:color w:val="000000"/>
        </w:rPr>
        <w:footnoteReference w:id="6"/>
      </w:r>
      <w:r w:rsidRPr="00B7027C">
        <w:t>,</w:t>
      </w:r>
    </w:p>
    <w:p w:rsidR="0071320D" w:rsidRPr="00B7027C" w:rsidRDefault="0071320D" w:rsidP="0071320D">
      <w:pPr>
        <w:pStyle w:val="NormalHanging12a"/>
      </w:pPr>
      <w:r w:rsidRPr="00B7027C">
        <w:t>–</w:t>
      </w:r>
      <w:r w:rsidRPr="00B7027C">
        <w:tab/>
        <w:t>s ohledem na směrnici Evropského parlamentu a Rady 2013/55/EU ze dne 20. listopadu 2013, kterou se mění směrnice 2005/36/ES o uznávání odborných kvalifikací a nařízení (EU) č. 1024/2012 o správní spolupráci prostřednictvím systému pro výměnu informací o vnitřním trhu</w:t>
      </w:r>
      <w:r w:rsidRPr="00B7027C">
        <w:rPr>
          <w:rStyle w:val="FootnoteReference"/>
          <w:color w:val="000000"/>
        </w:rPr>
        <w:footnoteReference w:id="7"/>
      </w:r>
      <w:r w:rsidRPr="00B7027C">
        <w:t>,</w:t>
      </w:r>
    </w:p>
    <w:p w:rsidR="0071320D" w:rsidRPr="00B7027C" w:rsidRDefault="0071320D" w:rsidP="0071320D">
      <w:pPr>
        <w:pStyle w:val="NormalHanging12a"/>
      </w:pPr>
      <w:r w:rsidRPr="00B7027C">
        <w:t>–</w:t>
      </w:r>
      <w:r w:rsidRPr="00B7027C">
        <w:tab/>
        <w:t>s ohledem na směrnici Rady (EU) 2015/637 ze dne 20. dubna 2015 o opatřeních v oblasti koordinace a spolupráce s cílem usnadnit konzulární ochranu nezastoupených občanů Unie ve třetích zemích a o zrušení rozhodnutí 95/553/ES</w:t>
      </w:r>
      <w:r w:rsidRPr="00B7027C">
        <w:rPr>
          <w:rStyle w:val="FootnoteReference"/>
        </w:rPr>
        <w:footnoteReference w:id="8"/>
      </w:r>
      <w:r w:rsidRPr="00B7027C">
        <w:t>,</w:t>
      </w:r>
    </w:p>
    <w:p w:rsidR="0071320D" w:rsidRPr="00B7027C" w:rsidRDefault="0071320D" w:rsidP="0071320D">
      <w:pPr>
        <w:pStyle w:val="NormalHanging12a"/>
      </w:pPr>
      <w:r w:rsidRPr="00B7027C">
        <w:t>–</w:t>
      </w:r>
      <w:r w:rsidRPr="00B7027C">
        <w:tab/>
        <w:t>s ohledem na směrnici Rady (EU) 2019/997 ze dne 18. června 2019, kterou se zavádí náhradní cestovní doklad EU a zrušuje rozhodnutí 96/409/SZBP</w:t>
      </w:r>
      <w:r w:rsidRPr="00B7027C">
        <w:rPr>
          <w:rStyle w:val="FootnoteReference"/>
          <w:color w:val="000000"/>
        </w:rPr>
        <w:footnoteReference w:id="9"/>
      </w:r>
      <w:r w:rsidRPr="00B7027C">
        <w:t>,</w:t>
      </w:r>
    </w:p>
    <w:p w:rsidR="0071320D" w:rsidRPr="00B7027C" w:rsidRDefault="0071320D" w:rsidP="0071320D">
      <w:pPr>
        <w:pStyle w:val="NormalHanging12a"/>
      </w:pPr>
      <w:r w:rsidRPr="00B7027C">
        <w:t>–</w:t>
      </w:r>
      <w:r w:rsidRPr="00B7027C">
        <w:tab/>
        <w:t>s ohledem na sdělení Komise ze dne 2. července 2009 o pokynech pro lepší provádění a uplatňování směrnice 2004/38/ES o právu občanů Unie a jejich rodinných příslušníků svobodně se pohybovat a pobývat na území členských států (</w:t>
      </w:r>
      <w:proofErr w:type="gramStart"/>
      <w:r w:rsidRPr="00B7027C">
        <w:t>COM(2009</w:t>
      </w:r>
      <w:proofErr w:type="gramEnd"/>
      <w:r w:rsidRPr="00B7027C">
        <w:t>)0313),</w:t>
      </w:r>
    </w:p>
    <w:p w:rsidR="0071320D" w:rsidRPr="00B7027C" w:rsidRDefault="0071320D" w:rsidP="0071320D">
      <w:pPr>
        <w:pStyle w:val="NormalHanging12a"/>
      </w:pPr>
      <w:r w:rsidRPr="00B7027C">
        <w:t>–</w:t>
      </w:r>
      <w:r w:rsidRPr="00B7027C">
        <w:tab/>
        <w:t>s ohledem na nařízení Evropského parlamentu a Rady (EU) 2019/788 ze dne 17. dubna 2019 o evropské občanské iniciativě</w:t>
      </w:r>
      <w:r w:rsidRPr="00B7027C">
        <w:rPr>
          <w:vertAlign w:val="superscript"/>
        </w:rPr>
        <w:footnoteReference w:id="10"/>
      </w:r>
      <w:r w:rsidRPr="00B7027C">
        <w:t>,</w:t>
      </w:r>
    </w:p>
    <w:p w:rsidR="0071320D" w:rsidRPr="00B7027C" w:rsidRDefault="0071320D" w:rsidP="0071320D">
      <w:pPr>
        <w:pStyle w:val="NormalHanging12a"/>
      </w:pPr>
      <w:r w:rsidRPr="00B7027C">
        <w:t>–</w:t>
      </w:r>
      <w:r w:rsidRPr="00B7027C">
        <w:tab/>
        <w:t>s ohledem na nařízení Evropského parlamentu a Rady (EU) 2020/1042 ze dne 15. července 2020, kterým se stanoví dočasná opatření týkající se období sběru a lhůt pro ověřování a přezkum podle nařízení (EU) 2019/788 o evropské občanské iniciativě s ohledem na rozšíření onemocnění COVID-19</w:t>
      </w:r>
      <w:r w:rsidRPr="00B7027C">
        <w:rPr>
          <w:rStyle w:val="FootnoteReference"/>
          <w:color w:val="000000"/>
        </w:rPr>
        <w:footnoteReference w:id="11"/>
      </w:r>
      <w:r w:rsidRPr="00B7027C">
        <w:t>,</w:t>
      </w:r>
    </w:p>
    <w:p w:rsidR="0071320D" w:rsidRPr="00B7027C" w:rsidRDefault="0071320D" w:rsidP="0071320D">
      <w:pPr>
        <w:pStyle w:val="NormalHanging12a"/>
      </w:pPr>
      <w:r w:rsidRPr="00B7027C">
        <w:t>–</w:t>
      </w:r>
      <w:r w:rsidRPr="00B7027C">
        <w:tab/>
        <w:t>s ohledem na sdělení Komise ze dne 2. prosince 2020 „Strategie na posílení uplatňování Listiny základních práv v EU“ (</w:t>
      </w:r>
      <w:proofErr w:type="gramStart"/>
      <w:r w:rsidRPr="00B7027C">
        <w:t>COM(2020</w:t>
      </w:r>
      <w:proofErr w:type="gramEnd"/>
      <w:r w:rsidRPr="00B7027C">
        <w:t>)0711),</w:t>
      </w:r>
    </w:p>
    <w:p w:rsidR="0071320D" w:rsidRPr="00B7027C" w:rsidRDefault="0071320D" w:rsidP="0071320D">
      <w:pPr>
        <w:pStyle w:val="NormalHanging12a"/>
      </w:pPr>
      <w:r w:rsidRPr="00B7027C">
        <w:t>–</w:t>
      </w:r>
      <w:r w:rsidRPr="00B7027C">
        <w:tab/>
        <w:t>s ohledem na sdělení Komise ze dne 3. prosince 2020 o evropském akčním plánu pro demokracii (</w:t>
      </w:r>
      <w:proofErr w:type="gramStart"/>
      <w:r w:rsidRPr="00B7027C">
        <w:t>COM(2020</w:t>
      </w:r>
      <w:proofErr w:type="gramEnd"/>
      <w:r w:rsidRPr="00B7027C">
        <w:t>)0790),</w:t>
      </w:r>
    </w:p>
    <w:p w:rsidR="0071320D" w:rsidRPr="00B7027C" w:rsidRDefault="0071320D" w:rsidP="0071320D">
      <w:pPr>
        <w:pStyle w:val="NormalHanging12a"/>
      </w:pPr>
      <w:r w:rsidRPr="00B7027C">
        <w:t>–</w:t>
      </w:r>
      <w:r w:rsidRPr="00B7027C">
        <w:tab/>
        <w:t xml:space="preserve">s ohledem na sdělení Komise ze dne </w:t>
      </w:r>
      <w:r w:rsidRPr="00B7027C">
        <w:rPr>
          <w:shd w:val="clear" w:color="auto" w:fill="FFFFFF"/>
        </w:rPr>
        <w:t>25. listopadu 2021</w:t>
      </w:r>
      <w:r w:rsidRPr="00B7027C">
        <w:t xml:space="preserve"> nazvané „Ochrana integrity </w:t>
      </w:r>
      <w:r w:rsidRPr="00B7027C">
        <w:lastRenderedPageBreak/>
        <w:t>voleb a podpora demokratické účasti“ (</w:t>
      </w:r>
      <w:proofErr w:type="gramStart"/>
      <w:r w:rsidRPr="00B7027C">
        <w:t>COM(2021</w:t>
      </w:r>
      <w:proofErr w:type="gramEnd"/>
      <w:r w:rsidRPr="00B7027C">
        <w:t>)0730),</w:t>
      </w:r>
    </w:p>
    <w:p w:rsidR="0071320D" w:rsidRPr="00B7027C" w:rsidRDefault="0071320D" w:rsidP="0071320D">
      <w:pPr>
        <w:pStyle w:val="NormalHanging12a"/>
      </w:pPr>
      <w:r w:rsidRPr="00B7027C">
        <w:t>–</w:t>
      </w:r>
      <w:r w:rsidRPr="00B7027C">
        <w:tab/>
        <w:t>s ohledem na zprávu Komise ze dne 15. prosince 2020 s názvem „Zpráva o občanství EU pro rok 2020: Posílení postavení občanů a ochrana jejich práv“ (</w:t>
      </w:r>
      <w:proofErr w:type="gramStart"/>
      <w:r w:rsidRPr="00B7027C">
        <w:t>COM(2020</w:t>
      </w:r>
      <w:proofErr w:type="gramEnd"/>
      <w:r w:rsidRPr="00B7027C">
        <w:t>)0730),</w:t>
      </w:r>
    </w:p>
    <w:p w:rsidR="0071320D" w:rsidRPr="00B7027C" w:rsidRDefault="0071320D" w:rsidP="0071320D">
      <w:pPr>
        <w:pStyle w:val="NormalHanging12a"/>
      </w:pPr>
      <w:r w:rsidRPr="00B7027C">
        <w:t>–</w:t>
      </w:r>
      <w:r w:rsidRPr="00B7027C">
        <w:tab/>
        <w:t>s ohledem na zprávu Komise ze dne 15. prosince 2020 podle článku 25 Smlouvy o fungování EU o pokroku na cestě ke skutečnému občanství EU v letech 2016–2020 (</w:t>
      </w:r>
      <w:proofErr w:type="gramStart"/>
      <w:r w:rsidRPr="00B7027C">
        <w:t>COM(2020</w:t>
      </w:r>
      <w:proofErr w:type="gramEnd"/>
      <w:r w:rsidRPr="00B7027C">
        <w:t>)0731),</w:t>
      </w:r>
    </w:p>
    <w:p w:rsidR="0071320D" w:rsidRPr="00B7027C" w:rsidRDefault="0071320D" w:rsidP="0071320D">
      <w:pPr>
        <w:pStyle w:val="NormalHanging12a"/>
      </w:pPr>
      <w:r w:rsidRPr="00B7027C">
        <w:t>–</w:t>
      </w:r>
      <w:r w:rsidRPr="00B7027C">
        <w:tab/>
        <w:t>s ohledem na svůj postoj ze dne 14. února 2023 k návrhu směrnice Rady, kterou se stanoví pravidla pro</w:t>
      </w:r>
      <w:r w:rsidRPr="00B7027C">
        <w:rPr>
          <w:rStyle w:val="Bold"/>
          <w:color w:val="000000"/>
        </w:rPr>
        <w:t xml:space="preserve"> </w:t>
      </w:r>
      <w:r w:rsidRPr="00B7027C">
        <w:t>výkon práva volit a být volen ve volbách do Evropského parlamentu občanů Unie, kteří mají bydliště v některém členském státě a nejsou jeho státními příslušníky</w:t>
      </w:r>
      <w:r w:rsidRPr="00B7027C">
        <w:rPr>
          <w:rStyle w:val="FootnoteReference"/>
          <w:color w:val="000000"/>
        </w:rPr>
        <w:footnoteReference w:id="12"/>
      </w:r>
      <w:r w:rsidRPr="00B7027C">
        <w:t>,</w:t>
      </w:r>
    </w:p>
    <w:p w:rsidR="0071320D" w:rsidRPr="00B7027C" w:rsidRDefault="0071320D" w:rsidP="0071320D">
      <w:pPr>
        <w:pStyle w:val="NormalHanging12a"/>
      </w:pPr>
      <w:r w:rsidRPr="00B7027C">
        <w:t>–</w:t>
      </w:r>
      <w:r w:rsidRPr="00B7027C">
        <w:tab/>
        <w:t>s ohledem na svůj postoj ze dne 14. února 2023 k návrhu směrnice Rady, kterou se stanoví pravidla pro výkon práva volit a práva být volen v obecních volbách pro občany Unie s bydlištěm v členském státě, jehož nejsou státními příslušníky</w:t>
      </w:r>
      <w:r w:rsidRPr="00B7027C">
        <w:rPr>
          <w:rStyle w:val="FootnoteReference"/>
          <w:color w:val="000000"/>
        </w:rPr>
        <w:footnoteReference w:id="13"/>
      </w:r>
      <w:r w:rsidRPr="00B7027C">
        <w:t>,</w:t>
      </w:r>
    </w:p>
    <w:p w:rsidR="0071320D" w:rsidRPr="00B7027C" w:rsidRDefault="0071320D" w:rsidP="0071320D">
      <w:pPr>
        <w:pStyle w:val="NormalHanging12a"/>
      </w:pPr>
      <w:r w:rsidRPr="00B7027C">
        <w:t>–</w:t>
      </w:r>
      <w:r w:rsidRPr="00B7027C">
        <w:tab/>
        <w:t>s ohledem na své usnesení ze dne 12. února 2019 o uplatňování ustanovení Smlouvy týkajících se občanství EU</w:t>
      </w:r>
      <w:r w:rsidRPr="00B7027C">
        <w:rPr>
          <w:rStyle w:val="FootnoteReference"/>
          <w:color w:val="000000"/>
        </w:rPr>
        <w:footnoteReference w:id="14"/>
      </w:r>
      <w:r w:rsidRPr="00B7027C">
        <w:t>,</w:t>
      </w:r>
    </w:p>
    <w:p w:rsidR="0071320D" w:rsidRPr="00B7027C" w:rsidRDefault="0071320D" w:rsidP="0071320D">
      <w:pPr>
        <w:pStyle w:val="NormalHanging12a"/>
      </w:pPr>
      <w:r w:rsidRPr="00B7027C">
        <w:t>–</w:t>
      </w:r>
      <w:r w:rsidRPr="00B7027C">
        <w:tab/>
        <w:t>s ohledem na své usnesení ze dne 9. března 2022 s návrhy Komisi o režimech občanství pro investory a režimech pobytu pro investory</w:t>
      </w:r>
      <w:r w:rsidRPr="00B7027C">
        <w:rPr>
          <w:rStyle w:val="FootnoteReference"/>
          <w:color w:val="000000"/>
        </w:rPr>
        <w:footnoteReference w:id="15"/>
      </w:r>
      <w:r w:rsidRPr="00B7027C">
        <w:t>,</w:t>
      </w:r>
    </w:p>
    <w:p w:rsidR="0071320D" w:rsidRPr="00B7027C" w:rsidRDefault="0071320D" w:rsidP="0071320D">
      <w:pPr>
        <w:pStyle w:val="NormalHanging12a"/>
      </w:pPr>
      <w:r w:rsidRPr="00B7027C">
        <w:t>–</w:t>
      </w:r>
      <w:r w:rsidRPr="00B7027C">
        <w:tab/>
        <w:t>s ohledem na své usnesení ze dne 10. března 2022 o zprávě o občanství EU pro rok 2020: posílení postavení občanů a ochrana jejich práv</w:t>
      </w:r>
      <w:r w:rsidRPr="00B7027C">
        <w:rPr>
          <w:rStyle w:val="FootnoteReference"/>
          <w:color w:val="000000"/>
        </w:rPr>
        <w:footnoteReference w:id="16"/>
      </w:r>
      <w:r w:rsidRPr="00B7027C">
        <w:t>,</w:t>
      </w:r>
    </w:p>
    <w:p w:rsidR="0071320D" w:rsidRPr="00B7027C" w:rsidRDefault="0071320D" w:rsidP="0071320D">
      <w:pPr>
        <w:pStyle w:val="NormalHanging12a"/>
      </w:pPr>
      <w:r w:rsidRPr="00B7027C">
        <w:t>–</w:t>
      </w:r>
      <w:r w:rsidRPr="00B7027C">
        <w:tab/>
        <w:t>s ohledem na své usnesení ze dne 13. června 2023 o provádění nařízení o evropské občanské iniciativě</w:t>
      </w:r>
      <w:r w:rsidRPr="00B7027C">
        <w:rPr>
          <w:rStyle w:val="FootnoteReference"/>
          <w:color w:val="000000"/>
        </w:rPr>
        <w:footnoteReference w:id="17"/>
      </w:r>
      <w:r w:rsidRPr="00B7027C">
        <w:t>,</w:t>
      </w:r>
    </w:p>
    <w:p w:rsidR="0071320D" w:rsidRPr="00B7027C" w:rsidRDefault="0071320D" w:rsidP="0071320D">
      <w:pPr>
        <w:pStyle w:val="NormalHanging12a"/>
      </w:pPr>
      <w:r w:rsidRPr="00B7027C">
        <w:t>–</w:t>
      </w:r>
      <w:r w:rsidRPr="00B7027C">
        <w:tab/>
        <w:t>s ohledem na své usnesení ze dne 14. září 2023 o parlamentarismu, evropském občanství a demokracii</w:t>
      </w:r>
      <w:r w:rsidRPr="00B7027C">
        <w:rPr>
          <w:rStyle w:val="FootnoteReference"/>
          <w:color w:val="000000"/>
        </w:rPr>
        <w:footnoteReference w:id="18"/>
      </w:r>
      <w:r w:rsidRPr="00B7027C">
        <w:t>,</w:t>
      </w:r>
    </w:p>
    <w:p w:rsidR="0071320D" w:rsidRPr="00B7027C" w:rsidRDefault="0071320D" w:rsidP="0071320D">
      <w:pPr>
        <w:pStyle w:val="NormalHanging12a"/>
      </w:pPr>
      <w:r w:rsidRPr="00B7027C">
        <w:t>–</w:t>
      </w:r>
      <w:r w:rsidRPr="00B7027C">
        <w:tab/>
        <w:t>s ohledem na své usnesení ze dne 7. července 2021 o dialogu s občany a zapojení občanů do rozhodovacího procesu EU</w:t>
      </w:r>
      <w:r w:rsidRPr="00B7027C">
        <w:rPr>
          <w:rStyle w:val="FootnoteReference"/>
          <w:color w:val="000000"/>
        </w:rPr>
        <w:footnoteReference w:id="19"/>
      </w:r>
      <w:r w:rsidRPr="00B7027C">
        <w:t>,</w:t>
      </w:r>
    </w:p>
    <w:p w:rsidR="0071320D" w:rsidRPr="00B7027C" w:rsidRDefault="0071320D" w:rsidP="0071320D">
      <w:pPr>
        <w:pStyle w:val="NormalHanging12a"/>
      </w:pPr>
      <w:r w:rsidRPr="00B7027C">
        <w:t>–</w:t>
      </w:r>
      <w:r w:rsidRPr="00B7027C">
        <w:tab/>
        <w:t>s ohledem na své usnesení ze dne 9. března 2022 o zapojení občanů: petiční právo, právo obracet se na evropského veřejného ochránce práv a evropská občanská iniciativa</w:t>
      </w:r>
      <w:r w:rsidRPr="00B7027C">
        <w:rPr>
          <w:rStyle w:val="FootnoteReference"/>
          <w:color w:val="000000"/>
        </w:rPr>
        <w:footnoteReference w:id="20"/>
      </w:r>
      <w:r w:rsidRPr="00B7027C">
        <w:t>,</w:t>
      </w:r>
    </w:p>
    <w:p w:rsidR="0071320D" w:rsidRPr="00B7027C" w:rsidRDefault="0071320D" w:rsidP="0071320D">
      <w:pPr>
        <w:pStyle w:val="NormalHanging12a"/>
        <w:rPr>
          <w:szCs w:val="23"/>
        </w:rPr>
      </w:pPr>
      <w:r w:rsidRPr="00B7027C">
        <w:t>–</w:t>
      </w:r>
      <w:r w:rsidRPr="00B7027C">
        <w:tab/>
        <w:t xml:space="preserve">s ohledem na své usnesení ze dne 15. března 2017 o překážkách bránících občanům EU </w:t>
      </w:r>
      <w:r w:rsidRPr="00B7027C">
        <w:lastRenderedPageBreak/>
        <w:t>svobodně se pohybovat a pracovat na vnitřním trhu</w:t>
      </w:r>
      <w:r w:rsidRPr="00B7027C">
        <w:rPr>
          <w:rStyle w:val="FootnoteReference"/>
          <w:color w:val="000000"/>
          <w:szCs w:val="23"/>
        </w:rPr>
        <w:footnoteReference w:id="21"/>
      </w:r>
      <w:r w:rsidRPr="00B7027C">
        <w:t>,</w:t>
      </w:r>
    </w:p>
    <w:p w:rsidR="0071320D" w:rsidRPr="00B7027C" w:rsidRDefault="0071320D" w:rsidP="0071320D">
      <w:pPr>
        <w:pStyle w:val="NormalHanging12a"/>
        <w:rPr>
          <w:szCs w:val="23"/>
        </w:rPr>
      </w:pPr>
      <w:r w:rsidRPr="00B7027C">
        <w:t>–</w:t>
      </w:r>
      <w:r w:rsidRPr="00B7027C">
        <w:tab/>
        <w:t>s ohledem na zprávu Agentury EU pro základní práva o základních právech za rok 2023,</w:t>
      </w:r>
    </w:p>
    <w:p w:rsidR="0071320D" w:rsidRPr="00B7027C" w:rsidRDefault="0071320D" w:rsidP="0071320D">
      <w:pPr>
        <w:pStyle w:val="NormalHanging12a"/>
      </w:pPr>
      <w:r w:rsidRPr="00B7027C">
        <w:t>–</w:t>
      </w:r>
      <w:r w:rsidRPr="00B7027C">
        <w:tab/>
        <w:t>s ohledem na zprávu o konečných závěrech Konference o budoucnosti Evropy,</w:t>
      </w:r>
    </w:p>
    <w:p w:rsidR="0071320D" w:rsidRDefault="0071320D" w:rsidP="0071320D">
      <w:pPr>
        <w:pStyle w:val="NormalHanging12a"/>
      </w:pPr>
      <w:r w:rsidRPr="00B7027C">
        <w:t>–</w:t>
      </w:r>
      <w:r w:rsidRPr="00B7027C">
        <w:tab/>
        <w:t xml:space="preserve">s ohledem na výsledky bleskového průzkumu </w:t>
      </w:r>
      <w:proofErr w:type="spellStart"/>
      <w:r w:rsidRPr="00B7027C">
        <w:t>Eurobarometru</w:t>
      </w:r>
      <w:proofErr w:type="spellEnd"/>
      <w:r w:rsidRPr="00B7027C">
        <w:t xml:space="preserve"> 485/2020 a standardního průzkumu </w:t>
      </w:r>
      <w:proofErr w:type="spellStart"/>
      <w:r w:rsidRPr="00B7027C">
        <w:t>Eurobarometru</w:t>
      </w:r>
      <w:proofErr w:type="spellEnd"/>
      <w:r w:rsidRPr="00B7027C">
        <w:t xml:space="preserve"> 99/2023,</w:t>
      </w:r>
    </w:p>
    <w:p w:rsidR="000375C9" w:rsidRPr="000375C9" w:rsidRDefault="000375C9" w:rsidP="005140DD">
      <w:pPr>
        <w:pStyle w:val="NormalHanging12a"/>
      </w:pPr>
      <w:r>
        <w:rPr>
          <w:b/>
          <w:i/>
        </w:rPr>
        <w:t>–</w:t>
      </w:r>
      <w:r>
        <w:tab/>
      </w:r>
      <w:r w:rsidRPr="00324685">
        <w:t>s ohledem na zprávu Komise ze dne 6. prosince 2023 podle článku 25 Smlouvy o fungování EU o pokroku na cestě ke skutečnému občanství EU v letech 2020–202</w:t>
      </w:r>
      <w:r w:rsidR="005140DD">
        <w:t>3</w:t>
      </w:r>
      <w:r w:rsidRPr="00324685">
        <w:t xml:space="preserve"> (</w:t>
      </w:r>
      <w:proofErr w:type="gramStart"/>
      <w:r w:rsidRPr="00324685">
        <w:t>COM(202</w:t>
      </w:r>
      <w:r w:rsidR="005140DD">
        <w:t>3</w:t>
      </w:r>
      <w:proofErr w:type="gramEnd"/>
      <w:r w:rsidRPr="00324685">
        <w:t>)0931 (zpráva o občanství EU pro rok 2023),</w:t>
      </w:r>
      <w:bookmarkStart w:id="8" w:name="_GoBack"/>
      <w:bookmarkEnd w:id="8"/>
    </w:p>
    <w:p w:rsidR="0071320D" w:rsidRPr="00B7027C" w:rsidRDefault="0071320D" w:rsidP="0071320D">
      <w:pPr>
        <w:pStyle w:val="NormalHanging12a"/>
      </w:pPr>
      <w:r w:rsidRPr="00B7027C">
        <w:t>–</w:t>
      </w:r>
      <w:r w:rsidRPr="00B7027C">
        <w:tab/>
        <w:t>s ohledem na článek 54 jednacího řádu a čl. 1 odst. 1 písm. e) a přílohu 3 rozhodnutí Konference předsedů ze dne 12. prosince 2002 o postupu udělování svolení k vypracování zpráv z vlastního podnětu,</w:t>
      </w:r>
    </w:p>
    <w:p w:rsidR="0071320D" w:rsidRPr="00B7027C" w:rsidRDefault="0071320D" w:rsidP="0071320D">
      <w:pPr>
        <w:pStyle w:val="NormalHanging12a"/>
      </w:pPr>
      <w:r w:rsidRPr="00B7027C">
        <w:t>–</w:t>
      </w:r>
      <w:r w:rsidRPr="00B7027C">
        <w:tab/>
        <w:t>s ohledem na stanovisko Výboru pro občanské svobody, spravedlnost a vnitřní věci,</w:t>
      </w:r>
    </w:p>
    <w:p w:rsidR="0071320D" w:rsidRPr="00B7027C" w:rsidRDefault="0071320D" w:rsidP="0071320D">
      <w:pPr>
        <w:pStyle w:val="NormalHanging12a"/>
      </w:pPr>
      <w:r w:rsidRPr="00B7027C">
        <w:t>–</w:t>
      </w:r>
      <w:r w:rsidRPr="00B7027C">
        <w:tab/>
        <w:t>s ohledem na zprávu Výboru pro ústavní záležitosti (A9-0436/2023),</w:t>
      </w:r>
    </w:p>
    <w:p w:rsidR="0071320D" w:rsidRPr="00B7027C" w:rsidRDefault="0071320D" w:rsidP="0071320D">
      <w:pPr>
        <w:pStyle w:val="NormalHanging12a"/>
      </w:pPr>
      <w:r w:rsidRPr="00B7027C">
        <w:t>A.</w:t>
      </w:r>
      <w:r w:rsidRPr="00B7027C">
        <w:tab/>
        <w:t>vzhledem k tomu, že občanství EU bylo zavedeno vstupem Maastrichtské smlouvy v platnost v roce 1993 a v roce 2009 dále posíleno Lisabonskou smlouvou; vzhledem k tomu, že od jeho zavedení uplynulo třicet let a došlo k významným sociálním, digitálním, hospodářským a politickým změnám;</w:t>
      </w:r>
    </w:p>
    <w:p w:rsidR="0071320D" w:rsidRPr="00B7027C" w:rsidRDefault="0071320D" w:rsidP="0071320D">
      <w:pPr>
        <w:pStyle w:val="NormalHanging12a"/>
        <w:rPr>
          <w:b/>
          <w:i/>
        </w:rPr>
      </w:pPr>
      <w:r w:rsidRPr="00B7027C">
        <w:t>B.</w:t>
      </w:r>
      <w:r w:rsidRPr="00B7027C">
        <w:rPr>
          <w:b/>
          <w:i/>
        </w:rPr>
        <w:tab/>
      </w:r>
      <w:r w:rsidRPr="00B7027C">
        <w:t>vzhledem k tomu, že podle čl. 20 odst. 1 SFEU občanství EU doplňuje občanství členského státu,</w:t>
      </w:r>
      <w:r w:rsidRPr="00B7027C">
        <w:rPr>
          <w:color w:val="333333"/>
          <w:sz w:val="27"/>
          <w:shd w:val="clear" w:color="auto" w:fill="FFFFFF"/>
        </w:rPr>
        <w:t xml:space="preserve"> </w:t>
      </w:r>
      <w:r w:rsidRPr="00B7027C">
        <w:t>nenahrazuje je; vzhledem k tomu, že občanství EU zatím neukládá občanům Unie žádné povinnosti;</w:t>
      </w:r>
    </w:p>
    <w:p w:rsidR="0071320D" w:rsidRPr="00B7027C" w:rsidRDefault="0071320D" w:rsidP="0071320D">
      <w:pPr>
        <w:pStyle w:val="NormalHanging12a"/>
        <w:rPr>
          <w:shd w:val="clear" w:color="auto" w:fill="FFFFFF"/>
        </w:rPr>
      </w:pPr>
      <w:r w:rsidRPr="00B7027C">
        <w:t>C.</w:t>
      </w:r>
      <w:r w:rsidRPr="00B7027C">
        <w:tab/>
      </w:r>
      <w:r w:rsidRPr="00B7027C">
        <w:rPr>
          <w:shd w:val="clear" w:color="auto" w:fill="FFFFFF"/>
        </w:rPr>
        <w:t>vzhledem k tomu, že občanství EU je jedinečným konstruktem odrážejícím společnou demokratickou identitu a sdílené hodnoty občanů EU a přispívá k budování vazeb, podpoře rovnosti a odmítnutí všech forem rasismu a diskriminace; vzhledem k tomu, že občanství EU dosud nedosáhlo svého plného potenciálu;</w:t>
      </w:r>
    </w:p>
    <w:p w:rsidR="0071320D" w:rsidRPr="00B7027C" w:rsidRDefault="0071320D" w:rsidP="0071320D">
      <w:pPr>
        <w:pStyle w:val="NormalHanging12a"/>
      </w:pPr>
      <w:r w:rsidRPr="00B7027C">
        <w:rPr>
          <w:shd w:val="clear" w:color="auto" w:fill="FFFFFF"/>
        </w:rPr>
        <w:t>D.</w:t>
      </w:r>
      <w:r w:rsidRPr="00B7027C">
        <w:rPr>
          <w:b/>
          <w:i/>
          <w:shd w:val="clear" w:color="auto" w:fill="FFFFFF"/>
        </w:rPr>
        <w:tab/>
      </w:r>
      <w:r w:rsidRPr="00B7027C">
        <w:rPr>
          <w:shd w:val="clear" w:color="auto" w:fill="FFFFFF"/>
        </w:rPr>
        <w:t>vzhledem k tomu, že svoboda pohybu umožňuje více než 15 milionům občanů EU</w:t>
      </w:r>
      <w:r w:rsidRPr="00B7027C">
        <w:rPr>
          <w:rStyle w:val="FootnoteReference"/>
          <w:shd w:val="clear" w:color="auto" w:fill="FFFFFF"/>
        </w:rPr>
        <w:footnoteReference w:id="22"/>
      </w:r>
      <w:r w:rsidRPr="00B7027C">
        <w:rPr>
          <w:shd w:val="clear" w:color="auto" w:fill="FFFFFF"/>
        </w:rPr>
        <w:t xml:space="preserve"> žít a pracovat v jiném členském státě a všem občanům EU cestovat svobodně napříč EU, díky čemuž je občanství EU důležitější než kdy jindy;</w:t>
      </w:r>
    </w:p>
    <w:p w:rsidR="0071320D" w:rsidRPr="00B7027C" w:rsidRDefault="0071320D" w:rsidP="0071320D">
      <w:pPr>
        <w:pStyle w:val="NormalHanging12a"/>
      </w:pPr>
      <w:r w:rsidRPr="00B7027C">
        <w:t>E.</w:t>
      </w:r>
      <w:r w:rsidRPr="00B7027C">
        <w:tab/>
      </w:r>
      <w:r w:rsidRPr="00B7027C">
        <w:rPr>
          <w:shd w:val="clear" w:color="auto" w:fill="FFFFFF"/>
        </w:rPr>
        <w:t>vzhledem k tomu, že občané EU příliš často nemají dostatečné povědomí, znalosti a porozumění právům, občanským povinnostem a svobodám vyplývajícím z občanství EU; vzhledem k tomu, že v praktickém uplatňování občanství EU a při plném výkonu odvozených práv a svobod stále existují značné nedostatky, z nichž některé jsou způsobeny nejednotným prováděním právních předpisů EU ze strany členských států;</w:t>
      </w:r>
    </w:p>
    <w:p w:rsidR="0071320D" w:rsidRPr="000375C9" w:rsidRDefault="0071320D" w:rsidP="0071320D">
      <w:pPr>
        <w:pStyle w:val="NormalHanging12a"/>
      </w:pPr>
      <w:r w:rsidRPr="00B7027C">
        <w:t>F.</w:t>
      </w:r>
      <w:r w:rsidRPr="00B7027C">
        <w:tab/>
        <w:t xml:space="preserve">vzhledem k tomu, že výsledky veřejné konzultace o občanství EU v roce 2020 ukázaly, že více než 60 % těch, kteří se jí zúčastnili, se nepovažuje za dobře informované o </w:t>
      </w:r>
      <w:r w:rsidRPr="00B7027C">
        <w:lastRenderedPageBreak/>
        <w:t>svých právech vyplývajících z občanství EU</w:t>
      </w:r>
      <w:r w:rsidRPr="00B7027C">
        <w:rPr>
          <w:rStyle w:val="FootnoteReference"/>
          <w:color w:val="000000"/>
          <w:szCs w:val="24"/>
        </w:rPr>
        <w:footnoteReference w:id="23"/>
      </w:r>
      <w:r w:rsidRPr="00B7027C">
        <w:t>;</w:t>
      </w:r>
      <w:r w:rsidR="000375C9">
        <w:t xml:space="preserve"> </w:t>
      </w:r>
      <w:r w:rsidR="000375C9" w:rsidRPr="00324685">
        <w:t xml:space="preserve">vzhledem k tomu, že bleskový průzkum </w:t>
      </w:r>
      <w:proofErr w:type="spellStart"/>
      <w:r w:rsidR="000375C9" w:rsidRPr="00324685">
        <w:t>Eurobarometru</w:t>
      </w:r>
      <w:proofErr w:type="spellEnd"/>
      <w:r w:rsidR="000375C9" w:rsidRPr="00324685">
        <w:t xml:space="preserve"> o občanství a demokracii z roku 2023 ukazuje, že polovina respondentů se domnívá, že je dobře informována o svých právech občanů EU;</w:t>
      </w:r>
    </w:p>
    <w:p w:rsidR="0071320D" w:rsidRPr="00B7027C" w:rsidRDefault="0071320D" w:rsidP="0071320D">
      <w:pPr>
        <w:pStyle w:val="NormalHanging12a"/>
      </w:pPr>
      <w:r w:rsidRPr="00B7027C">
        <w:t>G.</w:t>
      </w:r>
      <w:r w:rsidRPr="00B7027C">
        <w:tab/>
        <w:t>vzhledem k tomu, že občané EU čelí bezprecedentním výzvám v důsledku pandemie COVID-19 a vedle toho digitální revoluci a s ní spojené sociální a ekonomické transformaci;</w:t>
      </w:r>
    </w:p>
    <w:p w:rsidR="0071320D" w:rsidRPr="00B7027C" w:rsidRDefault="0071320D" w:rsidP="0071320D">
      <w:pPr>
        <w:pStyle w:val="NormalHanging12a"/>
        <w:shd w:val="clear" w:color="auto" w:fill="FFFFFF" w:themeFill="background1"/>
      </w:pPr>
      <w:r w:rsidRPr="00B7027C">
        <w:t>H.</w:t>
      </w:r>
      <w:r w:rsidRPr="00B7027C">
        <w:tab/>
        <w:t>vzhledem k tomu, že sestavení a konsolidace stávajících a budoucích práv by usnadnilo lepší a informovanější výkon práv a svobod vyplývajících z občanství EU;</w:t>
      </w:r>
    </w:p>
    <w:p w:rsidR="0071320D" w:rsidRPr="00B7027C" w:rsidRDefault="0071320D" w:rsidP="0071320D">
      <w:pPr>
        <w:pStyle w:val="NormalHanging12a"/>
        <w:shd w:val="clear" w:color="auto" w:fill="FFFFFF" w:themeFill="background1"/>
      </w:pPr>
      <w:r w:rsidRPr="00B7027C">
        <w:t>I.</w:t>
      </w:r>
      <w:r w:rsidRPr="00B7027C">
        <w:tab/>
        <w:t>vzhledem k tomu, že Konference o budoucnosti Evropy představuje konkrétní příklad účasti občanů na demokratickém životě Unie; vzhledem k tomu, že její závěry obsahují návrhy a opatření, které odrážejí dohodu mezi evropskými orgány a občany EU o posílení občanství EU;</w:t>
      </w:r>
    </w:p>
    <w:p w:rsidR="0071320D" w:rsidRPr="00B7027C" w:rsidRDefault="0071320D" w:rsidP="0071320D">
      <w:pPr>
        <w:pStyle w:val="NormalHanging12a"/>
        <w:shd w:val="clear" w:color="auto" w:fill="FFFFFF" w:themeFill="background1"/>
      </w:pPr>
      <w:r w:rsidRPr="00B7027C">
        <w:t>J.</w:t>
      </w:r>
      <w:r w:rsidRPr="00B7027C">
        <w:tab/>
        <w:t>vzhledem k tomu, že stávající překážky bránící výkonu občanských práv EU vytvářejí situace nerovnosti a diskriminace mezi občany EU, zejména mezi mobilními občany EU a jejich rodinnými příslušníky, především dětmi, osobami žijícími v přeshraničních regionech EU a venkovských oblastech a osobami patřícími ke zranitelným a </w:t>
      </w:r>
      <w:proofErr w:type="spellStart"/>
      <w:r w:rsidRPr="00B7027C">
        <w:t>marginalizovaným</w:t>
      </w:r>
      <w:proofErr w:type="spellEnd"/>
      <w:r w:rsidRPr="00B7027C">
        <w:t xml:space="preserve"> skupinám, jako jsou národnostní menšiny, nízkopříjmové osoby, lidé bez domova, starší lidé, osoby se zdravotním postižením a osoby ohrožené digitálním vyloučením;</w:t>
      </w:r>
    </w:p>
    <w:p w:rsidR="0071320D" w:rsidRPr="00B7027C" w:rsidRDefault="0071320D" w:rsidP="0071320D">
      <w:pPr>
        <w:pStyle w:val="NormalHanging12a"/>
        <w:rPr>
          <w:rStyle w:val="y2iqfc"/>
          <w:color w:val="000000"/>
          <w:shd w:val="clear" w:color="auto" w:fill="FFFFFF"/>
        </w:rPr>
      </w:pPr>
      <w:r w:rsidRPr="00B7027C">
        <w:t>K.</w:t>
      </w:r>
      <w:r w:rsidRPr="00B7027C">
        <w:tab/>
        <w:t>vzhledem k tomu, že téměř 87 milionů občanů EU žije s nějakou formou zdravotního postižení</w:t>
      </w:r>
      <w:r w:rsidRPr="00B7027C">
        <w:rPr>
          <w:rStyle w:val="FootnoteReference"/>
          <w:color w:val="000000"/>
          <w:shd w:val="clear" w:color="auto" w:fill="FFFFFF"/>
        </w:rPr>
        <w:footnoteReference w:id="24"/>
      </w:r>
      <w:r w:rsidRPr="00B7027C">
        <w:t xml:space="preserve"> a má potíže s uplatňováním svých občanských práv, přičemž tyto potíže někdy znamenají přímé popření jejich práva na volný pohyb a pobyt a omezení výkonu jejich politických práv;</w:t>
      </w:r>
    </w:p>
    <w:p w:rsidR="0071320D" w:rsidRPr="00B7027C" w:rsidRDefault="0071320D" w:rsidP="0071320D">
      <w:pPr>
        <w:pStyle w:val="NormalHanging12a"/>
      </w:pPr>
      <w:r w:rsidRPr="00B7027C">
        <w:rPr>
          <w:rStyle w:val="y2iqfc"/>
          <w:color w:val="000000"/>
          <w:shd w:val="clear" w:color="auto" w:fill="FFFFFF"/>
        </w:rPr>
        <w:t>L</w:t>
      </w:r>
      <w:r w:rsidRPr="00B7027C">
        <w:rPr>
          <w:rStyle w:val="y2iqfc"/>
          <w:b/>
          <w:color w:val="000000"/>
          <w:shd w:val="clear" w:color="auto" w:fill="FFFFFF"/>
        </w:rPr>
        <w:t>.</w:t>
      </w:r>
      <w:r w:rsidRPr="00B7027C">
        <w:rPr>
          <w:rStyle w:val="y2iqfc"/>
          <w:color w:val="000000"/>
          <w:shd w:val="clear" w:color="auto" w:fill="FFFFFF"/>
        </w:rPr>
        <w:tab/>
      </w:r>
      <w:r w:rsidRPr="00B7027C">
        <w:t>vzhledem k tomu, že některé členské státy stále nabízí tzv. zlaté vízové programy a režimy pro investory jako prostředek k získání jejich státní příslušnosti, a tím i občanství EU;</w:t>
      </w:r>
    </w:p>
    <w:p w:rsidR="0071320D" w:rsidRPr="00B7027C" w:rsidRDefault="0071320D" w:rsidP="0071320D">
      <w:pPr>
        <w:pStyle w:val="NormalHanging12a"/>
        <w:rPr>
          <w:b/>
          <w:i/>
        </w:rPr>
      </w:pPr>
      <w:r w:rsidRPr="00B7027C">
        <w:rPr>
          <w:b/>
          <w:i/>
        </w:rPr>
        <w:t>Úvod</w:t>
      </w:r>
    </w:p>
    <w:p w:rsidR="0071320D" w:rsidRPr="00B7027C" w:rsidRDefault="0071320D" w:rsidP="0071320D">
      <w:pPr>
        <w:pStyle w:val="NormalHanging12a"/>
      </w:pPr>
      <w:r w:rsidRPr="00B7027C">
        <w:t>1.</w:t>
      </w:r>
      <w:r w:rsidRPr="00B7027C">
        <w:tab/>
        <w:t xml:space="preserve">domnívá se, že občanství EU zahrnuje sdílenou a společnou evropskou demokratickou identitu a s ní spojená zvláštní práva a občanské povinnosti a svobody a že uplatňování těchto práv, a to jak online, tak </w:t>
      </w:r>
      <w:proofErr w:type="spellStart"/>
      <w:r w:rsidRPr="00B7027C">
        <w:t>offline</w:t>
      </w:r>
      <w:proofErr w:type="spellEnd"/>
      <w:r w:rsidRPr="00B7027C">
        <w:t>, posiluje vazbu občanů na EU a její demokratickou legitimitu a poskytuje jim další práva;</w:t>
      </w:r>
    </w:p>
    <w:p w:rsidR="0071320D" w:rsidRPr="00B7027C" w:rsidRDefault="0071320D" w:rsidP="0071320D">
      <w:pPr>
        <w:pStyle w:val="NormalHanging12a"/>
      </w:pPr>
      <w:r w:rsidRPr="00B7027C">
        <w:t>2.</w:t>
      </w:r>
      <w:r w:rsidRPr="00B7027C">
        <w:tab/>
        <w:t xml:space="preserve">poukazuje na to, že budování občanství EU musí pokročit v řešení potřeb a výzev EU v 21. století, přičemž je třeba uznat potenciál digitálních inovací a potřebu vyváženého přístupu k řešení složitosti způsobené globalizací a novými technologiemi; zdůrazňuje, že digitalizace demokratických procesů ve spojení s nedostatečnou digitální gramotností a přístupem k informačním a komunikačním technologiím představuje riziko, že </w:t>
      </w:r>
      <w:r w:rsidRPr="00B7027C">
        <w:lastRenderedPageBreak/>
        <w:t>přispěje k narůstající digitální propasti při výkonu občanských práv a odtržení části veřejnosti od evropského projektu;</w:t>
      </w:r>
    </w:p>
    <w:p w:rsidR="0071320D" w:rsidRPr="00B7027C" w:rsidRDefault="0071320D" w:rsidP="0071320D">
      <w:pPr>
        <w:pStyle w:val="NormalHanging12a"/>
        <w:rPr>
          <w:rStyle w:val="doceo-font-family-base"/>
          <w:rFonts w:eastAsiaTheme="minorHAnsi"/>
          <w:b/>
          <w:i/>
        </w:rPr>
      </w:pPr>
      <w:r w:rsidRPr="00B7027C">
        <w:rPr>
          <w:rStyle w:val="doceo-font-family-base"/>
        </w:rPr>
        <w:t>3.</w:t>
      </w:r>
      <w:r w:rsidRPr="00B7027C">
        <w:rPr>
          <w:rStyle w:val="doceo-font-family-base"/>
        </w:rPr>
        <w:tab/>
        <w:t>domnívá se, že mnohojazyčnost v rámci orgánů EU a v jejich interakci s občany je zásadním aspektem posílení pojmu občanství EU; v této souvislosti zdůrazňuje, že závěry Rady ze dne 13. června 2005 stanovily, že občané EU mohou při interakci s orgány EU používat jiné než úřední jazyky EU uznané v členském státě nebo v části jeho území, jakož i oficiálně používané v orgánech a institucích EU, včetně Evropského parlamentu;</w:t>
      </w:r>
      <w:r w:rsidRPr="00B7027C">
        <w:rPr>
          <w:rStyle w:val="doceo-font-family-base"/>
          <w:b/>
          <w:i/>
        </w:rPr>
        <w:t xml:space="preserve"> </w:t>
      </w:r>
    </w:p>
    <w:p w:rsidR="0071320D" w:rsidRPr="00B7027C" w:rsidRDefault="0071320D" w:rsidP="0071320D">
      <w:pPr>
        <w:pStyle w:val="NormalHanging12a"/>
        <w:rPr>
          <w:rStyle w:val="doceo-font-family-base"/>
        </w:rPr>
      </w:pPr>
      <w:r w:rsidRPr="00B7027C">
        <w:rPr>
          <w:rStyle w:val="doceo-font-family-base"/>
        </w:rPr>
        <w:t>4.</w:t>
      </w:r>
      <w:r w:rsidRPr="00B7027C">
        <w:rPr>
          <w:rStyle w:val="doceo-font-family-base"/>
        </w:rPr>
        <w:tab/>
      </w:r>
      <w:r w:rsidRPr="00B7027C">
        <w:t>připomíná, že Parlament k vytvoření statutu občanství EU vyzval</w:t>
      </w:r>
      <w:r w:rsidRPr="00B7027C">
        <w:rPr>
          <w:rStyle w:val="doceo-font-family-base"/>
        </w:rPr>
        <w:t xml:space="preserve"> ve svém usnesení ze dne 12. února</w:t>
      </w:r>
      <w:r w:rsidRPr="00B7027C">
        <w:t xml:space="preserve"> 2019 o uplatňování ustanovení Smlouvy týkajících se občanství EU </w:t>
      </w:r>
      <w:r w:rsidRPr="00B7027C">
        <w:rPr>
          <w:rStyle w:val="doceo-font-family-base"/>
        </w:rPr>
        <w:t>a ve svém</w:t>
      </w:r>
      <w:r w:rsidRPr="00B7027C">
        <w:t xml:space="preserve"> usnesení ze dne 10. března 2022 o zprávě o občanství EU pro rok 2020: posílení postavení občanů a ochrana jejich práv;</w:t>
      </w:r>
      <w:r w:rsidRPr="00B7027C">
        <w:rPr>
          <w:rStyle w:val="doceo-font-family-base"/>
        </w:rPr>
        <w:t xml:space="preserve"> připomíná, že Konference o budoucnosti Evropy</w:t>
      </w:r>
      <w:r w:rsidRPr="00B7027C">
        <w:t xml:space="preserve"> zdůraznila význam posílení občanství EU, </w:t>
      </w:r>
      <w:r w:rsidRPr="00B7027C">
        <w:rPr>
          <w:rStyle w:val="doceo-font-family-base"/>
        </w:rPr>
        <w:t>když ve svých závěrech uvedla, že takový statut by byl užitečným nástrojem pro konkrétnější uplatňování zásad a hodnot EU;</w:t>
      </w:r>
    </w:p>
    <w:p w:rsidR="0071320D" w:rsidRPr="00B7027C" w:rsidRDefault="0071320D" w:rsidP="0071320D">
      <w:pPr>
        <w:pStyle w:val="NormalHanging12a"/>
      </w:pPr>
      <w:r w:rsidRPr="00B7027C">
        <w:t>5.</w:t>
      </w:r>
      <w:r w:rsidRPr="00B7027C">
        <w:tab/>
        <w:t>lituje, že Komise ve svém sdělení navazujícím na Konferenci o budoucnosti Evropy výslovně nezmínila posílení občanství EU a možné způsoby, jak toho dosáhnout</w:t>
      </w:r>
      <w:r w:rsidRPr="00B7027C">
        <w:rPr>
          <w:rStyle w:val="FootnoteReference"/>
          <w:bCs/>
        </w:rPr>
        <w:footnoteReference w:id="25"/>
      </w:r>
      <w:r w:rsidRPr="00B7027C">
        <w:t>; připomíná, že Rada projevila ochotu posílit občanství v technickém posouzení, které zveřejnila v souvislosti s Konferencí o budoucnosti Evropy, ale doposud nenavrhla, nepřijala ani neuskutečnila opatření ke splnění tohoto cíle;</w:t>
      </w:r>
    </w:p>
    <w:p w:rsidR="0071320D" w:rsidRPr="00B7027C" w:rsidRDefault="0071320D" w:rsidP="0071320D">
      <w:pPr>
        <w:pStyle w:val="NormalHanging12a"/>
      </w:pPr>
      <w:r w:rsidRPr="00B7027C">
        <w:t>6.</w:t>
      </w:r>
      <w:r w:rsidRPr="00B7027C">
        <w:tab/>
        <w:t>připomíná, že Komise do konce roku zveřejní zprávu o občanství EU pro rok 2023, a očekává, že v ní navrhne nové iniciativy k posílení občanství EU a bude řešit nedostatky jeho provádění; lituje, že se Komise tentokrát rozhodla zveřejnit výzvu k předložení faktických podkladů, a nikoli veřejnou konzultaci, jak tomu bylo v předchozích letech; připomíná, že výsledky výzvy k předložení faktických podkladů neobsahují ucelený přehled nejnovějšího vývoje a nedostatků v provádění; zdůrazňuje, že tato zpráva by měla být vypracována na základě aktualizovaných údajů;</w:t>
      </w:r>
    </w:p>
    <w:p w:rsidR="0071320D" w:rsidRPr="00B7027C" w:rsidRDefault="0071320D" w:rsidP="0071320D">
      <w:pPr>
        <w:pStyle w:val="NormalHanging12a"/>
        <w:rPr>
          <w:b/>
          <w:i/>
        </w:rPr>
      </w:pPr>
      <w:r w:rsidRPr="00B7027C">
        <w:rPr>
          <w:b/>
          <w:i/>
        </w:rPr>
        <w:t>Problémy týkající se občanství EU</w:t>
      </w:r>
    </w:p>
    <w:p w:rsidR="0071320D" w:rsidRPr="00B7027C" w:rsidRDefault="0071320D" w:rsidP="0071320D">
      <w:pPr>
        <w:pStyle w:val="NormalHanging12a"/>
        <w:rPr>
          <w:bCs/>
        </w:rPr>
      </w:pPr>
      <w:r w:rsidRPr="00B7027C">
        <w:t>7.</w:t>
      </w:r>
      <w:r w:rsidRPr="00B7027C">
        <w:tab/>
        <w:t>je znepokojen specifickými obtížemi, které brání plnému výkonu práv a svobod vyplývajících z občanství EU;</w:t>
      </w:r>
    </w:p>
    <w:p w:rsidR="0071320D" w:rsidRPr="00B7027C" w:rsidRDefault="0071320D" w:rsidP="0071320D">
      <w:pPr>
        <w:pStyle w:val="NormalHanging12a"/>
        <w:rPr>
          <w:b/>
          <w:i/>
        </w:rPr>
      </w:pPr>
      <w:r w:rsidRPr="00B7027C">
        <w:rPr>
          <w:b/>
          <w:i/>
        </w:rPr>
        <w:t>Politická práva</w:t>
      </w:r>
    </w:p>
    <w:p w:rsidR="0071320D" w:rsidRPr="00B7027C" w:rsidRDefault="0071320D" w:rsidP="0071320D">
      <w:pPr>
        <w:pStyle w:val="NormalHanging12a"/>
        <w:rPr>
          <w:rStyle w:val="y2iqfc"/>
        </w:rPr>
      </w:pPr>
      <w:r w:rsidRPr="00B7027C">
        <w:rPr>
          <w:rStyle w:val="y2iqfc"/>
        </w:rPr>
        <w:t>8.</w:t>
      </w:r>
      <w:r w:rsidRPr="00B7027C">
        <w:rPr>
          <w:rStyle w:val="y2iqfc"/>
        </w:rPr>
        <w:tab/>
        <w:t>vyjadřuje politování nad skutečností, že mobilní občané méně často využívají svého práva volit a kandidovat v evropských a komunálních volbách v členských státech svého bydliště, což je mimo jiné způsobeno nedostatečnou informovaností, jazykovou bariérou, obtížemi při registraci k volbám a nízkou úspěšností kandidátů, kteří nejsou státními příslušníky daného státu;</w:t>
      </w:r>
    </w:p>
    <w:p w:rsidR="0071320D" w:rsidRPr="00B7027C" w:rsidRDefault="0071320D" w:rsidP="0071320D">
      <w:pPr>
        <w:pStyle w:val="NormalHanging12a"/>
      </w:pPr>
      <w:r w:rsidRPr="00B7027C">
        <w:t>9.</w:t>
      </w:r>
      <w:r w:rsidRPr="00B7027C">
        <w:tab/>
        <w:t xml:space="preserve">je velmi znepokojen praxí některých členských států, které zbavují své občany práva volit ve vnitrostátních parlamentních volbách, pokud trvale nebo dočasně žijí v zahraničí, což vede k jejich vyloučení z politického života jak v zemi původu, tak v </w:t>
      </w:r>
      <w:r w:rsidRPr="00B7027C">
        <w:lastRenderedPageBreak/>
        <w:t>zemi bydliště;</w:t>
      </w:r>
      <w:r w:rsidRPr="00B7027C">
        <w:rPr>
          <w:b/>
          <w:i/>
        </w:rPr>
        <w:t xml:space="preserve"> </w:t>
      </w:r>
    </w:p>
    <w:p w:rsidR="0071320D" w:rsidRPr="00B7027C" w:rsidRDefault="0071320D" w:rsidP="0071320D">
      <w:pPr>
        <w:pStyle w:val="NormalHanging12a"/>
        <w:rPr>
          <w:b/>
          <w:i/>
        </w:rPr>
      </w:pPr>
      <w:r w:rsidRPr="00B7027C">
        <w:rPr>
          <w:b/>
          <w:i/>
        </w:rPr>
        <w:t>Volný pohyb a pobyt</w:t>
      </w:r>
    </w:p>
    <w:p w:rsidR="0071320D" w:rsidRPr="00B7027C" w:rsidRDefault="0071320D" w:rsidP="0071320D">
      <w:pPr>
        <w:pStyle w:val="NormalHanging12a"/>
      </w:pPr>
      <w:r w:rsidRPr="00B7027C">
        <w:t>10.</w:t>
      </w:r>
      <w:r w:rsidRPr="00B7027C">
        <w:rPr>
          <w:b/>
          <w:i/>
        </w:rPr>
        <w:tab/>
      </w:r>
      <w:r w:rsidRPr="00B7027C">
        <w:t>zdůrazňuje, že schengenský prostor je jedním z největších úspěchů EU; zdůrazňuje, že všechny překážky bránící volnému pohybu v rámci EU by měly být odstraněny, aby bylo dosaženo stejných práv spojených s občanstvím EU pro všechny evropské občany; vyzývá k přistoupení Rumunska a Bulharska k schengenskému prostoru v souladu s usneseními Parlamentu;</w:t>
      </w:r>
    </w:p>
    <w:p w:rsidR="0071320D" w:rsidRPr="00B7027C" w:rsidRDefault="0071320D" w:rsidP="0071320D">
      <w:pPr>
        <w:pStyle w:val="NormalHanging12a"/>
        <w:rPr>
          <w:b/>
          <w:i/>
        </w:rPr>
      </w:pPr>
      <w:r w:rsidRPr="00B7027C">
        <w:t>11.</w:t>
      </w:r>
      <w:r w:rsidRPr="00B7027C">
        <w:tab/>
      </w:r>
      <w:r w:rsidRPr="00B7027C">
        <w:rPr>
          <w:rStyle w:val="y2iqfc"/>
        </w:rPr>
        <w:t>je znepokojen skutečností, že členské státy, v nichž mají bydliště mobilní občané EU</w:t>
      </w:r>
      <w:r w:rsidRPr="00B7027C">
        <w:t xml:space="preserve">, zejména ti patřící ke zranitelným skupinám, </w:t>
      </w:r>
      <w:r w:rsidRPr="00B7027C">
        <w:rPr>
          <w:rStyle w:val="y2iqfc"/>
        </w:rPr>
        <w:t>s těmito občany zachází jinak než s vlastními státními příslušníky, pokud jde o přístup k výhodám; vyzývá členské státy, aby řádně prováděly</w:t>
      </w:r>
      <w:r w:rsidRPr="00B7027C">
        <w:t xml:space="preserve"> judikaturu Soudního dvora EU (SDEU) zakazující takovou diskriminaci;</w:t>
      </w:r>
      <w:r w:rsidRPr="00B7027C">
        <w:rPr>
          <w:b/>
          <w:i/>
        </w:rPr>
        <w:t xml:space="preserve"> </w:t>
      </w:r>
    </w:p>
    <w:p w:rsidR="0071320D" w:rsidRPr="00B7027C" w:rsidRDefault="0071320D" w:rsidP="0071320D">
      <w:pPr>
        <w:pStyle w:val="NormalHanging12a"/>
      </w:pPr>
      <w:r w:rsidRPr="00B7027C">
        <w:t>12.</w:t>
      </w:r>
      <w:r w:rsidRPr="00B7027C">
        <w:rPr>
          <w:b/>
          <w:i/>
        </w:rPr>
        <w:tab/>
      </w:r>
      <w:r w:rsidRPr="00B7027C">
        <w:t>je znepokojen obtížemi a výzvami, jimž čelí občané žijící v přeshraničních regionech EU, zejména v případě uzavření hranic v důsledku krizí v celé EU nebo regionálních krizí; vyzývá v takových případech členské státy, aby udržovaly přeshraniční spolupráci a případně úzkou interakci s příslušnými místními a regionálními orgány;</w:t>
      </w:r>
    </w:p>
    <w:p w:rsidR="0071320D" w:rsidRPr="00B7027C" w:rsidRDefault="0071320D" w:rsidP="0071320D">
      <w:pPr>
        <w:pStyle w:val="NormalHanging12a"/>
        <w:rPr>
          <w:b/>
          <w:i/>
        </w:rPr>
      </w:pPr>
      <w:r w:rsidRPr="00B7027C">
        <w:rPr>
          <w:b/>
          <w:i/>
        </w:rPr>
        <w:t>Konzulární ochrana</w:t>
      </w:r>
    </w:p>
    <w:p w:rsidR="0071320D" w:rsidRPr="00B7027C" w:rsidRDefault="0071320D" w:rsidP="0071320D">
      <w:pPr>
        <w:pStyle w:val="NormalHanging12a"/>
      </w:pPr>
      <w:r w:rsidRPr="00B7027C">
        <w:t>13.</w:t>
      </w:r>
      <w:r w:rsidRPr="00B7027C">
        <w:tab/>
        <w:t>je znepokojen tím, že existují nedostatky v provádění směrnice o konzulární ochraně a ve fungování konzulárních sítí členských států, a konstatuje, že tyto nedostatky se zvýšily po vystoupení Spojeného království z EU; v této souvislosti lituje, že občané EU mají v některých zemích mimo EU omezený přístup ke konzulární ochraně a pomoci;</w:t>
      </w:r>
    </w:p>
    <w:p w:rsidR="0071320D" w:rsidRPr="00B7027C" w:rsidRDefault="0071320D" w:rsidP="0071320D">
      <w:pPr>
        <w:pStyle w:val="NormalHanging12a"/>
      </w:pPr>
      <w:r w:rsidRPr="00B7027C">
        <w:t>14.</w:t>
      </w:r>
      <w:r w:rsidRPr="00B7027C">
        <w:tab/>
        <w:t>poukazuje na to, že se vyskytly případy, kdy dvě osoby, které jsou státními příslušníky dvou různých členských států, nebyly schopny splnit určité formality, jako je uzavření manželství, na konzulárním zastoupení jednoho z členských států, i když druhý členský stát v této zemi dostupné konzulární zastoupení nemá;</w:t>
      </w:r>
    </w:p>
    <w:p w:rsidR="0071320D" w:rsidRPr="00B7027C" w:rsidRDefault="0071320D" w:rsidP="0071320D">
      <w:pPr>
        <w:pStyle w:val="NormalHanging12a"/>
        <w:rPr>
          <w:b/>
          <w:i/>
        </w:rPr>
      </w:pPr>
      <w:r w:rsidRPr="00B7027C">
        <w:rPr>
          <w:b/>
          <w:i/>
        </w:rPr>
        <w:t>Diskriminace</w:t>
      </w:r>
    </w:p>
    <w:p w:rsidR="0071320D" w:rsidRPr="00B7027C" w:rsidRDefault="0071320D" w:rsidP="0071320D">
      <w:pPr>
        <w:pStyle w:val="NormalHanging12a"/>
      </w:pPr>
      <w:r w:rsidRPr="00B7027C">
        <w:t>15.</w:t>
      </w:r>
      <w:r w:rsidRPr="00B7027C">
        <w:tab/>
        <w:t>domnívá se, že nejednotnost pravidel členských států týkajících se nabývání a ztráty státního občanství vedla k rozdílům, pokud jde o nabývání a ztrátu občanství EU, a že tyto rozdíly vedly v některých případech k porušování zásad a hodnot EU;</w:t>
      </w:r>
    </w:p>
    <w:p w:rsidR="0071320D" w:rsidRPr="00B7027C" w:rsidRDefault="0071320D" w:rsidP="0071320D">
      <w:pPr>
        <w:pStyle w:val="NormalHanging12a"/>
      </w:pPr>
      <w:r w:rsidRPr="00B7027C">
        <w:t>16.</w:t>
      </w:r>
      <w:r w:rsidRPr="00B7027C">
        <w:tab/>
        <w:t xml:space="preserve">zdůrazňuje, že stále existuje několik případů, kdy navzdory vývoji judikatury SDEU bylo zamítnuto nabývání odvozeného práva pobytu pro státní příslušníky třetích zemí, jejichž nezletilé vyživované osoby jsou občany EU; </w:t>
      </w:r>
    </w:p>
    <w:p w:rsidR="0071320D" w:rsidRPr="00B7027C" w:rsidRDefault="0071320D" w:rsidP="0071320D">
      <w:pPr>
        <w:pStyle w:val="NormalHanging12a"/>
      </w:pPr>
      <w:r w:rsidRPr="00B7027C">
        <w:t>17.</w:t>
      </w:r>
      <w:r w:rsidRPr="00B7027C">
        <w:rPr>
          <w:b/>
        </w:rPr>
        <w:tab/>
      </w:r>
      <w:r w:rsidRPr="00B7027C">
        <w:t xml:space="preserve">opakovaně vyjadřuje své znepokojení ohledně diskriminace párů stejného pohlaví a jejich dětí při uplatňování základního práva na volný pohyb v rámci EU; </w:t>
      </w:r>
    </w:p>
    <w:p w:rsidR="0071320D" w:rsidRPr="00B7027C" w:rsidRDefault="0071320D" w:rsidP="0071320D">
      <w:pPr>
        <w:pStyle w:val="NormalHanging12a"/>
        <w:rPr>
          <w:b/>
          <w:i/>
        </w:rPr>
      </w:pPr>
      <w:r w:rsidRPr="00B7027C">
        <w:rPr>
          <w:b/>
          <w:i/>
        </w:rPr>
        <w:t>Doporučení</w:t>
      </w:r>
    </w:p>
    <w:p w:rsidR="0071320D" w:rsidRPr="00B7027C" w:rsidRDefault="0071320D" w:rsidP="0071320D">
      <w:pPr>
        <w:pStyle w:val="NormalHanging12a"/>
      </w:pPr>
      <w:r w:rsidRPr="00B7027C">
        <w:t>18.</w:t>
      </w:r>
      <w:r w:rsidRPr="00B7027C">
        <w:tab/>
        <w:t xml:space="preserve">vyzývá členské státy a regionální i místní orgány, aby plně provedly stávající směrnice o právech mobilních občanů a s ohledem na nadcházející volby do Evropského parlamentu urychleně řešily stávající nedostatky; vyzývá k vytvoření cílených </w:t>
      </w:r>
      <w:r w:rsidRPr="00B7027C">
        <w:lastRenderedPageBreak/>
        <w:t>osvětových kampaní v zemi bydliště, které by poskytly mobilním občanům EU informace o jejich právu volit a kandidovat v evropských a obecních volbách v příslušném členském státě; opakuje svou výzvu k rozšíření práv mobilních občanů na celostátní a regionální volby;</w:t>
      </w:r>
    </w:p>
    <w:p w:rsidR="0071320D" w:rsidRPr="00B7027C" w:rsidRDefault="0071320D" w:rsidP="0071320D">
      <w:pPr>
        <w:pStyle w:val="NormalHanging12a"/>
      </w:pPr>
      <w:r w:rsidRPr="00B7027C">
        <w:t>19.</w:t>
      </w:r>
      <w:r w:rsidRPr="00B7027C">
        <w:tab/>
        <w:t>vyzývá členské státy, aby zaručily právo svých státních příslušníků žijících v zahraničí volit v zemi původu, a to vytvořením regulačních podmínek umožňujících jejich hlasování a odstraněním jakýchkoliv byrokratických překážek, které brání a někdy i znemožňují výkon tohoto práva; vyzývá zejména členské státy, aby tato práva rovněž zaručily a odstranily jakékoli rozdílné zacházení se svými státními příslušníky žijícími v zahraničí, pokud jde o hlasování na dálku, zejména korespondenční hlasování, je-li k dispozici; vyzývá, aby bylo zajištěno jednotné uplatňování práva volit ve volbách do Evropského parlamentu pro občany EU, kteří mají bydliště mimo EU;</w:t>
      </w:r>
    </w:p>
    <w:p w:rsidR="0071320D" w:rsidRPr="00B7027C" w:rsidRDefault="0071320D" w:rsidP="0071320D">
      <w:pPr>
        <w:pStyle w:val="NormalHanging12a"/>
      </w:pPr>
      <w:r w:rsidRPr="00B7027C">
        <w:t>20.</w:t>
      </w:r>
      <w:r w:rsidRPr="00B7027C">
        <w:tab/>
      </w:r>
      <w:r w:rsidRPr="00B7027C">
        <w:rPr>
          <w:rStyle w:val="doceo-font-family-base"/>
          <w:color w:val="000000"/>
        </w:rPr>
        <w:t>vyzývá Komisi, aby přijala</w:t>
      </w:r>
      <w:r w:rsidRPr="00B7027C">
        <w:t xml:space="preserve"> nové sdělení, v němž objasní některé klíčové pojmy obsažené ve směrnici 2004/38/ES o právu občanů EU a jejich rodinných příslušníků svobodně se pohybovat a pobývat na území EU, a poskytla tak členským státům aktuální pokyny, které by mohly přispět ke zlepšení provádění směrnice na vnitrostátní úrovni, a být tak přínosné pro občany EU a jejich rodinné příslušníky;</w:t>
      </w:r>
    </w:p>
    <w:p w:rsidR="0071320D" w:rsidRPr="00B7027C" w:rsidRDefault="0071320D" w:rsidP="0071320D">
      <w:pPr>
        <w:pStyle w:val="NormalHanging12a"/>
      </w:pPr>
      <w:r w:rsidRPr="00B7027C">
        <w:t>21.</w:t>
      </w:r>
      <w:r w:rsidRPr="00B7027C">
        <w:tab/>
        <w:t>vyzývá EU, aby podpořila přijetí závazné Evropské charty digitálních práv, včetně práv digitálního občanství, která bude vycházet z evropského prohlášení o digitálních právech a zásadách pro digitální dekádu;</w:t>
      </w:r>
    </w:p>
    <w:p w:rsidR="0071320D" w:rsidRPr="00B7027C" w:rsidRDefault="0071320D" w:rsidP="0071320D">
      <w:pPr>
        <w:pStyle w:val="NormalHanging12a"/>
      </w:pPr>
      <w:r w:rsidRPr="00B7027C">
        <w:t>22.</w:t>
      </w:r>
      <w:r w:rsidRPr="00B7027C">
        <w:tab/>
      </w:r>
      <w:r w:rsidR="000375C9">
        <w:t xml:space="preserve">vítá návrh Komise aktualizovat a zlepšit směrnici o konzulární ochraně </w:t>
      </w:r>
      <w:r w:rsidR="000375C9" w:rsidRPr="00324685">
        <w:rPr>
          <w:bCs/>
          <w:iCs/>
        </w:rPr>
        <w:t>s cílem posílit právo občanů EU na konzulární ochranu, zejména v krizových situacích,</w:t>
      </w:r>
      <w:r w:rsidR="000375C9">
        <w:t xml:space="preserve"> a to i tím, že delegacím EU bude svěřena aktivnější úloha při poskytování pomoci nedostatečně zastoupeným občanům EU</w:t>
      </w:r>
      <w:r w:rsidRPr="00B7027C">
        <w:t>;</w:t>
      </w:r>
    </w:p>
    <w:p w:rsidR="0071320D" w:rsidRPr="00B7027C" w:rsidRDefault="0071320D" w:rsidP="0071320D">
      <w:pPr>
        <w:pStyle w:val="NormalHanging12a"/>
      </w:pPr>
      <w:r w:rsidRPr="00B7027C">
        <w:t>23.</w:t>
      </w:r>
      <w:r w:rsidRPr="00B7027C">
        <w:tab/>
        <w:t>vyzývá členské státy, aby ukončily programy „zlatých víz“ a režimy pro investory a veškeré další podobné vnitrostátní režimy, které vedou k získání jejich občanství a zahrnují přímý či nepřímý prodej nebo zneužití občanství EU, neboť podkopávají samotnou koncepci občanství EU a porušují zásady a hodnoty EU; naléhavě vyzývá členské státy, chránily integritu a hodnotu občanství EU; vyzývá Komisi, aby přijala veškerá nezbytná opatření, jako je podání žaloby na příslušné členské státy k SDEU;</w:t>
      </w:r>
    </w:p>
    <w:p w:rsidR="0071320D" w:rsidRPr="00B7027C" w:rsidRDefault="0071320D" w:rsidP="0071320D">
      <w:pPr>
        <w:pStyle w:val="NormalHanging12a"/>
      </w:pPr>
      <w:r w:rsidRPr="00B7027C">
        <w:t>24.</w:t>
      </w:r>
      <w:r w:rsidRPr="00B7027C">
        <w:rPr>
          <w:b/>
          <w:i/>
        </w:rPr>
        <w:tab/>
      </w:r>
      <w:r w:rsidRPr="00B7027C">
        <w:t>vyzývá, aby v souvislosti s příští revizí Smluv bylo zavedeno, že Parlament a Rada budou moci řádným legislativním postupem přijmout společná ustanovení o přecházení prodeji cestovních pasů a dalším zneužitím v oblasti nabývání a ztráty občanství EU státními příslušníky třetích zemí, a to v zájmu přiblížení podmínek, podle nichž může být toto občanství nabyto;</w:t>
      </w:r>
    </w:p>
    <w:p w:rsidR="0071320D" w:rsidRPr="00B7027C" w:rsidRDefault="0071320D" w:rsidP="0071320D">
      <w:pPr>
        <w:pStyle w:val="NormalHanging12a"/>
      </w:pPr>
      <w:r w:rsidRPr="00B7027C">
        <w:t>25.</w:t>
      </w:r>
      <w:r w:rsidRPr="00B7027C">
        <w:tab/>
        <w:t xml:space="preserve">vyzývá členské státy a příslušné orgány, aby upravily stávající školní vzdělávací programy nebo vytvořily nové, v nichž by se vyučovala historie Evropy a Evropské unie a jejího fungování, za účelem podpory aktivního občanství a společných evropských hodnot a zvýšení povědomí o přidané hodnotě toho, že je člověk Evropanem a občanem EU; zdůrazňuje, že posílení evropského rozměru výchovy k občanství a zajištění rovného přístupu pro všechny, mimo jiné prostřednictvím veškerých digitálních nástrojů, které jsou k dispozici, umožní občanům EU jednat zodpovědně a plně se zapojit do občanského, politického a společenského života jak na evropské, tak vnitrostátní úrovni; zdůrazňuje, že Erasmus+ může hrát důležitou úlohu </w:t>
      </w:r>
      <w:r w:rsidRPr="00B7027C">
        <w:lastRenderedPageBreak/>
        <w:t>při podpoře výchovy k občanství EU prostřednictvím mobility ve vzdělávání pro všechny bez ohledu na věk, pohlaví, zaměstnanost nebo úroveň vzdělání;</w:t>
      </w:r>
    </w:p>
    <w:p w:rsidR="0071320D" w:rsidRPr="00B7027C" w:rsidRDefault="0071320D" w:rsidP="0071320D">
      <w:pPr>
        <w:pStyle w:val="NormalHanging12a"/>
      </w:pPr>
      <w:r w:rsidRPr="00B7027C">
        <w:t>26.</w:t>
      </w:r>
      <w:r w:rsidRPr="00B7027C">
        <w:tab/>
        <w:t xml:space="preserve">vyzývá Komisi, aby rozvíjela veřejné konzultace přizpůsobené všem občanům EU, zejména mladým lidem, s cílem zvýšit účast občanů EU; naléhavě vyzývá Komisi, aby aktualizovala způsob, jakým probíhají veřejné konzultace s cílem posílit občanskou angažovanost a účast širšího spektra evropských občanů, a to na základě úspěšného příkladu Konference o budoucnosti Evropy; vyzývá v této souvislosti Komisi, aby s využitím nových technologií dále zlepšila portál „Podělte se o svůj názor“ a komunikovala, jak zpětná vazba občanů přispívá k různým iniciativám; </w:t>
      </w:r>
    </w:p>
    <w:p w:rsidR="0071320D" w:rsidRPr="00B7027C" w:rsidRDefault="0071320D" w:rsidP="0071320D">
      <w:pPr>
        <w:pStyle w:val="NormalHanging12a"/>
        <w:shd w:val="clear" w:color="auto" w:fill="FFFFFF" w:themeFill="background1"/>
      </w:pPr>
      <w:r w:rsidRPr="00B7027C">
        <w:t>27.</w:t>
      </w:r>
      <w:r w:rsidRPr="00B7027C">
        <w:tab/>
        <w:t xml:space="preserve">vyzývá k vytvoření jednotného kontaktního místa pro všechny participační nástroje EU, jako jsou evropská občanská iniciativa, petice Evropskému parlamentu, stížnosti k evropskému veřejnému ochránci práv, veřejné konzultace a dialogy s občany, a ke zvýšení účinnosti těchto nástrojů, zejména tím, že se zajistí, aby přispívaly k tvorbě evropské agendy, a zároveň se zaručí, že se v rozhodovacím procesu posílí zastupitelská demokracie; vyzývá Komisi, členské státy a regionální a místní orgány, aby zvýšily své úsilí při informování veřejnosti o stávajících participativních nástrojích; </w:t>
      </w:r>
    </w:p>
    <w:p w:rsidR="0071320D" w:rsidRPr="00B7027C" w:rsidRDefault="0071320D" w:rsidP="0071320D">
      <w:pPr>
        <w:pStyle w:val="NormalHanging12a"/>
        <w:shd w:val="clear" w:color="auto" w:fill="FFFFFF" w:themeFill="background1"/>
      </w:pPr>
      <w:r w:rsidRPr="00B7027C">
        <w:t>28.</w:t>
      </w:r>
      <w:r w:rsidRPr="00B7027C">
        <w:tab/>
        <w:t>opakuje svůj návrh vytvořit stálý mechanismus konzultací s občany, který by umožnil občanům, zejména mladým lidem, diskutovat o prioritách a politikách EU, přispívat k uplatňování mimo jiné „kontroly právních předpisů z hlediska mládeže“ s cílem doplnit, nikoli však nahradit zastupitelskou parlamentní demokracii; navrhuje, aby o těchto diskuzích byli informování zástupci Parlamentu, aby mohli vyhodnotit, zda podniknout návazné kroky, je-li to vhodné;</w:t>
      </w:r>
    </w:p>
    <w:p w:rsidR="0071320D" w:rsidRPr="00B7027C" w:rsidRDefault="0071320D" w:rsidP="0071320D">
      <w:pPr>
        <w:pStyle w:val="NormalHanging12a"/>
      </w:pPr>
      <w:r w:rsidRPr="00B7027C">
        <w:t>29.</w:t>
      </w:r>
      <w:r w:rsidRPr="00B7027C">
        <w:tab/>
        <w:t>navrhuje zvážit zavedení evropského občanského průkazu, který by například umožnil výkon občanských práv a hlasování v evropských volbách, jakož i využití participativních nástrojů;</w:t>
      </w:r>
    </w:p>
    <w:p w:rsidR="0071320D" w:rsidRPr="00B7027C" w:rsidRDefault="0071320D" w:rsidP="0071320D">
      <w:pPr>
        <w:pStyle w:val="NormalHanging12a"/>
        <w:shd w:val="clear" w:color="auto" w:fill="FFFFFF" w:themeFill="background1"/>
      </w:pPr>
      <w:r w:rsidRPr="00B7027C">
        <w:t>30.</w:t>
      </w:r>
      <w:r w:rsidRPr="00B7027C">
        <w:rPr>
          <w:b/>
          <w:i/>
        </w:rPr>
        <w:tab/>
      </w:r>
      <w:r w:rsidRPr="00B7027C">
        <w:t xml:space="preserve">zdůrazňuje významnou úlohu kanceláří </w:t>
      </w:r>
      <w:proofErr w:type="spellStart"/>
      <w:r w:rsidRPr="00B7027C">
        <w:t>Europe</w:t>
      </w:r>
      <w:proofErr w:type="spellEnd"/>
      <w:r w:rsidRPr="00B7027C">
        <w:t xml:space="preserve"> Direct při zvyšování účasti občanů na místní úrovni na demokratickém životě EU; vybízí členské státy a subjekty na regionální a místní úrovni, aby s těmito kancelářemi více spolupracovaly;</w:t>
      </w:r>
    </w:p>
    <w:p w:rsidR="0071320D" w:rsidRPr="00B7027C" w:rsidRDefault="0071320D" w:rsidP="0071320D">
      <w:pPr>
        <w:pStyle w:val="NormalHanging12a"/>
      </w:pPr>
      <w:r w:rsidRPr="00B7027C">
        <w:t>31.</w:t>
      </w:r>
      <w:r w:rsidRPr="00B7027C">
        <w:rPr>
          <w:b/>
          <w:i/>
        </w:rPr>
        <w:tab/>
      </w:r>
      <w:r w:rsidRPr="00B7027C">
        <w:t xml:space="preserve">vyzývá Komisi, aby zvýšila využívání sociálních médií a digitálních nástrojů, se zvláštním zaměřením na větší zapojení mladých lidí a osob se zdravotním postižením do demokratického procesu, a podpořila tak jejich zapojení a zároveň zohlednila rovněž nižší věkovou hranici pro účast ve volbách do Evropského parlamentu v členských státech; vyzývá v této souvislosti Komisi, aby posílila podporu demokratické účasti tím, že posílí svůj dialog s občany a zvýší povědomí občanů o dopadu právních předpisů EU na jejich každodenní život. </w:t>
      </w:r>
    </w:p>
    <w:p w:rsidR="0071320D" w:rsidRPr="00B7027C" w:rsidRDefault="0071320D" w:rsidP="0071320D">
      <w:pPr>
        <w:pStyle w:val="NormalHanging12a"/>
      </w:pPr>
      <w:r w:rsidRPr="00B7027C">
        <w:t>32.</w:t>
      </w:r>
      <w:r w:rsidRPr="00B7027C">
        <w:rPr>
          <w:b/>
          <w:i/>
        </w:rPr>
        <w:tab/>
      </w:r>
      <w:r w:rsidRPr="00B7027C">
        <w:t>domnívá se, že vzhledem k rostoucímu vlivu digitální sféry na život občanů, zejména sociálních médií a umělé inteligence, je i nadále nezbytné, aby se členské státy a evropské orgány zaměřovaly na vytváření nových veřejných politik a provádění účinných mechanismů zaměřených na ochranu základních práv online a na boj proti zahraničnímu vměšování a dezinformacím, neboť představují existenční hrozbu pro demokracii a samotný výkon</w:t>
      </w:r>
      <w:r w:rsidRPr="00B7027C">
        <w:rPr>
          <w:b/>
          <w:i/>
        </w:rPr>
        <w:t xml:space="preserve"> </w:t>
      </w:r>
      <w:r w:rsidRPr="00B7027C">
        <w:t xml:space="preserve">práv občanů; </w:t>
      </w:r>
    </w:p>
    <w:p w:rsidR="0071320D" w:rsidRPr="00B7027C" w:rsidRDefault="0071320D" w:rsidP="0071320D">
      <w:pPr>
        <w:spacing w:after="240"/>
        <w:ind w:left="567" w:hanging="567"/>
        <w:rPr>
          <w:rFonts w:eastAsiaTheme="minorHAnsi" w:cstheme="minorBidi"/>
          <w:szCs w:val="22"/>
        </w:rPr>
      </w:pPr>
      <w:r w:rsidRPr="00B7027C">
        <w:t>33.</w:t>
      </w:r>
      <w:r w:rsidRPr="00B7027C">
        <w:tab/>
        <w:t xml:space="preserve">naléhavě žádá Radu a Komisi, aby obnovily jednání o revizi nařízení (ES) č. </w:t>
      </w:r>
      <w:r w:rsidRPr="00B7027C">
        <w:lastRenderedPageBreak/>
        <w:t>1049/2001</w:t>
      </w:r>
      <w:r w:rsidRPr="00B7027C">
        <w:rPr>
          <w:rFonts w:eastAsiaTheme="minorHAnsi" w:cstheme="minorBidi"/>
          <w:szCs w:val="22"/>
          <w:vertAlign w:val="superscript"/>
          <w:lang w:eastAsia="en-US"/>
        </w:rPr>
        <w:footnoteReference w:id="26"/>
      </w:r>
      <w:r w:rsidRPr="00B7027C">
        <w:t xml:space="preserve"> s cílem zajistit, aby občané EU mohli v plném rozsahu uplatňovat své právo na přístup k dokumentům a kontrolovat orgány, instituce a jiné subjekty EU.</w:t>
      </w:r>
    </w:p>
    <w:p w:rsidR="0071320D" w:rsidRPr="00B7027C" w:rsidRDefault="0071320D" w:rsidP="0071320D">
      <w:pPr>
        <w:pStyle w:val="AMNumberTabs"/>
        <w:keepNext/>
        <w:spacing w:before="0" w:after="240"/>
        <w:ind w:left="567" w:hanging="567"/>
        <w:jc w:val="both"/>
        <w:rPr>
          <w:rStyle w:val="doceo-font-family-base"/>
          <w:rFonts w:eastAsiaTheme="minorHAnsi"/>
          <w:b w:val="0"/>
          <w:color w:val="000000"/>
          <w:szCs w:val="24"/>
          <w:lang w:val="cs-CZ"/>
        </w:rPr>
      </w:pPr>
      <w:r w:rsidRPr="00B7027C">
        <w:rPr>
          <w:rStyle w:val="doceo-font-family-base"/>
          <w:b w:val="0"/>
          <w:color w:val="000000"/>
          <w:lang w:val="cs-CZ"/>
        </w:rPr>
        <w:t>34.</w:t>
      </w:r>
      <w:r w:rsidRPr="00B7027C">
        <w:rPr>
          <w:rStyle w:val="doceo-font-family-base"/>
          <w:color w:val="000000"/>
          <w:lang w:val="cs-CZ"/>
        </w:rPr>
        <w:tab/>
      </w:r>
      <w:r w:rsidRPr="00B7027C">
        <w:rPr>
          <w:b w:val="0"/>
          <w:lang w:val="cs-CZ"/>
        </w:rPr>
        <w:t>opakuje, že je třeba na základě článku 25 SFEU vypracovat statut občanství EU, který by shromažďoval stávající a budoucí občanská práva s cílem posílit vymahatelnost občanských práv a zajistit rovnost občanů, zlepšit soudržnost a reagovat na sociální, hospodářské, politické a digitální změny; připomíná, že to by mělo být provedeno v souladu s rámcem stanoveným Smlouvami</w:t>
      </w:r>
      <w:r w:rsidRPr="00B7027C">
        <w:rPr>
          <w:rStyle w:val="doceo-font-family-base"/>
          <w:b w:val="0"/>
          <w:color w:val="000000"/>
          <w:lang w:val="cs-CZ"/>
        </w:rPr>
        <w:t xml:space="preserve">; </w:t>
      </w:r>
    </w:p>
    <w:p w:rsidR="0071320D" w:rsidRPr="00B7027C" w:rsidRDefault="0071320D" w:rsidP="0071320D">
      <w:pPr>
        <w:pStyle w:val="AMNumberTabs"/>
        <w:keepNext/>
        <w:ind w:left="567" w:hanging="567"/>
        <w:jc w:val="both"/>
        <w:rPr>
          <w:b w:val="0"/>
          <w:lang w:val="cs-CZ"/>
        </w:rPr>
      </w:pPr>
      <w:r w:rsidRPr="00B7027C">
        <w:rPr>
          <w:b w:val="0"/>
          <w:lang w:val="cs-CZ"/>
        </w:rPr>
        <w:t>35.</w:t>
      </w:r>
      <w:r w:rsidRPr="00B7027C">
        <w:rPr>
          <w:b w:val="0"/>
          <w:lang w:val="cs-CZ"/>
        </w:rPr>
        <w:tab/>
        <w:t xml:space="preserve">navrhuje, aby v souladu se stávajícími a budoucími právními předpisy EU v oblasti účasti a politických práv, svobody pohybu a digitálního občanství občané měli zejména právo </w:t>
      </w:r>
      <w:proofErr w:type="gramStart"/>
      <w:r w:rsidRPr="00B7027C">
        <w:rPr>
          <w:b w:val="0"/>
          <w:lang w:val="cs-CZ"/>
        </w:rPr>
        <w:t>na</w:t>
      </w:r>
      <w:proofErr w:type="gramEnd"/>
      <w:r w:rsidRPr="00B7027C">
        <w:rPr>
          <w:b w:val="0"/>
          <w:lang w:val="cs-CZ"/>
        </w:rPr>
        <w:t xml:space="preserve">: </w:t>
      </w:r>
    </w:p>
    <w:p w:rsidR="0071320D" w:rsidRPr="00B7027C" w:rsidRDefault="00C71866" w:rsidP="00C71866">
      <w:pPr>
        <w:pStyle w:val="AMNumberTabs"/>
        <w:keepNext/>
        <w:tabs>
          <w:tab w:val="clear" w:pos="879"/>
          <w:tab w:val="clear" w:pos="936"/>
          <w:tab w:val="clear" w:pos="1021"/>
        </w:tabs>
        <w:ind w:left="1134" w:hanging="567"/>
        <w:rPr>
          <w:b w:val="0"/>
          <w:lang w:val="cs-CZ"/>
        </w:rPr>
      </w:pPr>
      <w:r>
        <w:rPr>
          <w:b w:val="0"/>
          <w:lang w:val="cs-CZ"/>
        </w:rPr>
        <w:t>–</w:t>
      </w:r>
      <w:r>
        <w:rPr>
          <w:b w:val="0"/>
          <w:lang w:val="cs-CZ"/>
        </w:rPr>
        <w:tab/>
      </w:r>
      <w:proofErr w:type="spellStart"/>
      <w:r w:rsidR="0071320D" w:rsidRPr="00B7027C">
        <w:rPr>
          <w:b w:val="0"/>
          <w:lang w:val="cs-CZ"/>
        </w:rPr>
        <w:t>genderově</w:t>
      </w:r>
      <w:proofErr w:type="spellEnd"/>
      <w:r w:rsidR="0071320D" w:rsidRPr="00B7027C">
        <w:rPr>
          <w:b w:val="0"/>
          <w:lang w:val="cs-CZ"/>
        </w:rPr>
        <w:t xml:space="preserve"> vyvážené demokratické zastoupení na kandidátních listinách; </w:t>
      </w:r>
    </w:p>
    <w:p w:rsidR="0071320D" w:rsidRPr="00B7027C" w:rsidRDefault="00C71866" w:rsidP="00C71866">
      <w:pPr>
        <w:pStyle w:val="AMNumberTabs"/>
        <w:keepNext/>
        <w:tabs>
          <w:tab w:val="clear" w:pos="879"/>
          <w:tab w:val="clear" w:pos="936"/>
          <w:tab w:val="clear" w:pos="1021"/>
        </w:tabs>
        <w:ind w:left="1134" w:hanging="567"/>
        <w:rPr>
          <w:b w:val="0"/>
          <w:lang w:val="cs-CZ"/>
        </w:rPr>
      </w:pPr>
      <w:r>
        <w:rPr>
          <w:b w:val="0"/>
          <w:lang w:val="cs-CZ"/>
        </w:rPr>
        <w:t>–</w:t>
      </w:r>
      <w:r>
        <w:rPr>
          <w:b w:val="0"/>
          <w:lang w:val="cs-CZ"/>
        </w:rPr>
        <w:tab/>
      </w:r>
      <w:r w:rsidR="0071320D" w:rsidRPr="00B7027C">
        <w:rPr>
          <w:b w:val="0"/>
          <w:lang w:val="cs-CZ"/>
        </w:rPr>
        <w:t xml:space="preserve">stálou interaktivní digitální platformu, jejímž prostřednictvím mohou občané předkládat své návrhy a nápady ve všech úředních jazycích EU; </w:t>
      </w:r>
    </w:p>
    <w:p w:rsidR="0071320D" w:rsidRPr="00B7027C" w:rsidRDefault="00C71866" w:rsidP="00C71866">
      <w:pPr>
        <w:pStyle w:val="AMNumberTabs"/>
        <w:keepNext/>
        <w:tabs>
          <w:tab w:val="clear" w:pos="879"/>
          <w:tab w:val="clear" w:pos="936"/>
          <w:tab w:val="clear" w:pos="1021"/>
        </w:tabs>
        <w:ind w:left="1134" w:hanging="567"/>
        <w:rPr>
          <w:b w:val="0"/>
          <w:lang w:val="cs-CZ"/>
        </w:rPr>
      </w:pPr>
      <w:r>
        <w:rPr>
          <w:b w:val="0"/>
          <w:lang w:val="cs-CZ"/>
        </w:rPr>
        <w:t>–</w:t>
      </w:r>
      <w:r>
        <w:rPr>
          <w:b w:val="0"/>
          <w:lang w:val="cs-CZ"/>
        </w:rPr>
        <w:tab/>
      </w:r>
      <w:r w:rsidR="0071320D" w:rsidRPr="00B7027C">
        <w:rPr>
          <w:b w:val="0"/>
          <w:lang w:val="cs-CZ"/>
        </w:rPr>
        <w:t xml:space="preserve">uznání dob studia, a nikoli pouze kvalifikace a odborné způsobilosti, za rovnocenné k tomu, aby bylo možné pracovat v jiném členském státě; </w:t>
      </w:r>
    </w:p>
    <w:p w:rsidR="0071320D" w:rsidRPr="00B7027C" w:rsidRDefault="00C71866" w:rsidP="00C71866">
      <w:pPr>
        <w:pStyle w:val="AMNumberTabs"/>
        <w:keepNext/>
        <w:tabs>
          <w:tab w:val="clear" w:pos="879"/>
          <w:tab w:val="clear" w:pos="936"/>
          <w:tab w:val="clear" w:pos="1021"/>
        </w:tabs>
        <w:ind w:left="1134" w:hanging="567"/>
        <w:rPr>
          <w:b w:val="0"/>
          <w:lang w:val="cs-CZ"/>
        </w:rPr>
      </w:pPr>
      <w:r>
        <w:rPr>
          <w:b w:val="0"/>
          <w:lang w:val="cs-CZ"/>
        </w:rPr>
        <w:t>–</w:t>
      </w:r>
      <w:r>
        <w:rPr>
          <w:b w:val="0"/>
          <w:lang w:val="cs-CZ"/>
        </w:rPr>
        <w:tab/>
      </w:r>
      <w:r w:rsidR="0071320D" w:rsidRPr="00B7027C">
        <w:rPr>
          <w:b w:val="0"/>
          <w:lang w:val="cs-CZ"/>
        </w:rPr>
        <w:t xml:space="preserve">univerzální přístup k internetu s cílem zajistit začlenění občanů a rovný přístup k digitálnímu prostředí; </w:t>
      </w:r>
    </w:p>
    <w:p w:rsidR="0071320D" w:rsidRPr="00B7027C" w:rsidRDefault="00C71866" w:rsidP="00C71866">
      <w:pPr>
        <w:pStyle w:val="AMNumberTabs"/>
        <w:keepNext/>
        <w:tabs>
          <w:tab w:val="clear" w:pos="879"/>
          <w:tab w:val="clear" w:pos="936"/>
          <w:tab w:val="clear" w:pos="1021"/>
        </w:tabs>
        <w:ind w:left="1134" w:hanging="567"/>
        <w:rPr>
          <w:b w:val="0"/>
          <w:lang w:val="cs-CZ"/>
        </w:rPr>
      </w:pPr>
      <w:r>
        <w:rPr>
          <w:b w:val="0"/>
          <w:lang w:val="cs-CZ"/>
        </w:rPr>
        <w:t>–</w:t>
      </w:r>
      <w:r>
        <w:rPr>
          <w:b w:val="0"/>
          <w:lang w:val="cs-CZ"/>
        </w:rPr>
        <w:tab/>
      </w:r>
      <w:r w:rsidR="0071320D" w:rsidRPr="00B7027C">
        <w:rPr>
          <w:b w:val="0"/>
          <w:lang w:val="cs-CZ"/>
        </w:rPr>
        <w:t xml:space="preserve">správu vlastní digitální identity, která jde nad rámec ochrany, která již existuje v souvislosti s osobními údaji v digitálním prostředí; </w:t>
      </w:r>
    </w:p>
    <w:p w:rsidR="0071320D" w:rsidRPr="00B7027C" w:rsidRDefault="00C71866" w:rsidP="00C71866">
      <w:pPr>
        <w:pStyle w:val="AMNumberTabs"/>
        <w:keepNext/>
        <w:tabs>
          <w:tab w:val="clear" w:pos="879"/>
          <w:tab w:val="clear" w:pos="936"/>
          <w:tab w:val="clear" w:pos="1021"/>
        </w:tabs>
        <w:ind w:left="1134" w:hanging="567"/>
        <w:rPr>
          <w:b w:val="0"/>
          <w:lang w:val="cs-CZ"/>
        </w:rPr>
      </w:pPr>
      <w:r>
        <w:rPr>
          <w:b w:val="0"/>
          <w:lang w:val="cs-CZ"/>
        </w:rPr>
        <w:t>–</w:t>
      </w:r>
      <w:r>
        <w:rPr>
          <w:b w:val="0"/>
          <w:lang w:val="cs-CZ"/>
        </w:rPr>
        <w:tab/>
      </w:r>
      <w:r w:rsidR="0071320D" w:rsidRPr="00B7027C">
        <w:rPr>
          <w:b w:val="0"/>
          <w:lang w:val="cs-CZ"/>
        </w:rPr>
        <w:t xml:space="preserve">digitální dědictví digitálních dat zesnulé osoby; </w:t>
      </w:r>
    </w:p>
    <w:p w:rsidR="0071320D" w:rsidRPr="00B7027C" w:rsidRDefault="00C71866" w:rsidP="00C71866">
      <w:pPr>
        <w:pStyle w:val="AMNumberTabs"/>
        <w:keepNext/>
        <w:tabs>
          <w:tab w:val="clear" w:pos="879"/>
          <w:tab w:val="clear" w:pos="936"/>
          <w:tab w:val="clear" w:pos="1021"/>
        </w:tabs>
        <w:ind w:left="1134" w:hanging="567"/>
        <w:rPr>
          <w:b w:val="0"/>
          <w:lang w:val="cs-CZ"/>
        </w:rPr>
      </w:pPr>
      <w:r>
        <w:rPr>
          <w:b w:val="0"/>
          <w:lang w:val="cs-CZ"/>
        </w:rPr>
        <w:t>–</w:t>
      </w:r>
      <w:r>
        <w:rPr>
          <w:b w:val="0"/>
          <w:lang w:val="cs-CZ"/>
        </w:rPr>
        <w:tab/>
      </w:r>
      <w:r w:rsidR="0071320D" w:rsidRPr="00B7027C">
        <w:rPr>
          <w:b w:val="0"/>
          <w:lang w:val="cs-CZ"/>
        </w:rPr>
        <w:t>vývoj systémů umělé inteligence, které jsou bezpečné, transparentní, sledovatelné a pod dohledem lidí a regulačních orgánů;</w:t>
      </w:r>
    </w:p>
    <w:p w:rsidR="0071320D" w:rsidRPr="00B7027C" w:rsidRDefault="0071320D" w:rsidP="0071320D">
      <w:pPr>
        <w:pStyle w:val="NormalHanging12a"/>
        <w:spacing w:before="240" w:after="0"/>
        <w:rPr>
          <w:rStyle w:val="doceo-font-family-base"/>
          <w:color w:val="000000"/>
          <w:u w:val="single"/>
        </w:rPr>
      </w:pPr>
      <w:r w:rsidRPr="00B7027C">
        <w:rPr>
          <w:rStyle w:val="doceo-font-family-base"/>
          <w:color w:val="000000"/>
        </w:rPr>
        <w:t>36.</w:t>
      </w:r>
      <w:r w:rsidRPr="00B7027C">
        <w:rPr>
          <w:rStyle w:val="doceo-font-family-base"/>
          <w:color w:val="000000"/>
        </w:rPr>
        <w:tab/>
      </w:r>
      <w:r w:rsidRPr="00B7027C">
        <w:t>vyzývá k začlenění horizontální doložky o zákazu diskriminace do statutu občanství EU jako další záruky rovnosti při výkonu občanských práv s cílem zajistit nediskriminaci a chránit občany, zejména příslušníky zranitelných a </w:t>
      </w:r>
      <w:proofErr w:type="spellStart"/>
      <w:r w:rsidRPr="00B7027C">
        <w:t>marginalizovaných</w:t>
      </w:r>
      <w:proofErr w:type="spellEnd"/>
      <w:r w:rsidRPr="00B7027C">
        <w:t xml:space="preserve"> skupin a osoby žijící v přeshraničních regionech EU;</w:t>
      </w:r>
    </w:p>
    <w:p w:rsidR="0071320D" w:rsidRPr="00B7027C" w:rsidRDefault="0071320D" w:rsidP="0071320D">
      <w:pPr>
        <w:pStyle w:val="NormalHanging12a"/>
        <w:spacing w:before="240" w:after="0"/>
        <w:rPr>
          <w:rStyle w:val="doceo-font-family-base"/>
          <w:color w:val="000000"/>
          <w:szCs w:val="24"/>
        </w:rPr>
      </w:pPr>
      <w:r w:rsidRPr="00B7027C">
        <w:rPr>
          <w:rStyle w:val="doceo-font-family-base"/>
          <w:color w:val="000000"/>
        </w:rPr>
        <w:t>37.</w:t>
      </w:r>
      <w:r w:rsidRPr="00B7027C">
        <w:rPr>
          <w:rStyle w:val="doceo-font-family-base"/>
          <w:color w:val="000000"/>
        </w:rPr>
        <w:tab/>
        <w:t>vyzývá Komisi, aby vedla zacílené osvětové kampaně týkající se</w:t>
      </w:r>
      <w:r w:rsidRPr="00B7027C">
        <w:t xml:space="preserve"> práv a občanských povinností vyplývajících z </w:t>
      </w:r>
      <w:r w:rsidRPr="00B7027C">
        <w:rPr>
          <w:rStyle w:val="doceo-font-family-base"/>
          <w:color w:val="000000"/>
        </w:rPr>
        <w:t xml:space="preserve">občanství EU a příslušného statutu, a to včetně balíčku EU, který by poskytl více informací o občanství EU, a aby na občanství EU věnovala více prostředků; zdůrazňuje, že s digitální a technologickou revolucí se občané stali skutečnými pilíři našich demokratických systémů a budou těmi, kdo je budou bránit; </w:t>
      </w:r>
    </w:p>
    <w:p w:rsidR="0071320D" w:rsidRPr="00B7027C" w:rsidRDefault="0071320D" w:rsidP="0071320D">
      <w:pPr>
        <w:pStyle w:val="NormalHanging12a"/>
        <w:spacing w:before="240" w:after="0"/>
        <w:rPr>
          <w:rStyle w:val="doceo-font-family-base"/>
          <w:color w:val="000000"/>
          <w:szCs w:val="24"/>
        </w:rPr>
      </w:pPr>
      <w:r w:rsidRPr="00B7027C">
        <w:rPr>
          <w:rStyle w:val="doceo-font-family-base"/>
          <w:color w:val="000000"/>
        </w:rPr>
        <w:t>38.</w:t>
      </w:r>
      <w:r w:rsidRPr="00B7027C">
        <w:rPr>
          <w:rStyle w:val="doceo-font-family-base"/>
          <w:color w:val="000000"/>
        </w:rPr>
        <w:tab/>
      </w:r>
      <w:r w:rsidR="000375C9" w:rsidRPr="00324685">
        <w:t>bere na vědomí balíček týkající se občanství, zejména zprávu o občanství EU pro rok 2023, kterou Komise zveřejnila dne 6. prosince 2023, s cílem dále posílit občanství EU a učinit ho pro občany EU hmatatelnějším;</w:t>
      </w:r>
      <w:r w:rsidR="000375C9">
        <w:rPr>
          <w:b/>
          <w:i/>
        </w:rPr>
        <w:t xml:space="preserve"> </w:t>
      </w:r>
      <w:r w:rsidR="000375C9">
        <w:t xml:space="preserve">vyzývá Komisi, aby </w:t>
      </w:r>
      <w:r w:rsidR="000375C9" w:rsidRPr="00324685">
        <w:rPr>
          <w:bCs/>
          <w:iCs/>
        </w:rPr>
        <w:t>doporučení začleněné do této zprávy</w:t>
      </w:r>
      <w:r w:rsidR="000375C9">
        <w:t xml:space="preserve"> zohlednila a aby přijala nezbytné kroky k jejich provedení postupem podle smluv;</w:t>
      </w:r>
    </w:p>
    <w:p w:rsidR="0071320D" w:rsidRPr="00B7027C" w:rsidRDefault="0071320D" w:rsidP="0071320D">
      <w:pPr>
        <w:pStyle w:val="NormalHanging12a"/>
        <w:spacing w:before="240" w:after="0"/>
      </w:pPr>
      <w:r w:rsidRPr="00B7027C">
        <w:rPr>
          <w:rStyle w:val="doceo-font-family-base"/>
          <w:color w:val="000000"/>
        </w:rPr>
        <w:lastRenderedPageBreak/>
        <w:t>39.</w:t>
      </w:r>
      <w:r w:rsidRPr="00B7027C">
        <w:rPr>
          <w:rStyle w:val="doceo-font-family-base"/>
          <w:color w:val="000000"/>
        </w:rPr>
        <w:tab/>
        <w:t>o</w:t>
      </w:r>
      <w:r w:rsidRPr="00B7027C">
        <w:t>pakuje svou výzvu ke svolání konventu pro revizi Smluv, jak je stanoveno v článku 48 Smlouvy o EU; je pevně přesvědčen, že konvent by měl pečlivě posoudit, jak dále posílit občanství EU;</w:t>
      </w:r>
    </w:p>
    <w:p w:rsidR="0071320D" w:rsidRPr="00B7027C" w:rsidRDefault="0071320D" w:rsidP="0071320D">
      <w:pPr>
        <w:pStyle w:val="NormalHanging12a"/>
        <w:spacing w:before="240" w:after="0"/>
      </w:pPr>
    </w:p>
    <w:p w:rsidR="0071320D" w:rsidRPr="00B7027C" w:rsidRDefault="0071320D" w:rsidP="0071320D">
      <w:pPr>
        <w:pStyle w:val="NormalHanging12a"/>
        <w:jc w:val="center"/>
      </w:pPr>
      <w:r w:rsidRPr="00B7027C">
        <w:t>°</w:t>
      </w:r>
    </w:p>
    <w:p w:rsidR="0071320D" w:rsidRPr="00B7027C" w:rsidRDefault="0071320D" w:rsidP="0071320D">
      <w:pPr>
        <w:pStyle w:val="NormalHanging12a"/>
        <w:jc w:val="center"/>
      </w:pPr>
      <w:r w:rsidRPr="00B7027C">
        <w:t>°</w:t>
      </w:r>
      <w:r w:rsidRPr="00B7027C">
        <w:tab/>
        <w:t>°</w:t>
      </w:r>
    </w:p>
    <w:p w:rsidR="0071320D" w:rsidRPr="00B7027C" w:rsidRDefault="0071320D" w:rsidP="0071320D">
      <w:pPr>
        <w:pStyle w:val="NormalHanging12a"/>
      </w:pPr>
      <w:r w:rsidRPr="00B7027C">
        <w:t>40.</w:t>
      </w:r>
      <w:r w:rsidRPr="00B7027C">
        <w:tab/>
        <w:t>pověřuje svou předsedkyni, aby předala toto usnesení Radě a Komisi.</w:t>
      </w:r>
    </w:p>
    <w:sectPr w:rsidR="0071320D" w:rsidRPr="00B7027C" w:rsidSect="00B7027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678" w:rsidRPr="00B7027C" w:rsidRDefault="00B91678">
      <w:r w:rsidRPr="00B7027C">
        <w:separator/>
      </w:r>
    </w:p>
  </w:endnote>
  <w:endnote w:type="continuationSeparator" w:id="0">
    <w:p w:rsidR="00B91678" w:rsidRPr="00B7027C" w:rsidRDefault="00B91678">
      <w:r w:rsidRPr="00B702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27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27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2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678" w:rsidRPr="00B7027C" w:rsidRDefault="00B91678">
      <w:r w:rsidRPr="00B7027C">
        <w:separator/>
      </w:r>
    </w:p>
  </w:footnote>
  <w:footnote w:type="continuationSeparator" w:id="0">
    <w:p w:rsidR="00B91678" w:rsidRPr="00B7027C" w:rsidRDefault="00B91678">
      <w:r w:rsidRPr="00B7027C">
        <w:continuationSeparator/>
      </w:r>
    </w:p>
  </w:footnote>
  <w:footnote w:id="1">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158, </w:t>
      </w:r>
      <w:proofErr w:type="gramStart"/>
      <w:r w:rsidRPr="00B7027C">
        <w:rPr>
          <w:sz w:val="24"/>
          <w:lang w:val="cs-CZ"/>
        </w:rPr>
        <w:t>30.4.2004</w:t>
      </w:r>
      <w:proofErr w:type="gramEnd"/>
      <w:r w:rsidRPr="00B7027C">
        <w:rPr>
          <w:sz w:val="24"/>
          <w:lang w:val="cs-CZ"/>
        </w:rPr>
        <w:t>, s. 77.</w:t>
      </w:r>
    </w:p>
  </w:footnote>
  <w:footnote w:id="2">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156, </w:t>
      </w:r>
      <w:proofErr w:type="gramStart"/>
      <w:r w:rsidRPr="00B7027C">
        <w:rPr>
          <w:sz w:val="24"/>
          <w:lang w:val="cs-CZ"/>
        </w:rPr>
        <w:t>5.5.2021</w:t>
      </w:r>
      <w:proofErr w:type="gramEnd"/>
      <w:r w:rsidRPr="00B7027C">
        <w:rPr>
          <w:sz w:val="24"/>
          <w:lang w:val="cs-CZ"/>
        </w:rPr>
        <w:t>, s. 1</w:t>
      </w:r>
      <w:r w:rsidRPr="00B7027C">
        <w:rPr>
          <w:rStyle w:val="Emphasis"/>
          <w:color w:val="333333"/>
          <w:sz w:val="24"/>
          <w:shd w:val="clear" w:color="auto" w:fill="FFFFFF"/>
          <w:lang w:val="cs-CZ"/>
        </w:rPr>
        <w:t>.</w:t>
      </w:r>
    </w:p>
  </w:footnote>
  <w:footnote w:id="3">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141, </w:t>
      </w:r>
      <w:proofErr w:type="gramStart"/>
      <w:r w:rsidRPr="00B7027C">
        <w:rPr>
          <w:sz w:val="24"/>
          <w:lang w:val="cs-CZ"/>
        </w:rPr>
        <w:t>27.5.2011</w:t>
      </w:r>
      <w:proofErr w:type="gramEnd"/>
      <w:r w:rsidRPr="00B7027C">
        <w:rPr>
          <w:sz w:val="24"/>
          <w:lang w:val="cs-CZ"/>
        </w:rPr>
        <w:t>, s. 1.</w:t>
      </w:r>
    </w:p>
  </w:footnote>
  <w:footnote w:id="4">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186, </w:t>
      </w:r>
      <w:proofErr w:type="gramStart"/>
      <w:r w:rsidRPr="00B7027C">
        <w:rPr>
          <w:sz w:val="24"/>
          <w:lang w:val="cs-CZ"/>
        </w:rPr>
        <w:t>11.7.2019</w:t>
      </w:r>
      <w:proofErr w:type="gramEnd"/>
      <w:r w:rsidRPr="00B7027C">
        <w:rPr>
          <w:sz w:val="24"/>
          <w:lang w:val="cs-CZ"/>
        </w:rPr>
        <w:t>, s. 21.</w:t>
      </w:r>
    </w:p>
  </w:footnote>
  <w:footnote w:id="5">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173, </w:t>
      </w:r>
      <w:proofErr w:type="gramStart"/>
      <w:r w:rsidRPr="00B7027C">
        <w:rPr>
          <w:sz w:val="24"/>
          <w:lang w:val="cs-CZ"/>
        </w:rPr>
        <w:t>9.7.2018</w:t>
      </w:r>
      <w:proofErr w:type="gramEnd"/>
      <w:r w:rsidRPr="00B7027C">
        <w:rPr>
          <w:sz w:val="24"/>
          <w:lang w:val="cs-CZ"/>
        </w:rPr>
        <w:t>, s. 16.</w:t>
      </w:r>
    </w:p>
  </w:footnote>
  <w:footnote w:id="6">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107, </w:t>
      </w:r>
      <w:proofErr w:type="gramStart"/>
      <w:r w:rsidRPr="00B7027C">
        <w:rPr>
          <w:sz w:val="24"/>
          <w:lang w:val="cs-CZ"/>
        </w:rPr>
        <w:t>22.4.2016</w:t>
      </w:r>
      <w:proofErr w:type="gramEnd"/>
      <w:r w:rsidRPr="00B7027C">
        <w:rPr>
          <w:sz w:val="24"/>
          <w:lang w:val="cs-CZ"/>
        </w:rPr>
        <w:t>, s. 1.</w:t>
      </w:r>
    </w:p>
  </w:footnote>
  <w:footnote w:id="7">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354, </w:t>
      </w:r>
      <w:proofErr w:type="gramStart"/>
      <w:r w:rsidRPr="00B7027C">
        <w:rPr>
          <w:sz w:val="24"/>
          <w:lang w:val="cs-CZ"/>
        </w:rPr>
        <w:t>28.12.2013</w:t>
      </w:r>
      <w:proofErr w:type="gramEnd"/>
      <w:r w:rsidRPr="00B7027C">
        <w:rPr>
          <w:sz w:val="24"/>
          <w:lang w:val="cs-CZ"/>
        </w:rPr>
        <w:t>, s. 132.</w:t>
      </w:r>
    </w:p>
  </w:footnote>
  <w:footnote w:id="8">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106, </w:t>
      </w:r>
      <w:proofErr w:type="gramStart"/>
      <w:r w:rsidRPr="00B7027C">
        <w:rPr>
          <w:sz w:val="24"/>
          <w:lang w:val="cs-CZ"/>
        </w:rPr>
        <w:t>24.4.2015</w:t>
      </w:r>
      <w:proofErr w:type="gramEnd"/>
      <w:r w:rsidRPr="00B7027C">
        <w:rPr>
          <w:sz w:val="24"/>
          <w:lang w:val="cs-CZ"/>
        </w:rPr>
        <w:t>, s. 1.</w:t>
      </w:r>
    </w:p>
  </w:footnote>
  <w:footnote w:id="9">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163, </w:t>
      </w:r>
      <w:proofErr w:type="gramStart"/>
      <w:r w:rsidRPr="00B7027C">
        <w:rPr>
          <w:sz w:val="24"/>
          <w:lang w:val="cs-CZ"/>
        </w:rPr>
        <w:t>20.6.2019</w:t>
      </w:r>
      <w:proofErr w:type="gramEnd"/>
      <w:r w:rsidRPr="00B7027C">
        <w:rPr>
          <w:sz w:val="24"/>
          <w:lang w:val="cs-CZ"/>
        </w:rPr>
        <w:t>, s. 1.</w:t>
      </w:r>
    </w:p>
  </w:footnote>
  <w:footnote w:id="10">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130, </w:t>
      </w:r>
      <w:proofErr w:type="gramStart"/>
      <w:r w:rsidRPr="00B7027C">
        <w:rPr>
          <w:sz w:val="24"/>
          <w:lang w:val="cs-CZ"/>
        </w:rPr>
        <w:t>17.5.2019</w:t>
      </w:r>
      <w:proofErr w:type="gramEnd"/>
      <w:r w:rsidRPr="00B7027C">
        <w:rPr>
          <w:sz w:val="24"/>
          <w:lang w:val="cs-CZ"/>
        </w:rPr>
        <w:t>, s. 55.</w:t>
      </w:r>
    </w:p>
  </w:footnote>
  <w:footnote w:id="11">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231, </w:t>
      </w:r>
      <w:proofErr w:type="gramStart"/>
      <w:r w:rsidRPr="00B7027C">
        <w:rPr>
          <w:sz w:val="24"/>
          <w:lang w:val="cs-CZ"/>
        </w:rPr>
        <w:t>17.7.2020</w:t>
      </w:r>
      <w:proofErr w:type="gramEnd"/>
      <w:r w:rsidRPr="00B7027C">
        <w:rPr>
          <w:sz w:val="24"/>
          <w:lang w:val="cs-CZ"/>
        </w:rPr>
        <w:t>, s. 7.</w:t>
      </w:r>
    </w:p>
  </w:footnote>
  <w:footnote w:id="12">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C 283, </w:t>
      </w:r>
      <w:proofErr w:type="gramStart"/>
      <w:r w:rsidRPr="00B7027C">
        <w:rPr>
          <w:sz w:val="24"/>
          <w:lang w:val="cs-CZ"/>
        </w:rPr>
        <w:t>11.8.2023</w:t>
      </w:r>
      <w:proofErr w:type="gramEnd"/>
      <w:r w:rsidRPr="00B7027C">
        <w:rPr>
          <w:sz w:val="24"/>
          <w:lang w:val="cs-CZ"/>
        </w:rPr>
        <w:t>, s. 76.</w:t>
      </w:r>
    </w:p>
  </w:footnote>
  <w:footnote w:id="13">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C 283, </w:t>
      </w:r>
      <w:proofErr w:type="gramStart"/>
      <w:r w:rsidRPr="00B7027C">
        <w:rPr>
          <w:sz w:val="24"/>
          <w:lang w:val="cs-CZ"/>
        </w:rPr>
        <w:t>11.8.2023</w:t>
      </w:r>
      <w:proofErr w:type="gramEnd"/>
      <w:r w:rsidRPr="00B7027C">
        <w:rPr>
          <w:sz w:val="24"/>
          <w:lang w:val="cs-CZ"/>
        </w:rPr>
        <w:t>, s. 100.</w:t>
      </w:r>
    </w:p>
  </w:footnote>
  <w:footnote w:id="14">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C 449, </w:t>
      </w:r>
      <w:proofErr w:type="gramStart"/>
      <w:r w:rsidRPr="00B7027C">
        <w:rPr>
          <w:sz w:val="24"/>
          <w:lang w:val="cs-CZ"/>
        </w:rPr>
        <w:t>23.12.2020</w:t>
      </w:r>
      <w:proofErr w:type="gramEnd"/>
      <w:r w:rsidRPr="00B7027C">
        <w:rPr>
          <w:sz w:val="24"/>
          <w:lang w:val="cs-CZ"/>
        </w:rPr>
        <w:t>, s. 6.</w:t>
      </w:r>
    </w:p>
  </w:footnote>
  <w:footnote w:id="15">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C 347, </w:t>
      </w:r>
      <w:proofErr w:type="gramStart"/>
      <w:r w:rsidRPr="00B7027C">
        <w:rPr>
          <w:sz w:val="24"/>
          <w:lang w:val="cs-CZ"/>
        </w:rPr>
        <w:t>9.9.2022</w:t>
      </w:r>
      <w:proofErr w:type="gramEnd"/>
      <w:r w:rsidRPr="00B7027C">
        <w:rPr>
          <w:sz w:val="24"/>
          <w:lang w:val="cs-CZ"/>
        </w:rPr>
        <w:t>, s. 97.</w:t>
      </w:r>
    </w:p>
  </w:footnote>
  <w:footnote w:id="16">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C 347, </w:t>
      </w:r>
      <w:proofErr w:type="gramStart"/>
      <w:r w:rsidRPr="00B7027C">
        <w:rPr>
          <w:sz w:val="24"/>
          <w:lang w:val="cs-CZ"/>
        </w:rPr>
        <w:t>9.9.2022</w:t>
      </w:r>
      <w:proofErr w:type="gramEnd"/>
      <w:r w:rsidRPr="00B7027C">
        <w:rPr>
          <w:sz w:val="24"/>
          <w:lang w:val="cs-CZ"/>
        </w:rPr>
        <w:t>, s. 202.</w:t>
      </w:r>
    </w:p>
  </w:footnote>
  <w:footnote w:id="17">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r w:rsidRPr="00B7027C">
        <w:rPr>
          <w:sz w:val="24"/>
          <w:lang w:val="cs-CZ"/>
        </w:rPr>
        <w:t>Přijaté texty, P9_TA(2023)0230.</w:t>
      </w:r>
    </w:p>
  </w:footnote>
  <w:footnote w:id="18">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r w:rsidRPr="00B7027C">
        <w:rPr>
          <w:sz w:val="24"/>
          <w:lang w:val="cs-CZ"/>
        </w:rPr>
        <w:t>Přijaté texty, P9_TA(2023)0330.</w:t>
      </w:r>
    </w:p>
  </w:footnote>
  <w:footnote w:id="19">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C 99, </w:t>
      </w:r>
      <w:proofErr w:type="gramStart"/>
      <w:r w:rsidRPr="00B7027C">
        <w:rPr>
          <w:sz w:val="24"/>
          <w:lang w:val="cs-CZ"/>
        </w:rPr>
        <w:t>1.3.2022</w:t>
      </w:r>
      <w:proofErr w:type="gramEnd"/>
      <w:r w:rsidRPr="00B7027C">
        <w:rPr>
          <w:sz w:val="24"/>
          <w:lang w:val="cs-CZ"/>
        </w:rPr>
        <w:t>, s. 96.</w:t>
      </w:r>
    </w:p>
  </w:footnote>
  <w:footnote w:id="20">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C 347, </w:t>
      </w:r>
      <w:proofErr w:type="gramStart"/>
      <w:r w:rsidRPr="00B7027C">
        <w:rPr>
          <w:sz w:val="24"/>
          <w:lang w:val="cs-CZ"/>
        </w:rPr>
        <w:t>9.9.2022</w:t>
      </w:r>
      <w:proofErr w:type="gramEnd"/>
      <w:r w:rsidRPr="00B7027C">
        <w:rPr>
          <w:sz w:val="24"/>
          <w:lang w:val="cs-CZ"/>
        </w:rPr>
        <w:t>, s. 110.</w:t>
      </w:r>
    </w:p>
  </w:footnote>
  <w:footnote w:id="21">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C 263, </w:t>
      </w:r>
      <w:proofErr w:type="gramStart"/>
      <w:r w:rsidRPr="00B7027C">
        <w:rPr>
          <w:sz w:val="24"/>
          <w:lang w:val="cs-CZ"/>
        </w:rPr>
        <w:t>25.7.2018</w:t>
      </w:r>
      <w:proofErr w:type="gramEnd"/>
      <w:r w:rsidRPr="00B7027C">
        <w:rPr>
          <w:sz w:val="24"/>
          <w:lang w:val="cs-CZ"/>
        </w:rPr>
        <w:t>, s. 98.</w:t>
      </w:r>
    </w:p>
  </w:footnote>
  <w:footnote w:id="22">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proofErr w:type="spellStart"/>
      <w:r w:rsidRPr="00B7027C">
        <w:rPr>
          <w:sz w:val="24"/>
          <w:lang w:val="cs-CZ"/>
        </w:rPr>
        <w:t>Eurostat</w:t>
      </w:r>
      <w:proofErr w:type="spellEnd"/>
      <w:r w:rsidRPr="00B7027C">
        <w:rPr>
          <w:sz w:val="24"/>
          <w:lang w:val="cs-CZ"/>
        </w:rPr>
        <w:t>, „</w:t>
      </w:r>
      <w:hyperlink r:id="rId1" w:history="1">
        <w:r w:rsidRPr="00B7027C">
          <w:rPr>
            <w:rStyle w:val="Hyperlink"/>
            <w:sz w:val="24"/>
            <w:lang w:val="cs-CZ"/>
          </w:rPr>
          <w:t xml:space="preserve">Archiv: </w:t>
        </w:r>
      </w:hyperlink>
      <w:hyperlink r:id="rId2" w:history="1">
        <w:r w:rsidRPr="00B7027C">
          <w:rPr>
            <w:rStyle w:val="Hyperlink"/>
            <w:sz w:val="24"/>
            <w:lang w:val="cs-CZ"/>
          </w:rPr>
          <w:t>občané EU žijící v jiném členském státě – statistický přehled</w:t>
        </w:r>
      </w:hyperlink>
      <w:r w:rsidRPr="00B7027C">
        <w:rPr>
          <w:sz w:val="24"/>
          <w:lang w:val="cs-CZ"/>
        </w:rPr>
        <w:t>“.</w:t>
      </w:r>
    </w:p>
  </w:footnote>
  <w:footnote w:id="23">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r w:rsidRPr="00B7027C">
        <w:rPr>
          <w:sz w:val="24"/>
          <w:lang w:val="cs-CZ"/>
        </w:rPr>
        <w:t>Evropská komise, „Občanství EU 2020 – závěrečná zpráva: Výsledky veřejné konzultace o právech vyplývajících z občanství EU 2020“, prosinec 2020.</w:t>
      </w:r>
    </w:p>
  </w:footnote>
  <w:footnote w:id="24">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r w:rsidRPr="00B7027C">
        <w:rPr>
          <w:sz w:val="24"/>
          <w:lang w:val="cs-CZ"/>
        </w:rPr>
        <w:t>Údaje: Statistika EU v oblasti příjmů a životních podmínek (</w:t>
      </w:r>
      <w:proofErr w:type="gramStart"/>
      <w:r w:rsidRPr="00B7027C">
        <w:rPr>
          <w:sz w:val="24"/>
          <w:lang w:val="cs-CZ"/>
        </w:rPr>
        <w:t>EU</w:t>
      </w:r>
      <w:proofErr w:type="gramEnd"/>
      <w:r w:rsidRPr="00B7027C">
        <w:rPr>
          <w:sz w:val="24"/>
          <w:lang w:val="cs-CZ"/>
        </w:rPr>
        <w:t>–</w:t>
      </w:r>
      <w:proofErr w:type="gramStart"/>
      <w:r w:rsidRPr="00B7027C">
        <w:rPr>
          <w:sz w:val="24"/>
          <w:lang w:val="cs-CZ"/>
        </w:rPr>
        <w:t>SILC</w:t>
      </w:r>
      <w:proofErr w:type="gramEnd"/>
      <w:r w:rsidRPr="00B7027C">
        <w:rPr>
          <w:sz w:val="24"/>
          <w:lang w:val="cs-CZ"/>
        </w:rPr>
        <w:t xml:space="preserve">) a šetření pracovních sil EU (EU–LFS); </w:t>
      </w:r>
      <w:proofErr w:type="spellStart"/>
      <w:r w:rsidRPr="00B7027C">
        <w:rPr>
          <w:sz w:val="24"/>
          <w:lang w:val="cs-CZ"/>
        </w:rPr>
        <w:t>Grammenos</w:t>
      </w:r>
      <w:proofErr w:type="spellEnd"/>
      <w:r w:rsidRPr="00B7027C">
        <w:rPr>
          <w:sz w:val="24"/>
          <w:lang w:val="cs-CZ"/>
        </w:rPr>
        <w:t xml:space="preserve">, S. a </w:t>
      </w:r>
      <w:proofErr w:type="spellStart"/>
      <w:r w:rsidRPr="00B7027C">
        <w:rPr>
          <w:sz w:val="24"/>
          <w:lang w:val="cs-CZ"/>
        </w:rPr>
        <w:t>Priestley</w:t>
      </w:r>
      <w:proofErr w:type="spellEnd"/>
      <w:r w:rsidRPr="00B7027C">
        <w:rPr>
          <w:sz w:val="24"/>
          <w:lang w:val="cs-CZ"/>
        </w:rPr>
        <w:t xml:space="preserve">, M.: </w:t>
      </w:r>
      <w:proofErr w:type="spellStart"/>
      <w:r w:rsidRPr="00B7027C">
        <w:rPr>
          <w:sz w:val="24"/>
          <w:lang w:val="cs-CZ"/>
        </w:rPr>
        <w:t>Europe</w:t>
      </w:r>
      <w:proofErr w:type="spellEnd"/>
      <w:r w:rsidRPr="00B7027C">
        <w:rPr>
          <w:sz w:val="24"/>
          <w:lang w:val="cs-CZ"/>
        </w:rPr>
        <w:t xml:space="preserve"> 2020 data and </w:t>
      </w:r>
      <w:proofErr w:type="spellStart"/>
      <w:r w:rsidRPr="00B7027C">
        <w:rPr>
          <w:sz w:val="24"/>
          <w:lang w:val="cs-CZ"/>
        </w:rPr>
        <w:t>people</w:t>
      </w:r>
      <w:proofErr w:type="spellEnd"/>
      <w:r w:rsidRPr="00B7027C">
        <w:rPr>
          <w:sz w:val="24"/>
          <w:lang w:val="cs-CZ"/>
        </w:rPr>
        <w:t xml:space="preserve"> </w:t>
      </w:r>
      <w:proofErr w:type="spellStart"/>
      <w:r w:rsidRPr="00B7027C">
        <w:rPr>
          <w:sz w:val="24"/>
          <w:lang w:val="cs-CZ"/>
        </w:rPr>
        <w:t>with</w:t>
      </w:r>
      <w:proofErr w:type="spellEnd"/>
      <w:r w:rsidRPr="00B7027C">
        <w:rPr>
          <w:sz w:val="24"/>
          <w:lang w:val="cs-CZ"/>
        </w:rPr>
        <w:t xml:space="preserve"> </w:t>
      </w:r>
      <w:proofErr w:type="spellStart"/>
      <w:r w:rsidRPr="00B7027C">
        <w:rPr>
          <w:sz w:val="24"/>
          <w:lang w:val="cs-CZ"/>
        </w:rPr>
        <w:t>disabilities</w:t>
      </w:r>
      <w:proofErr w:type="spellEnd"/>
      <w:r w:rsidRPr="00B7027C">
        <w:rPr>
          <w:sz w:val="24"/>
          <w:lang w:val="cs-CZ"/>
        </w:rPr>
        <w:t xml:space="preserve"> – </w:t>
      </w:r>
      <w:proofErr w:type="spellStart"/>
      <w:r w:rsidRPr="00B7027C">
        <w:rPr>
          <w:sz w:val="24"/>
          <w:lang w:val="cs-CZ"/>
        </w:rPr>
        <w:t>tables</w:t>
      </w:r>
      <w:proofErr w:type="spellEnd"/>
      <w:r w:rsidRPr="00B7027C">
        <w:rPr>
          <w:sz w:val="24"/>
          <w:lang w:val="cs-CZ"/>
        </w:rPr>
        <w:t xml:space="preserve"> (Údaje a osoby se zdravotním postižením – tabulky, Evropa 2020). </w:t>
      </w:r>
      <w:proofErr w:type="spellStart"/>
      <w:r w:rsidRPr="00B7027C">
        <w:rPr>
          <w:sz w:val="24"/>
          <w:lang w:val="cs-CZ"/>
        </w:rPr>
        <w:t>Eurostat</w:t>
      </w:r>
      <w:proofErr w:type="spellEnd"/>
      <w:r w:rsidRPr="00B7027C">
        <w:rPr>
          <w:sz w:val="24"/>
          <w:lang w:val="cs-CZ"/>
        </w:rPr>
        <w:t>, 2020.</w:t>
      </w:r>
    </w:p>
  </w:footnote>
  <w:footnote w:id="25">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r w:rsidRPr="00B7027C">
        <w:rPr>
          <w:sz w:val="24"/>
          <w:lang w:val="cs-CZ"/>
        </w:rPr>
        <w:t>Sdělení Komise ze dne 17. června 2022 nazvané Konference o budoucnosti Evropy – přeměna vize na konkrétní opatření (</w:t>
      </w:r>
      <w:proofErr w:type="gramStart"/>
      <w:r w:rsidRPr="00B7027C">
        <w:rPr>
          <w:sz w:val="24"/>
          <w:lang w:val="cs-CZ"/>
        </w:rPr>
        <w:t>COM(2022</w:t>
      </w:r>
      <w:proofErr w:type="gramEnd"/>
      <w:r w:rsidRPr="00B7027C">
        <w:rPr>
          <w:sz w:val="24"/>
          <w:lang w:val="cs-CZ"/>
        </w:rPr>
        <w:t>)0404).</w:t>
      </w:r>
    </w:p>
  </w:footnote>
  <w:footnote w:id="26">
    <w:p w:rsidR="0071320D" w:rsidRPr="00B7027C" w:rsidRDefault="0071320D" w:rsidP="00B7027C">
      <w:pPr>
        <w:pStyle w:val="FootnoteText"/>
        <w:ind w:left="567" w:hanging="567"/>
        <w:rPr>
          <w:sz w:val="24"/>
          <w:lang w:val="cs-CZ"/>
        </w:rPr>
      </w:pPr>
      <w:r w:rsidRPr="00B7027C">
        <w:rPr>
          <w:rStyle w:val="FootnoteReference"/>
          <w:sz w:val="24"/>
          <w:lang w:val="cs-CZ"/>
        </w:rPr>
        <w:footnoteRef/>
      </w:r>
      <w:r w:rsidR="00B7027C" w:rsidRPr="00B7027C">
        <w:rPr>
          <w:sz w:val="24"/>
          <w:lang w:val="cs-CZ"/>
        </w:rPr>
        <w:t xml:space="preserve"> </w:t>
      </w:r>
      <w:r w:rsidR="00B7027C" w:rsidRPr="00B7027C">
        <w:rPr>
          <w:sz w:val="24"/>
          <w:lang w:val="cs-CZ"/>
        </w:rPr>
        <w:tab/>
      </w:r>
      <w:r w:rsidRPr="00B7027C">
        <w:rPr>
          <w:sz w:val="24"/>
          <w:lang w:val="cs-CZ"/>
        </w:rPr>
        <w:t>Nařízení Evropského parlamentu a Rady (ES) č. 1049/2001 ze dne 30. května 2001 o přístupu veřejnosti k dokumentům Evrops</w:t>
      </w:r>
      <w:r w:rsidR="00C71866">
        <w:rPr>
          <w:sz w:val="24"/>
          <w:lang w:val="cs-CZ"/>
        </w:rPr>
        <w:t>kého parlamentu, Rady a Komise (</w:t>
      </w:r>
      <w:proofErr w:type="spellStart"/>
      <w:r w:rsidRPr="00B7027C">
        <w:rPr>
          <w:sz w:val="24"/>
          <w:lang w:val="cs-CZ"/>
        </w:rPr>
        <w:t>Úř</w:t>
      </w:r>
      <w:proofErr w:type="spellEnd"/>
      <w:r w:rsidRPr="00B7027C">
        <w:rPr>
          <w:sz w:val="24"/>
          <w:lang w:val="cs-CZ"/>
        </w:rPr>
        <w:t xml:space="preserve">. </w:t>
      </w:r>
      <w:proofErr w:type="spellStart"/>
      <w:proofErr w:type="gramStart"/>
      <w:r w:rsidRPr="00B7027C">
        <w:rPr>
          <w:sz w:val="24"/>
          <w:lang w:val="cs-CZ"/>
        </w:rPr>
        <w:t>věst</w:t>
      </w:r>
      <w:proofErr w:type="spellEnd"/>
      <w:proofErr w:type="gramEnd"/>
      <w:r w:rsidRPr="00B7027C">
        <w:rPr>
          <w:sz w:val="24"/>
          <w:lang w:val="cs-CZ"/>
        </w:rPr>
        <w:t xml:space="preserve">. L 145, </w:t>
      </w:r>
      <w:proofErr w:type="gramStart"/>
      <w:r w:rsidRPr="00B7027C">
        <w:rPr>
          <w:sz w:val="24"/>
          <w:lang w:val="cs-CZ"/>
        </w:rPr>
        <w:t>31.5.2001</w:t>
      </w:r>
      <w:proofErr w:type="gramEnd"/>
      <w:r w:rsidRPr="00B7027C">
        <w:rPr>
          <w:sz w:val="24"/>
          <w:lang w:val="cs-CZ"/>
        </w:rPr>
        <w:t>, s. 43</w:t>
      </w:r>
      <w:r w:rsidR="00C71866">
        <w:rPr>
          <w:sz w:val="24"/>
          <w:lang w:val="cs-CZ"/>
        </w:rPr>
        <w:t>)</w:t>
      </w:r>
      <w:r w:rsidRPr="00B7027C">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2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2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2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CS"/>
    <w:docVar w:name="dvnumam" w:val="0"/>
    <w:docVar w:name="dvpe" w:val="754.647"/>
    <w:docVar w:name="dvrapporteur" w:val="Zpravodajka: "/>
    <w:docVar w:name="dvtitre" w:val="Usnesení Evropského parlamentu ze dne.... 2024 o provádění ustanovení Smlouvy o občanství EU(2023/2085(INI))"/>
  </w:docVars>
  <w:rsids>
    <w:rsidRoot w:val="00B91678"/>
    <w:rsid w:val="00002272"/>
    <w:rsid w:val="000375C9"/>
    <w:rsid w:val="00064002"/>
    <w:rsid w:val="000677B9"/>
    <w:rsid w:val="000831BA"/>
    <w:rsid w:val="000A42CC"/>
    <w:rsid w:val="000E7DD9"/>
    <w:rsid w:val="0010095E"/>
    <w:rsid w:val="00125B37"/>
    <w:rsid w:val="00187494"/>
    <w:rsid w:val="001F32AE"/>
    <w:rsid w:val="002767FF"/>
    <w:rsid w:val="002B18FE"/>
    <w:rsid w:val="002B5493"/>
    <w:rsid w:val="00324685"/>
    <w:rsid w:val="00343214"/>
    <w:rsid w:val="00361C00"/>
    <w:rsid w:val="00395FA1"/>
    <w:rsid w:val="003E15D4"/>
    <w:rsid w:val="00411CCE"/>
    <w:rsid w:val="0041666E"/>
    <w:rsid w:val="00421060"/>
    <w:rsid w:val="00471C19"/>
    <w:rsid w:val="004867E3"/>
    <w:rsid w:val="00494A28"/>
    <w:rsid w:val="004A290C"/>
    <w:rsid w:val="004C0004"/>
    <w:rsid w:val="004C5D52"/>
    <w:rsid w:val="0050519A"/>
    <w:rsid w:val="005072A1"/>
    <w:rsid w:val="005140DD"/>
    <w:rsid w:val="00514517"/>
    <w:rsid w:val="00545827"/>
    <w:rsid w:val="00560270"/>
    <w:rsid w:val="005C2568"/>
    <w:rsid w:val="006037C0"/>
    <w:rsid w:val="006631B6"/>
    <w:rsid w:val="00680577"/>
    <w:rsid w:val="006F74FA"/>
    <w:rsid w:val="0071320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27C"/>
    <w:rsid w:val="00B91678"/>
    <w:rsid w:val="00BD48FE"/>
    <w:rsid w:val="00BD7BD8"/>
    <w:rsid w:val="00BE6ADC"/>
    <w:rsid w:val="00C05BFE"/>
    <w:rsid w:val="00C23CD4"/>
    <w:rsid w:val="00C61C0C"/>
    <w:rsid w:val="00C7186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C6D1C"/>
  <w15:chartTrackingRefBased/>
  <w15:docId w15:val="{81507D0C-81C7-4D25-85AF-4DAB70BAB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1320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1320D"/>
    <w:pPr>
      <w:spacing w:after="240"/>
    </w:pPr>
  </w:style>
  <w:style w:type="paragraph" w:customStyle="1" w:styleId="PageHeading">
    <w:name w:val="PageHeading"/>
    <w:basedOn w:val="Normal"/>
    <w:rsid w:val="0071320D"/>
    <w:pPr>
      <w:keepNext/>
      <w:spacing w:after="480"/>
      <w:jc w:val="center"/>
    </w:pPr>
    <w:rPr>
      <w:rFonts w:ascii="Arial" w:hAnsi="Arial" w:cs="Arial"/>
      <w:b/>
    </w:rPr>
  </w:style>
  <w:style w:type="paragraph" w:customStyle="1" w:styleId="NormalHanging12a">
    <w:name w:val="NormalHanging12a"/>
    <w:basedOn w:val="Normal"/>
    <w:link w:val="NormalHanging12aChar"/>
    <w:rsid w:val="0071320D"/>
    <w:pPr>
      <w:spacing w:after="240"/>
      <w:ind w:left="567" w:hanging="567"/>
    </w:pPr>
  </w:style>
  <w:style w:type="paragraph" w:styleId="Header">
    <w:name w:val="header"/>
    <w:basedOn w:val="Normal"/>
    <w:link w:val="HeaderChar"/>
    <w:rsid w:val="0071320D"/>
    <w:pPr>
      <w:tabs>
        <w:tab w:val="center" w:pos="4513"/>
        <w:tab w:val="right" w:pos="9026"/>
      </w:tabs>
    </w:pPr>
  </w:style>
  <w:style w:type="character" w:customStyle="1" w:styleId="HeaderChar">
    <w:name w:val="Header Char"/>
    <w:basedOn w:val="DefaultParagraphFont"/>
    <w:link w:val="Header"/>
    <w:rsid w:val="0071320D"/>
    <w:rPr>
      <w:sz w:val="24"/>
      <w:lang w:val="cs-CZ"/>
    </w:rPr>
  </w:style>
  <w:style w:type="paragraph" w:customStyle="1" w:styleId="EPFooter">
    <w:name w:val="EPFooter"/>
    <w:basedOn w:val="Normal"/>
    <w:rsid w:val="0071320D"/>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71320D"/>
    <w:rPr>
      <w:color w:val="0563C1" w:themeColor="hyperlink"/>
      <w:u w:val="single"/>
    </w:rPr>
  </w:style>
  <w:style w:type="paragraph" w:customStyle="1" w:styleId="Normal12">
    <w:name w:val="Normal12"/>
    <w:basedOn w:val="Normal"/>
    <w:rsid w:val="0071320D"/>
    <w:pPr>
      <w:spacing w:after="240"/>
    </w:pPr>
  </w:style>
  <w:style w:type="character" w:customStyle="1" w:styleId="doceo-font-family-base">
    <w:name w:val="doceo-font-family-base"/>
    <w:basedOn w:val="DefaultParagraphFont"/>
    <w:rsid w:val="0071320D"/>
  </w:style>
  <w:style w:type="character" w:customStyle="1" w:styleId="y2iqfc">
    <w:name w:val="y2iqfc"/>
    <w:basedOn w:val="DefaultParagraphFont"/>
    <w:rsid w:val="0071320D"/>
  </w:style>
  <w:style w:type="character" w:customStyle="1" w:styleId="Bold">
    <w:name w:val="Bold"/>
    <w:uiPriority w:val="1"/>
    <w:rsid w:val="0071320D"/>
    <w:rPr>
      <w:b/>
      <w:bCs w:val="0"/>
    </w:rPr>
  </w:style>
  <w:style w:type="character" w:styleId="Emphasis">
    <w:name w:val="Emphasis"/>
    <w:basedOn w:val="DefaultParagraphFont"/>
    <w:uiPriority w:val="20"/>
    <w:qFormat/>
    <w:rsid w:val="0071320D"/>
    <w:rPr>
      <w:i/>
      <w:iCs/>
    </w:rPr>
  </w:style>
  <w:style w:type="paragraph" w:customStyle="1" w:styleId="AMNumberTabs">
    <w:name w:val="AMNumberTabs"/>
    <w:basedOn w:val="Normal"/>
    <w:rsid w:val="007132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24a">
    <w:name w:val="Normal24a"/>
    <w:basedOn w:val="Normal"/>
    <w:rsid w:val="0071320D"/>
    <w:pPr>
      <w:spacing w:after="480"/>
    </w:pPr>
    <w:rPr>
      <w:lang w:val="en-GB"/>
    </w:rPr>
  </w:style>
  <w:style w:type="character" w:customStyle="1" w:styleId="NormalHanging12aChar">
    <w:name w:val="NormalHanging12a Char"/>
    <w:basedOn w:val="DefaultParagraphFont"/>
    <w:link w:val="NormalHanging12a"/>
    <w:locked/>
    <w:rsid w:val="0071320D"/>
    <w:rPr>
      <w:sz w:val="24"/>
      <w:lang w:val="cs-CZ"/>
    </w:rPr>
  </w:style>
  <w:style w:type="paragraph" w:customStyle="1" w:styleId="PageHeadingNotTOC">
    <w:name w:val="PageHeadingNotTOC"/>
    <w:basedOn w:val="Normal"/>
    <w:rsid w:val="0071320D"/>
    <w:pPr>
      <w:keepNext/>
      <w:spacing w:after="480"/>
      <w:jc w:val="center"/>
    </w:pPr>
    <w:rPr>
      <w:rFonts w:ascii="Arial" w:hAnsi="Arial" w:cs="Arial"/>
      <w:b/>
    </w:rPr>
  </w:style>
  <w:style w:type="paragraph" w:styleId="Footer">
    <w:name w:val="footer"/>
    <w:basedOn w:val="Normal"/>
    <w:link w:val="FooterChar"/>
    <w:rsid w:val="00B7027C"/>
    <w:pPr>
      <w:tabs>
        <w:tab w:val="center" w:pos="4513"/>
        <w:tab w:val="right" w:pos="9026"/>
      </w:tabs>
    </w:pPr>
  </w:style>
  <w:style w:type="character" w:customStyle="1" w:styleId="FooterChar">
    <w:name w:val="Footer Char"/>
    <w:basedOn w:val="DefaultParagraphFont"/>
    <w:link w:val="Footer"/>
    <w:rsid w:val="00B7027C"/>
    <w:rPr>
      <w:sz w:val="24"/>
      <w:lang w:val="cs-CZ"/>
    </w:rPr>
  </w:style>
  <w:style w:type="paragraph" w:styleId="BalloonText">
    <w:name w:val="Balloon Text"/>
    <w:basedOn w:val="Normal"/>
    <w:link w:val="BalloonTextChar"/>
    <w:rsid w:val="000375C9"/>
    <w:rPr>
      <w:rFonts w:ascii="Segoe UI" w:hAnsi="Segoe UI" w:cs="Segoe UI"/>
      <w:sz w:val="18"/>
      <w:szCs w:val="18"/>
    </w:rPr>
  </w:style>
  <w:style w:type="character" w:customStyle="1" w:styleId="BalloonTextChar">
    <w:name w:val="Balloon Text Char"/>
    <w:basedOn w:val="DefaultParagraphFont"/>
    <w:link w:val="BalloonText"/>
    <w:rsid w:val="000375C9"/>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statistics-explained/index.php?title=Archive:EU_citizens_living_in_another_Member_State_-_statistical_overview" TargetMode="External"/><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E139F-CDF7-4E0B-A923-CBA090F9C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3833</Words>
  <Characters>21676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2024-02-24T10:58:00Z</dcterms:created>
  <dcterms:modified xsi:type="dcterms:W3CDTF">2024-02-24T10:58:00Z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A9-0436/2023</vt:lpwstr>
  </property>
  <property fmtid="{D5CDD505-2E9C-101B-9397-08002B2CF9AE}" pid="4" name="&lt;Type&gt;">
    <vt:lpwstr>RR</vt:lpwstr>
  </property>
</Properties>
</file>