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F0BB4" w:rsidTr="0010095E">
        <w:trPr>
          <w:trHeight w:hRule="exact" w:val="1418"/>
        </w:trPr>
        <w:tc>
          <w:tcPr>
            <w:tcW w:w="6804" w:type="dxa"/>
            <w:shd w:val="clear" w:color="auto" w:fill="auto"/>
            <w:vAlign w:val="center"/>
          </w:tcPr>
          <w:p w:rsidR="00751A4A" w:rsidRPr="002F0BB4" w:rsidRDefault="000D57A2" w:rsidP="0092231B">
            <w:pPr>
              <w:pStyle w:val="EPName"/>
            </w:pPr>
            <w:r w:rsidRPr="002F0BB4">
              <w:t>European Parliament</w:t>
            </w:r>
          </w:p>
          <w:p w:rsidR="00751A4A" w:rsidRPr="002F0BB4" w:rsidRDefault="00817416" w:rsidP="0092231B">
            <w:pPr>
              <w:pStyle w:val="EPTerm"/>
              <w:rPr>
                <w:rStyle w:val="HideTWBExt"/>
                <w:noProof w:val="0"/>
                <w:vanish w:val="0"/>
                <w:color w:val="auto"/>
              </w:rPr>
            </w:pPr>
            <w:r w:rsidRPr="002F0BB4">
              <w:t>2019-2024</w:t>
            </w:r>
          </w:p>
        </w:tc>
        <w:tc>
          <w:tcPr>
            <w:tcW w:w="2268" w:type="dxa"/>
            <w:shd w:val="clear" w:color="auto" w:fill="auto"/>
          </w:tcPr>
          <w:p w:rsidR="00751A4A" w:rsidRPr="002F0BB4" w:rsidRDefault="00187494" w:rsidP="0092231B">
            <w:pPr>
              <w:pStyle w:val="EPLogo"/>
            </w:pPr>
            <w:r w:rsidRPr="002F0BB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F0BB4" w:rsidRDefault="00D058B8" w:rsidP="0092231B">
      <w:pPr>
        <w:pStyle w:val="LineTop"/>
      </w:pPr>
    </w:p>
    <w:p w:rsidR="00680577" w:rsidRPr="00A93518" w:rsidRDefault="000D57A2" w:rsidP="0092231B">
      <w:pPr>
        <w:pStyle w:val="EPBodyTA1"/>
      </w:pPr>
      <w:r w:rsidRPr="00A93518">
        <w:t>TEXTS ADOPTED</w:t>
      </w:r>
    </w:p>
    <w:p w:rsidR="00D058B8" w:rsidRPr="00A93518" w:rsidRDefault="00D058B8" w:rsidP="0092231B">
      <w:pPr>
        <w:pStyle w:val="LineBottom"/>
      </w:pPr>
    </w:p>
    <w:p w:rsidR="000D57A2" w:rsidRPr="00A93518" w:rsidRDefault="000D57A2" w:rsidP="0092231B">
      <w:pPr>
        <w:pStyle w:val="ATHeading1"/>
        <w:keepNext w:val="0"/>
        <w:keepLines w:val="0"/>
        <w:widowControl w:val="0"/>
      </w:pPr>
      <w:bookmarkStart w:id="0" w:name="TANumber"/>
      <w:r w:rsidRPr="00A93518">
        <w:t>P9_</w:t>
      </w:r>
      <w:proofErr w:type="gramStart"/>
      <w:r w:rsidRPr="00A93518">
        <w:t>TA(</w:t>
      </w:r>
      <w:proofErr w:type="gramEnd"/>
      <w:r w:rsidRPr="00A93518">
        <w:t>2024)</w:t>
      </w:r>
      <w:bookmarkEnd w:id="0"/>
      <w:r w:rsidR="00AE6319" w:rsidRPr="00A93518">
        <w:t>00</w:t>
      </w:r>
      <w:r w:rsidR="00AE6319">
        <w:t>24</w:t>
      </w:r>
    </w:p>
    <w:p w:rsidR="000D57A2" w:rsidRPr="0092231B" w:rsidRDefault="0092231B" w:rsidP="0092231B">
      <w:pPr>
        <w:pStyle w:val="ATHeading2"/>
        <w:widowControl w:val="0"/>
      </w:pPr>
      <w:bookmarkStart w:id="1" w:name="title"/>
      <w:r>
        <w:t>Implementation of the Treaty provisions on EU citizenship</w:t>
      </w:r>
      <w:bookmarkEnd w:id="1"/>
    </w:p>
    <w:p w:rsidR="000D57A2" w:rsidRPr="0092231B" w:rsidRDefault="000D57A2" w:rsidP="0092231B">
      <w:pPr>
        <w:rPr>
          <w:i/>
          <w:vanish/>
          <w:lang w:val="fr-FR"/>
        </w:rPr>
      </w:pPr>
      <w:r w:rsidRPr="002F0BB4">
        <w:rPr>
          <w:i/>
        </w:rPr>
        <w:fldChar w:fldCharType="begin"/>
      </w:r>
      <w:r w:rsidRPr="0092231B">
        <w:rPr>
          <w:i/>
          <w:lang w:val="fr-FR"/>
        </w:rPr>
        <w:instrText xml:space="preserve"> TC"(</w:instrText>
      </w:r>
      <w:bookmarkStart w:id="2" w:name="DocNumber"/>
      <w:r w:rsidRPr="0092231B">
        <w:rPr>
          <w:i/>
          <w:lang w:val="fr-FR"/>
        </w:rPr>
        <w:instrText>A9-0436/2023</w:instrText>
      </w:r>
      <w:bookmarkEnd w:id="2"/>
      <w:r w:rsidRPr="0092231B">
        <w:rPr>
          <w:i/>
          <w:lang w:val="fr-FR"/>
        </w:rPr>
        <w:instrText xml:space="preserve"> - Rapporteur: Maite Pagazaurtundúa)"\l3 \n&gt; \* MERGEFORMAT </w:instrText>
      </w:r>
      <w:r w:rsidRPr="002F0BB4">
        <w:rPr>
          <w:i/>
        </w:rPr>
        <w:fldChar w:fldCharType="end"/>
      </w:r>
    </w:p>
    <w:p w:rsidR="000D57A2" w:rsidRPr="00EA7420" w:rsidRDefault="000D57A2" w:rsidP="0092231B">
      <w:pPr>
        <w:rPr>
          <w:vanish/>
          <w:lang w:val="fr-FR"/>
        </w:rPr>
      </w:pPr>
      <w:bookmarkStart w:id="3" w:name="Commission"/>
      <w:proofErr w:type="spellStart"/>
      <w:r w:rsidRPr="00EA7420">
        <w:rPr>
          <w:vanish/>
          <w:lang w:val="fr-FR"/>
        </w:rPr>
        <w:t>Committee</w:t>
      </w:r>
      <w:proofErr w:type="spellEnd"/>
      <w:r w:rsidRPr="00EA7420">
        <w:rPr>
          <w:vanish/>
          <w:lang w:val="fr-FR"/>
        </w:rPr>
        <w:t xml:space="preserve"> on </w:t>
      </w:r>
      <w:proofErr w:type="spellStart"/>
      <w:r w:rsidRPr="00EA7420">
        <w:rPr>
          <w:vanish/>
          <w:lang w:val="fr-FR"/>
        </w:rPr>
        <w:t>Constitutional</w:t>
      </w:r>
      <w:proofErr w:type="spellEnd"/>
      <w:r w:rsidRPr="00EA7420">
        <w:rPr>
          <w:vanish/>
          <w:lang w:val="fr-FR"/>
        </w:rPr>
        <w:t xml:space="preserve"> </w:t>
      </w:r>
      <w:proofErr w:type="spellStart"/>
      <w:r w:rsidRPr="00EA7420">
        <w:rPr>
          <w:vanish/>
          <w:lang w:val="fr-FR"/>
        </w:rPr>
        <w:t>Affairs</w:t>
      </w:r>
      <w:bookmarkEnd w:id="3"/>
      <w:proofErr w:type="spellEnd"/>
    </w:p>
    <w:p w:rsidR="000D57A2" w:rsidRPr="00EA7420" w:rsidRDefault="000D57A2" w:rsidP="0092231B">
      <w:pPr>
        <w:rPr>
          <w:vanish/>
          <w:lang w:val="fr-FR"/>
        </w:rPr>
      </w:pPr>
      <w:bookmarkStart w:id="4" w:name="PE"/>
      <w:r w:rsidRPr="00EA7420">
        <w:rPr>
          <w:vanish/>
          <w:lang w:val="fr-FR"/>
        </w:rPr>
        <w:t>PE754.647</w:t>
      </w:r>
      <w:bookmarkEnd w:id="4"/>
    </w:p>
    <w:p w:rsidR="000D57A2" w:rsidRPr="002F0BB4" w:rsidRDefault="000D57A2" w:rsidP="0092231B">
      <w:pPr>
        <w:pStyle w:val="ATHeading3"/>
        <w:keepNext w:val="0"/>
        <w:keepLines w:val="0"/>
        <w:widowControl w:val="0"/>
      </w:pPr>
      <w:bookmarkStart w:id="5" w:name="Sujet"/>
      <w:r w:rsidRPr="002F0BB4">
        <w:t xml:space="preserve">European Parliament resolution of </w:t>
      </w:r>
      <w:r w:rsidR="00A93518">
        <w:t>17</w:t>
      </w:r>
      <w:r w:rsidRPr="002F0BB4">
        <w:t xml:space="preserve"> </w:t>
      </w:r>
      <w:r w:rsidR="0092231B">
        <w:t>January</w:t>
      </w:r>
      <w:r w:rsidRPr="002F0BB4">
        <w:t xml:space="preserve"> 2024 on the implementation of Treaty provisions on EU citizenship</w:t>
      </w:r>
      <w:bookmarkEnd w:id="5"/>
      <w:r w:rsidRPr="002F0BB4">
        <w:t xml:space="preserve"> </w:t>
      </w:r>
      <w:bookmarkStart w:id="6" w:name="References"/>
      <w:r w:rsidRPr="002F0BB4">
        <w:t>(2023/2085(INI))</w:t>
      </w:r>
      <w:bookmarkEnd w:id="6"/>
    </w:p>
    <w:p w:rsidR="000D57A2" w:rsidRPr="002F0BB4" w:rsidRDefault="000D57A2" w:rsidP="0092231B"/>
    <w:p w:rsidR="00DB7FF1" w:rsidRPr="002F0BB4" w:rsidRDefault="00DB7FF1" w:rsidP="0092231B">
      <w:pPr>
        <w:pStyle w:val="Normal12"/>
        <w:jc w:val="both"/>
      </w:pPr>
      <w:bookmarkStart w:id="7" w:name="TextBodyBegin"/>
      <w:bookmarkEnd w:id="7"/>
      <w:r w:rsidRPr="002F0BB4">
        <w:rPr>
          <w:i/>
        </w:rPr>
        <w:t>The European Parliament</w:t>
      </w:r>
      <w:r w:rsidRPr="002F0BB4">
        <w:t>,</w:t>
      </w:r>
    </w:p>
    <w:p w:rsidR="00DB7FF1" w:rsidRPr="002F0BB4" w:rsidRDefault="00DB7FF1" w:rsidP="0092231B">
      <w:pPr>
        <w:pStyle w:val="NormalHanging12a"/>
      </w:pPr>
      <w:r w:rsidRPr="002F0BB4">
        <w:t>–</w:t>
      </w:r>
      <w:r w:rsidRPr="002F0BB4">
        <w:tab/>
        <w:t>having regard to Articles 2, 3, 6, 9, 10, 11, 12, 21 and 23 of the Treaty on European Union (TEU),</w:t>
      </w:r>
    </w:p>
    <w:p w:rsidR="00DB7FF1" w:rsidRPr="002F0BB4" w:rsidRDefault="00DB7FF1" w:rsidP="0092231B">
      <w:pPr>
        <w:pStyle w:val="NormalHanging12a"/>
      </w:pPr>
      <w:r w:rsidRPr="002F0BB4">
        <w:t>–</w:t>
      </w:r>
      <w:r w:rsidRPr="002F0BB4">
        <w:tab/>
        <w:t>having regard to Articles 15, 20, 21, 22, 24, 26, 45, 46, 47, 48, 153 and 165 of the Treaty on the Functioning of the European Union (TFEU),</w:t>
      </w:r>
    </w:p>
    <w:p w:rsidR="00DB7FF1" w:rsidRPr="002F0BB4" w:rsidRDefault="00DB7FF1" w:rsidP="0092231B">
      <w:pPr>
        <w:pStyle w:val="NormalHanging12a"/>
      </w:pPr>
      <w:r w:rsidRPr="002F0BB4">
        <w:t>–</w:t>
      </w:r>
      <w:r w:rsidRPr="002F0BB4">
        <w:tab/>
        <w:t>having regard to the Charter of Fundamental Rights of the European Union,</w:t>
      </w:r>
    </w:p>
    <w:p w:rsidR="00DB7FF1" w:rsidRPr="002F0BB4" w:rsidRDefault="00DB7FF1" w:rsidP="0092231B">
      <w:pPr>
        <w:pStyle w:val="NormalHanging12a"/>
      </w:pPr>
      <w:proofErr w:type="gramStart"/>
      <w:r w:rsidRPr="002F0BB4">
        <w:t>–</w:t>
      </w:r>
      <w:r w:rsidRPr="002F0BB4">
        <w:tab/>
        <w:t>having regard to Directive 2004/38/EC of the European Parliament and of the Council of 29 April 2004 on the rig</w:t>
      </w:r>
      <w:bookmarkStart w:id="8" w:name="_GoBack"/>
      <w:bookmarkEnd w:id="8"/>
      <w:r w:rsidRPr="002F0BB4">
        <w:t>ht of citizens of the Union and their family members to move and reside freely within the territory of the Member States amending Regulation (EEC) No 1612/68 and repealing Directives 64/221/EEC, 68/360/EEC, 72/194/EEC, 73/148/EEC, 75/34/EEC, 75/35/EEC, 90/364/EEC, 90/365/EEC and 93/96/EEC</w:t>
      </w:r>
      <w:r w:rsidRPr="002F0BB4">
        <w:rPr>
          <w:rStyle w:val="FootnoteReference"/>
          <w:color w:val="000000"/>
        </w:rPr>
        <w:footnoteReference w:id="1"/>
      </w:r>
      <w:r w:rsidRPr="002F0BB4">
        <w:t>,</w:t>
      </w:r>
      <w:proofErr w:type="gramEnd"/>
    </w:p>
    <w:p w:rsidR="00DB7FF1" w:rsidRPr="002F0BB4" w:rsidRDefault="00DB7FF1" w:rsidP="0092231B">
      <w:pPr>
        <w:pStyle w:val="NormalHanging12a"/>
      </w:pPr>
      <w:r w:rsidRPr="002F0BB4">
        <w:t>–</w:t>
      </w:r>
      <w:r w:rsidRPr="002F0BB4">
        <w:tab/>
        <w:t>having regard to Regulation (EU) 2021/692 of the European Parliament and of the Council of 28 April 2021 establishing the Citizens, Equality, Rights and Values Programme and repealing Regulation (EU) No 1381/2013 of the European Parliament and of the Council and Council Regulation (EU) No 390/2014</w:t>
      </w:r>
      <w:r w:rsidRPr="002F0BB4">
        <w:rPr>
          <w:rStyle w:val="FootnoteReference"/>
          <w:color w:val="000000"/>
        </w:rPr>
        <w:footnoteReference w:id="2"/>
      </w:r>
      <w:r w:rsidRPr="002F0BB4">
        <w:t>,</w:t>
      </w:r>
    </w:p>
    <w:p w:rsidR="00DB7FF1" w:rsidRPr="002F0BB4" w:rsidRDefault="00DB7FF1" w:rsidP="0092231B">
      <w:pPr>
        <w:pStyle w:val="NormalHanging12a"/>
      </w:pPr>
      <w:r w:rsidRPr="002F0BB4">
        <w:t>–</w:t>
      </w:r>
      <w:r w:rsidRPr="002F0BB4">
        <w:tab/>
        <w:t>having regard to Regulation (EU) No 492/2011 of the European Parliament and of the Council of 5 April 2011 on freedom of movement for workers within the Union</w:t>
      </w:r>
      <w:r w:rsidRPr="002F0BB4">
        <w:rPr>
          <w:rStyle w:val="FootnoteReference"/>
          <w:color w:val="000000"/>
        </w:rPr>
        <w:footnoteReference w:id="3"/>
      </w:r>
      <w:r w:rsidRPr="002F0BB4">
        <w:t>,</w:t>
      </w:r>
    </w:p>
    <w:p w:rsidR="00DB7FF1" w:rsidRPr="002F0BB4" w:rsidRDefault="00DB7FF1" w:rsidP="0092231B">
      <w:pPr>
        <w:pStyle w:val="NormalHanging12a"/>
      </w:pPr>
      <w:r w:rsidRPr="002F0BB4">
        <w:t>–</w:t>
      </w:r>
      <w:r w:rsidRPr="002F0BB4">
        <w:tab/>
        <w:t xml:space="preserve">having regard to Regulation (EU) 2019/1149 of the European Parliament and of the Council of 20 June 2019 establishing a European Labour Authority, amending Regulations (EC) No 883/2004, (EU) No 492/2011, and (EU) 2016/589 and repealing </w:t>
      </w:r>
      <w:r w:rsidRPr="002F0BB4">
        <w:lastRenderedPageBreak/>
        <w:t>Decision (EU) 2016/344</w:t>
      </w:r>
      <w:r w:rsidRPr="002F0BB4">
        <w:rPr>
          <w:rStyle w:val="FootnoteReference"/>
          <w:color w:val="000000"/>
        </w:rPr>
        <w:footnoteReference w:id="4"/>
      </w:r>
      <w:r w:rsidRPr="002F0BB4">
        <w:t>,</w:t>
      </w:r>
    </w:p>
    <w:p w:rsidR="00DB7FF1" w:rsidRPr="002F0BB4" w:rsidRDefault="00DB7FF1" w:rsidP="0092231B">
      <w:pPr>
        <w:pStyle w:val="NormalHanging12a"/>
      </w:pPr>
      <w:r w:rsidRPr="002F0BB4">
        <w:t>–</w:t>
      </w:r>
      <w:r w:rsidRPr="002F0BB4">
        <w:tab/>
        <w:t>having regard to Directive (EU) 2018/957 of the European Parliament and of the Council of 28 June 2018 amending Directive 96/71/EC concerning the posting of workers in the framework of the provision of services</w:t>
      </w:r>
      <w:r w:rsidRPr="002F0BB4">
        <w:rPr>
          <w:rStyle w:val="FootnoteReference"/>
          <w:color w:val="000000"/>
        </w:rPr>
        <w:footnoteReference w:id="5"/>
      </w:r>
      <w:r w:rsidRPr="002F0BB4">
        <w:t>,</w:t>
      </w:r>
    </w:p>
    <w:p w:rsidR="00DB7FF1" w:rsidRPr="002F0BB4" w:rsidRDefault="00DB7FF1" w:rsidP="0092231B">
      <w:pPr>
        <w:pStyle w:val="NormalHanging12a"/>
      </w:pPr>
      <w:r w:rsidRPr="002F0BB4">
        <w:t>–</w:t>
      </w:r>
      <w:r w:rsidRPr="002F0BB4">
        <w:tab/>
        <w:t>having regard to Regulation (EU) 2016/589 of the European Parliament and of the Council of 13 April 2016 on a European network of employment services (EURES), workers’ access to mobility services and the further integration of labour markets, and amending Regulations (EU) No 492/2011 and (EU) No 1296/2013</w:t>
      </w:r>
      <w:r w:rsidRPr="002F0BB4">
        <w:rPr>
          <w:rStyle w:val="FootnoteReference"/>
          <w:color w:val="000000"/>
        </w:rPr>
        <w:footnoteReference w:id="6"/>
      </w:r>
      <w:r w:rsidRPr="002F0BB4">
        <w:t>,</w:t>
      </w:r>
    </w:p>
    <w:p w:rsidR="00DB7FF1" w:rsidRPr="002F0BB4" w:rsidRDefault="00DB7FF1" w:rsidP="0092231B">
      <w:pPr>
        <w:pStyle w:val="NormalHanging12a"/>
      </w:pPr>
      <w:r w:rsidRPr="002F0BB4">
        <w:t>–</w:t>
      </w:r>
      <w:r w:rsidRPr="002F0BB4">
        <w:tab/>
        <w:t>having regard to Directive 2013/55/EU of the European Parliament and of the Council of 20 November 2013 amending Directive 2005/36/EC on the recognition of professional qualifications and Regulation (EU) No 1024/2012 on administrative cooperation through the Internal Market Information System</w:t>
      </w:r>
      <w:r w:rsidRPr="002F0BB4">
        <w:rPr>
          <w:rStyle w:val="FootnoteReference"/>
          <w:color w:val="000000"/>
        </w:rPr>
        <w:footnoteReference w:id="7"/>
      </w:r>
      <w:r w:rsidRPr="002F0BB4">
        <w:t>,</w:t>
      </w:r>
    </w:p>
    <w:p w:rsidR="00DB7FF1" w:rsidRPr="002F0BB4" w:rsidRDefault="00DB7FF1" w:rsidP="0092231B">
      <w:pPr>
        <w:pStyle w:val="NormalHanging12a"/>
      </w:pPr>
      <w:r w:rsidRPr="002F0BB4">
        <w:t>–</w:t>
      </w:r>
      <w:r w:rsidRPr="002F0BB4">
        <w:tab/>
        <w:t>having regard to Council Directive (EU) 2015/637 of 20 April 2015 on the coordination and cooperation measures to facilitate consular protection for unrepresented citizens of the Union in third countries and repealing Decision 95/553/EC</w:t>
      </w:r>
      <w:r w:rsidRPr="002F0BB4">
        <w:rPr>
          <w:rStyle w:val="FootnoteReference"/>
        </w:rPr>
        <w:footnoteReference w:id="8"/>
      </w:r>
      <w:r w:rsidRPr="002F0BB4">
        <w:t>,</w:t>
      </w:r>
    </w:p>
    <w:p w:rsidR="00DB7FF1" w:rsidRPr="002F0BB4" w:rsidRDefault="00DB7FF1" w:rsidP="0092231B">
      <w:pPr>
        <w:pStyle w:val="NormalHanging12a"/>
      </w:pPr>
      <w:r w:rsidRPr="002F0BB4">
        <w:t>–</w:t>
      </w:r>
      <w:r w:rsidRPr="002F0BB4">
        <w:tab/>
        <w:t>having regard to Council Directive (EU) 2019/997 of 18 June 2019 establishing an EU Emergency Travel Document and repealing Decision 96/409/CFSP</w:t>
      </w:r>
      <w:r w:rsidRPr="002F0BB4">
        <w:rPr>
          <w:rStyle w:val="FootnoteReference"/>
          <w:color w:val="000000"/>
        </w:rPr>
        <w:footnoteReference w:id="9"/>
      </w:r>
      <w:r w:rsidRPr="002F0BB4">
        <w:t>,</w:t>
      </w:r>
    </w:p>
    <w:p w:rsidR="00DB7FF1" w:rsidRPr="002F0BB4" w:rsidRDefault="00DB7FF1" w:rsidP="0092231B">
      <w:pPr>
        <w:pStyle w:val="NormalHanging12a"/>
      </w:pPr>
      <w:r w:rsidRPr="002F0BB4">
        <w:t>–</w:t>
      </w:r>
      <w:r w:rsidRPr="002F0BB4">
        <w:tab/>
        <w:t>having regard to the Commission communication of 2 July 2009 entitled ‘Guidance for better transposition and application of Directive 2004/38/EC on the right of citizens of the Union and their family members to move and reside freely within the territory of the Member States’ (COM(2009)0313),</w:t>
      </w:r>
    </w:p>
    <w:p w:rsidR="00DB7FF1" w:rsidRPr="002F0BB4" w:rsidRDefault="00DB7FF1" w:rsidP="0092231B">
      <w:pPr>
        <w:pStyle w:val="NormalHanging12a"/>
      </w:pPr>
      <w:r w:rsidRPr="002F0BB4">
        <w:t>–</w:t>
      </w:r>
      <w:r w:rsidRPr="002F0BB4">
        <w:tab/>
        <w:t>having regard to Regulation (EU) 2019/788 of the European Parliament and of the Council of 17 April 2019 on the European citizens’ initiative</w:t>
      </w:r>
      <w:r w:rsidRPr="002F0BB4">
        <w:rPr>
          <w:vertAlign w:val="superscript"/>
        </w:rPr>
        <w:footnoteReference w:id="10"/>
      </w:r>
      <w:r w:rsidRPr="002F0BB4">
        <w:t>,</w:t>
      </w:r>
    </w:p>
    <w:p w:rsidR="00DB7FF1" w:rsidRPr="002F0BB4" w:rsidRDefault="00DB7FF1" w:rsidP="0092231B">
      <w:pPr>
        <w:pStyle w:val="NormalHanging12a"/>
      </w:pPr>
      <w:r w:rsidRPr="002F0BB4">
        <w:t>–</w:t>
      </w:r>
      <w:r w:rsidRPr="002F0BB4">
        <w:tab/>
        <w:t>having regard to Regulation (EU) 2020/1042 of the European Parliament and of the Council of 15 July 2020 laying down temporary measures concerning the time limits for the collection, the verification and the examination stages provided for in Regulation (EU) 2019/788 on the European citizens’ initiative in view of the COVID-19 outbreak</w:t>
      </w:r>
      <w:r w:rsidRPr="002F0BB4">
        <w:rPr>
          <w:rStyle w:val="FootnoteReference"/>
          <w:color w:val="000000"/>
        </w:rPr>
        <w:footnoteReference w:id="11"/>
      </w:r>
      <w:r w:rsidRPr="002F0BB4">
        <w:t>,</w:t>
      </w:r>
    </w:p>
    <w:p w:rsidR="00DB7FF1" w:rsidRPr="002F0BB4" w:rsidRDefault="00DB7FF1" w:rsidP="0092231B">
      <w:pPr>
        <w:pStyle w:val="NormalHanging12a"/>
      </w:pPr>
      <w:r w:rsidRPr="002F0BB4">
        <w:t>–</w:t>
      </w:r>
      <w:r w:rsidRPr="002F0BB4">
        <w:tab/>
        <w:t>having regard to the Commission communication of 2 December 2020 entitled ‘Strategy to strengthen the application of the Charter of Fundamental Rights in the EU’ (</w:t>
      </w:r>
      <w:proofErr w:type="gramStart"/>
      <w:r w:rsidRPr="002F0BB4">
        <w:t>COM(</w:t>
      </w:r>
      <w:proofErr w:type="gramEnd"/>
      <w:r w:rsidRPr="002F0BB4">
        <w:t>2020)0711),</w:t>
      </w:r>
    </w:p>
    <w:p w:rsidR="00DB7FF1" w:rsidRPr="002F0BB4" w:rsidRDefault="00DB7FF1" w:rsidP="0092231B">
      <w:pPr>
        <w:pStyle w:val="NormalHanging12a"/>
      </w:pPr>
      <w:r w:rsidRPr="002F0BB4">
        <w:t>–</w:t>
      </w:r>
      <w:r w:rsidRPr="002F0BB4">
        <w:tab/>
        <w:t>having regard to the Commission communication of 3 December 2020 entitled ‘The European democracy action plan’ (</w:t>
      </w:r>
      <w:proofErr w:type="gramStart"/>
      <w:r w:rsidRPr="002F0BB4">
        <w:t>COM(</w:t>
      </w:r>
      <w:proofErr w:type="gramEnd"/>
      <w:r w:rsidRPr="002F0BB4">
        <w:t>2020)0790),</w:t>
      </w:r>
    </w:p>
    <w:p w:rsidR="00DB7FF1" w:rsidRPr="002F0BB4" w:rsidRDefault="00DB7FF1" w:rsidP="0092231B">
      <w:pPr>
        <w:pStyle w:val="NormalHanging12a"/>
      </w:pPr>
      <w:r w:rsidRPr="002F0BB4">
        <w:lastRenderedPageBreak/>
        <w:t>–</w:t>
      </w:r>
      <w:r w:rsidRPr="002F0BB4">
        <w:tab/>
        <w:t xml:space="preserve">having regard to the Commission communication of </w:t>
      </w:r>
      <w:r w:rsidRPr="002F0BB4">
        <w:rPr>
          <w:shd w:val="clear" w:color="auto" w:fill="FFFFFF"/>
        </w:rPr>
        <w:t>25 November 2021</w:t>
      </w:r>
      <w:r w:rsidRPr="002F0BB4">
        <w:t xml:space="preserve"> entitled ‘Protecting election integrity and promoting democratic participation’ (</w:t>
      </w:r>
      <w:proofErr w:type="gramStart"/>
      <w:r w:rsidRPr="002F0BB4">
        <w:t>COM(</w:t>
      </w:r>
      <w:proofErr w:type="gramEnd"/>
      <w:r w:rsidRPr="002F0BB4">
        <w:t>2021)0730),</w:t>
      </w:r>
    </w:p>
    <w:p w:rsidR="00DB7FF1" w:rsidRPr="002F0BB4" w:rsidRDefault="00DB7FF1" w:rsidP="0092231B">
      <w:pPr>
        <w:pStyle w:val="NormalHanging12a"/>
      </w:pPr>
      <w:r w:rsidRPr="002F0BB4">
        <w:t>–</w:t>
      </w:r>
      <w:r w:rsidRPr="002F0BB4">
        <w:tab/>
        <w:t>having regard to the Commission report of 15 December 2020 entitled ‘EU Citizenship Report 2020 – Empowering citizens and protecting their rights’ (</w:t>
      </w:r>
      <w:proofErr w:type="gramStart"/>
      <w:r w:rsidRPr="002F0BB4">
        <w:t>COM(</w:t>
      </w:r>
      <w:proofErr w:type="gramEnd"/>
      <w:r w:rsidRPr="002F0BB4">
        <w:t>2020)0730),</w:t>
      </w:r>
    </w:p>
    <w:p w:rsidR="00DB7FF1" w:rsidRPr="002F0BB4" w:rsidRDefault="00DB7FF1" w:rsidP="0092231B">
      <w:pPr>
        <w:pStyle w:val="NormalHanging12a"/>
      </w:pPr>
      <w:r w:rsidRPr="002F0BB4">
        <w:t>–</w:t>
      </w:r>
      <w:r w:rsidRPr="002F0BB4">
        <w:tab/>
        <w:t>having regard to the Commission report of 15 December 2020 under Article 25 TFEU on progress towards effective EU citizenship 2016-2020 (</w:t>
      </w:r>
      <w:proofErr w:type="gramStart"/>
      <w:r w:rsidRPr="002F0BB4">
        <w:t>COM(</w:t>
      </w:r>
      <w:proofErr w:type="gramEnd"/>
      <w:r w:rsidRPr="002F0BB4">
        <w:t>2020)0731),</w:t>
      </w:r>
    </w:p>
    <w:p w:rsidR="00DB7FF1" w:rsidRPr="002F0BB4" w:rsidRDefault="00DB7FF1" w:rsidP="0092231B">
      <w:pPr>
        <w:pStyle w:val="NormalHanging12a"/>
      </w:pPr>
      <w:r w:rsidRPr="002F0BB4">
        <w:t>–</w:t>
      </w:r>
      <w:r w:rsidRPr="002F0BB4">
        <w:tab/>
        <w:t xml:space="preserve">having regard to its position of 14 February 2023 on the proposal for a Council directive laying down detailed arrangements for the </w:t>
      </w:r>
      <w:r w:rsidRPr="002F0BB4">
        <w:rPr>
          <w:rStyle w:val="Bold"/>
          <w:color w:val="000000"/>
        </w:rPr>
        <w:t>e</w:t>
      </w:r>
      <w:r w:rsidRPr="002F0BB4">
        <w:t>xercise of the right to vote and stand as a candidate in elections to the European Parliament for Union citizens residing in a Member State of which they are not nationals</w:t>
      </w:r>
      <w:r w:rsidRPr="002F0BB4">
        <w:rPr>
          <w:rStyle w:val="FootnoteReference"/>
          <w:color w:val="000000"/>
        </w:rPr>
        <w:footnoteReference w:id="12"/>
      </w:r>
      <w:r w:rsidRPr="002F0BB4">
        <w:t>,</w:t>
      </w:r>
    </w:p>
    <w:p w:rsidR="00DB7FF1" w:rsidRPr="002F0BB4" w:rsidRDefault="00DB7FF1" w:rsidP="0092231B">
      <w:pPr>
        <w:pStyle w:val="NormalHanging12a"/>
      </w:pPr>
      <w:r w:rsidRPr="002F0BB4">
        <w:t>–</w:t>
      </w:r>
      <w:r w:rsidRPr="002F0BB4">
        <w:tab/>
        <w:t>having regard to its position of 14 February 2023 on the proposal for a Council directive laying down detailed arrangements for the exercise of the right to vote and stand as a candidate in municipal elections by Union citizens residing in a Member State of which they are not nationals</w:t>
      </w:r>
      <w:r w:rsidRPr="002F0BB4">
        <w:rPr>
          <w:rStyle w:val="FootnoteReference"/>
          <w:color w:val="000000"/>
        </w:rPr>
        <w:footnoteReference w:id="13"/>
      </w:r>
      <w:r w:rsidRPr="002F0BB4">
        <w:t>,</w:t>
      </w:r>
    </w:p>
    <w:p w:rsidR="00DB7FF1" w:rsidRPr="002F0BB4" w:rsidRDefault="00DB7FF1" w:rsidP="0092231B">
      <w:pPr>
        <w:pStyle w:val="NormalHanging12a"/>
      </w:pPr>
      <w:r w:rsidRPr="002F0BB4">
        <w:t>–</w:t>
      </w:r>
      <w:r w:rsidRPr="002F0BB4">
        <w:tab/>
        <w:t>having regard to its resolution of 12 February 2019 on the implementation of the Treaty provisions related to EU citizenship</w:t>
      </w:r>
      <w:r w:rsidRPr="002F0BB4">
        <w:rPr>
          <w:rStyle w:val="FootnoteReference"/>
          <w:color w:val="000000"/>
        </w:rPr>
        <w:footnoteReference w:id="14"/>
      </w:r>
      <w:r w:rsidRPr="002F0BB4">
        <w:t>,</w:t>
      </w:r>
    </w:p>
    <w:p w:rsidR="00DB7FF1" w:rsidRPr="002F0BB4" w:rsidRDefault="00DB7FF1" w:rsidP="0092231B">
      <w:pPr>
        <w:pStyle w:val="NormalHanging12a"/>
      </w:pPr>
      <w:r w:rsidRPr="002F0BB4">
        <w:t>–</w:t>
      </w:r>
      <w:r w:rsidRPr="002F0BB4">
        <w:tab/>
        <w:t>having regard to its resolution of 9 March 2022 with proposals to the Commission on citizenship and residence by investment schemes</w:t>
      </w:r>
      <w:r w:rsidRPr="002F0BB4">
        <w:rPr>
          <w:rStyle w:val="FootnoteReference"/>
          <w:color w:val="000000"/>
        </w:rPr>
        <w:footnoteReference w:id="15"/>
      </w:r>
      <w:r w:rsidRPr="002F0BB4">
        <w:t>,</w:t>
      </w:r>
    </w:p>
    <w:p w:rsidR="00DB7FF1" w:rsidRPr="002F0BB4" w:rsidRDefault="00DB7FF1" w:rsidP="0092231B">
      <w:pPr>
        <w:pStyle w:val="NormalHanging12a"/>
      </w:pPr>
      <w:r w:rsidRPr="002F0BB4">
        <w:t>–</w:t>
      </w:r>
      <w:r w:rsidRPr="002F0BB4">
        <w:tab/>
        <w:t>having regard to its resolution of 10 March 2022 on the EU Citizenship Report 2020: empowering citizens and protecting their rights</w:t>
      </w:r>
      <w:r w:rsidRPr="002F0BB4">
        <w:rPr>
          <w:rStyle w:val="FootnoteReference"/>
          <w:color w:val="000000"/>
        </w:rPr>
        <w:footnoteReference w:id="16"/>
      </w:r>
      <w:r w:rsidRPr="002F0BB4">
        <w:t>,</w:t>
      </w:r>
    </w:p>
    <w:p w:rsidR="00DB7FF1" w:rsidRPr="002F0BB4" w:rsidRDefault="00DB7FF1" w:rsidP="0092231B">
      <w:pPr>
        <w:pStyle w:val="NormalHanging12a"/>
      </w:pPr>
      <w:r w:rsidRPr="002F0BB4">
        <w:t>–</w:t>
      </w:r>
      <w:r w:rsidRPr="002F0BB4">
        <w:tab/>
        <w:t>having regard to its resolution of 13 June 2023 on the implementation of the Regulations on the European citizens’ initiative</w:t>
      </w:r>
      <w:r w:rsidRPr="002F0BB4">
        <w:rPr>
          <w:rStyle w:val="FootnoteReference"/>
          <w:color w:val="000000"/>
        </w:rPr>
        <w:footnoteReference w:id="17"/>
      </w:r>
      <w:r w:rsidRPr="002F0BB4">
        <w:t>,</w:t>
      </w:r>
    </w:p>
    <w:p w:rsidR="00DB7FF1" w:rsidRPr="002F0BB4" w:rsidRDefault="00DB7FF1" w:rsidP="0092231B">
      <w:pPr>
        <w:pStyle w:val="NormalHanging12a"/>
      </w:pPr>
      <w:r w:rsidRPr="002F0BB4">
        <w:t>–</w:t>
      </w:r>
      <w:r w:rsidRPr="002F0BB4">
        <w:tab/>
        <w:t xml:space="preserve">having regard to its resolution of 14 September 2023 on </w:t>
      </w:r>
      <w:proofErr w:type="spellStart"/>
      <w:r w:rsidRPr="002F0BB4">
        <w:t>Parliamentarism</w:t>
      </w:r>
      <w:proofErr w:type="spellEnd"/>
      <w:r w:rsidRPr="002F0BB4">
        <w:t>, European citizenship and democracy</w:t>
      </w:r>
      <w:r w:rsidRPr="002F0BB4">
        <w:rPr>
          <w:rStyle w:val="FootnoteReference"/>
          <w:color w:val="000000"/>
        </w:rPr>
        <w:footnoteReference w:id="18"/>
      </w:r>
      <w:r w:rsidRPr="002F0BB4">
        <w:t>,</w:t>
      </w:r>
    </w:p>
    <w:p w:rsidR="00DB7FF1" w:rsidRPr="002F0BB4" w:rsidRDefault="00DB7FF1" w:rsidP="0092231B">
      <w:pPr>
        <w:pStyle w:val="NormalHanging12a"/>
      </w:pPr>
      <w:r w:rsidRPr="002F0BB4">
        <w:t>–</w:t>
      </w:r>
      <w:r w:rsidRPr="002F0BB4">
        <w:tab/>
        <w:t>having regard to its resolution of 7 July 2021 on Citizens’ dialogues and Citizens’ participation in the EU decision-making</w:t>
      </w:r>
      <w:r w:rsidRPr="002F0BB4">
        <w:rPr>
          <w:rStyle w:val="FootnoteReference"/>
          <w:color w:val="000000"/>
        </w:rPr>
        <w:footnoteReference w:id="19"/>
      </w:r>
      <w:r w:rsidRPr="002F0BB4">
        <w:t>,</w:t>
      </w:r>
    </w:p>
    <w:p w:rsidR="00DB7FF1" w:rsidRPr="002F0BB4" w:rsidRDefault="00DB7FF1" w:rsidP="0092231B">
      <w:pPr>
        <w:pStyle w:val="NormalHanging12a"/>
      </w:pPr>
      <w:r w:rsidRPr="002F0BB4">
        <w:t>–</w:t>
      </w:r>
      <w:r w:rsidRPr="002F0BB4">
        <w:tab/>
        <w:t>having regard to its resolution of 9 March 2022 on engaging with citizens: the right to petition, the right to refer to the European Ombudsman and the European Citizens’ Initiative</w:t>
      </w:r>
      <w:r w:rsidRPr="002F0BB4">
        <w:rPr>
          <w:rStyle w:val="FootnoteReference"/>
          <w:color w:val="000000"/>
        </w:rPr>
        <w:footnoteReference w:id="20"/>
      </w:r>
      <w:r w:rsidRPr="002F0BB4">
        <w:t>,</w:t>
      </w:r>
    </w:p>
    <w:p w:rsidR="00DB7FF1" w:rsidRPr="002F0BB4" w:rsidRDefault="00DB7FF1" w:rsidP="0092231B">
      <w:pPr>
        <w:pStyle w:val="NormalHanging12a"/>
        <w:rPr>
          <w:szCs w:val="23"/>
        </w:rPr>
      </w:pPr>
      <w:r w:rsidRPr="002F0BB4">
        <w:lastRenderedPageBreak/>
        <w:t>–</w:t>
      </w:r>
      <w:r w:rsidRPr="002F0BB4">
        <w:tab/>
        <w:t xml:space="preserve">having regard to its resolution of 15 March 2017 </w:t>
      </w:r>
      <w:r w:rsidRPr="002F0BB4">
        <w:rPr>
          <w:szCs w:val="23"/>
        </w:rPr>
        <w:t>on obstacles to EU citizens’ freedom to move and work in the internal market</w:t>
      </w:r>
      <w:r w:rsidRPr="002F0BB4">
        <w:rPr>
          <w:rStyle w:val="FootnoteReference"/>
          <w:color w:val="000000"/>
          <w:szCs w:val="23"/>
        </w:rPr>
        <w:footnoteReference w:id="21"/>
      </w:r>
      <w:r w:rsidRPr="002F0BB4">
        <w:rPr>
          <w:szCs w:val="23"/>
        </w:rPr>
        <w:t>,</w:t>
      </w:r>
    </w:p>
    <w:p w:rsidR="00DB7FF1" w:rsidRPr="002F0BB4" w:rsidRDefault="00DB7FF1" w:rsidP="0092231B">
      <w:pPr>
        <w:pStyle w:val="NormalHanging12a"/>
        <w:rPr>
          <w:szCs w:val="23"/>
        </w:rPr>
      </w:pPr>
      <w:r w:rsidRPr="002F0BB4">
        <w:t>–</w:t>
      </w:r>
      <w:r w:rsidRPr="002F0BB4">
        <w:tab/>
        <w:t>having regard to the Fundamental Rights Report 2023 of the EU Agency for Fundamental Rights,</w:t>
      </w:r>
    </w:p>
    <w:p w:rsidR="00DB7FF1" w:rsidRPr="002F0BB4" w:rsidRDefault="00DB7FF1" w:rsidP="0092231B">
      <w:pPr>
        <w:pStyle w:val="NormalHanging12a"/>
      </w:pPr>
      <w:r w:rsidRPr="002F0BB4">
        <w:t>–</w:t>
      </w:r>
      <w:r w:rsidRPr="002F0BB4">
        <w:tab/>
        <w:t>having regard to the report on the final outcome of the Conference on the Future of Europe,</w:t>
      </w:r>
    </w:p>
    <w:p w:rsidR="00DB7FF1" w:rsidRDefault="00DB7FF1" w:rsidP="0092231B">
      <w:pPr>
        <w:pStyle w:val="NormalHanging12a"/>
      </w:pPr>
      <w:r w:rsidRPr="002F0BB4">
        <w:t>–</w:t>
      </w:r>
      <w:r w:rsidRPr="002F0BB4">
        <w:tab/>
        <w:t>having regard to the results of Flash Eurobarometer 485/2020 and standard Eurobarometer 99/2023,</w:t>
      </w:r>
    </w:p>
    <w:p w:rsidR="00AE6319" w:rsidRPr="002F0BB4" w:rsidRDefault="00AE6319" w:rsidP="0092231B">
      <w:pPr>
        <w:pStyle w:val="NormalHanging12a"/>
      </w:pPr>
      <w:r w:rsidRPr="00AE6319">
        <w:t>–</w:t>
      </w:r>
      <w:r w:rsidRPr="00AE6319">
        <w:tab/>
        <w:t>having regard to the Commission report under Article 25 TFEU of 6 December 2023 on progress towards effective EU citizenship 2020-2023 (COM(2023)0931) (the EU Citizenship Report 2023),</w:t>
      </w:r>
    </w:p>
    <w:p w:rsidR="00DB7FF1" w:rsidRPr="002F0BB4" w:rsidRDefault="00DB7FF1" w:rsidP="0092231B">
      <w:pPr>
        <w:pStyle w:val="NormalHanging12a"/>
      </w:pPr>
      <w:r w:rsidRPr="002F0BB4">
        <w:t>–</w:t>
      </w:r>
      <w:r w:rsidRPr="002F0BB4">
        <w:tab/>
        <w:t>having regard to Rule 54 of its Rules of Procedure, as well as to Article 1(1)(e) of, and Annex 3 to, the decision of the Conference of Presidents of 12 December 2002 on the procedure for granting authorisation to draw up own-initiative reports,</w:t>
      </w:r>
    </w:p>
    <w:p w:rsidR="00DB7FF1" w:rsidRPr="002F0BB4" w:rsidRDefault="00DB7FF1" w:rsidP="0092231B">
      <w:pPr>
        <w:pStyle w:val="NormalHanging12a"/>
      </w:pPr>
      <w:r w:rsidRPr="002F0BB4">
        <w:t>–</w:t>
      </w:r>
      <w:r w:rsidRPr="002F0BB4">
        <w:tab/>
        <w:t>having regard to the opinion of the Committee on Civil Liberties, Justice and Home Affairs,</w:t>
      </w:r>
    </w:p>
    <w:p w:rsidR="00DB7FF1" w:rsidRPr="002F0BB4" w:rsidRDefault="00DB7FF1" w:rsidP="0092231B">
      <w:pPr>
        <w:pStyle w:val="NormalHanging12a"/>
      </w:pPr>
      <w:r w:rsidRPr="002F0BB4">
        <w:t>–</w:t>
      </w:r>
      <w:r w:rsidRPr="002F0BB4">
        <w:tab/>
        <w:t>having regard to the report of the Committee on Constitutional Affairs (A9-0436/2023),</w:t>
      </w:r>
    </w:p>
    <w:p w:rsidR="00DB7FF1" w:rsidRPr="002F0BB4" w:rsidRDefault="00DB7FF1" w:rsidP="0092231B">
      <w:pPr>
        <w:pStyle w:val="NormalHanging12a"/>
      </w:pPr>
      <w:r w:rsidRPr="002F0BB4">
        <w:rPr>
          <w:rFonts w:eastAsiaTheme="minorHAnsi"/>
          <w:lang w:eastAsia="en-US"/>
        </w:rPr>
        <w:t>A.</w:t>
      </w:r>
      <w:r w:rsidRPr="002F0BB4">
        <w:rPr>
          <w:rFonts w:eastAsiaTheme="minorHAnsi"/>
          <w:lang w:eastAsia="en-US"/>
        </w:rPr>
        <w:tab/>
      </w:r>
      <w:r w:rsidRPr="002F0BB4">
        <w:t>whereas EU citizenship was established with the entry into force of the Maastricht Treaty in 1993 and further enhanced by the Lisbon Treaty in 2009; whereas thirty years have passed since its establishment and major social, digital, economic and political changes have taken place;</w:t>
      </w:r>
    </w:p>
    <w:p w:rsidR="00DB7FF1" w:rsidRPr="002F0BB4" w:rsidRDefault="00DB7FF1" w:rsidP="0092231B">
      <w:pPr>
        <w:pStyle w:val="NormalHanging12a"/>
        <w:rPr>
          <w:b/>
          <w:i/>
        </w:rPr>
      </w:pPr>
      <w:r w:rsidRPr="002F0BB4">
        <w:t>B.</w:t>
      </w:r>
      <w:r w:rsidRPr="002F0BB4">
        <w:rPr>
          <w:b/>
          <w:i/>
        </w:rPr>
        <w:tab/>
      </w:r>
      <w:r w:rsidRPr="002F0BB4">
        <w:t>whereas, according to Article 20 (1) TFEU, EU citizenship is additional to and does not replace</w:t>
      </w:r>
      <w:r w:rsidRPr="002F0BB4">
        <w:rPr>
          <w:color w:val="333333"/>
          <w:sz w:val="27"/>
          <w:szCs w:val="27"/>
          <w:shd w:val="clear" w:color="auto" w:fill="FFFFFF"/>
        </w:rPr>
        <w:t xml:space="preserve"> </w:t>
      </w:r>
      <w:r w:rsidRPr="002F0BB4">
        <w:t>national citizenship; whereas EU citizenship does not as yet entail any duties for citizens of the Union;</w:t>
      </w:r>
    </w:p>
    <w:p w:rsidR="00DB7FF1" w:rsidRPr="002F0BB4" w:rsidRDefault="00DB7FF1" w:rsidP="0092231B">
      <w:pPr>
        <w:pStyle w:val="NormalHanging12a"/>
        <w:rPr>
          <w:shd w:val="clear" w:color="auto" w:fill="FFFFFF"/>
        </w:rPr>
      </w:pPr>
      <w:r w:rsidRPr="002F0BB4">
        <w:rPr>
          <w:rFonts w:eastAsiaTheme="minorHAnsi"/>
          <w:lang w:eastAsia="en-US"/>
        </w:rPr>
        <w:t>C.</w:t>
      </w:r>
      <w:r w:rsidRPr="002F0BB4">
        <w:rPr>
          <w:rFonts w:eastAsiaTheme="minorHAnsi"/>
          <w:lang w:eastAsia="en-US"/>
        </w:rPr>
        <w:tab/>
      </w:r>
      <w:r w:rsidRPr="002F0BB4">
        <w:rPr>
          <w:shd w:val="clear" w:color="auto" w:fill="FFFFFF"/>
        </w:rPr>
        <w:t>whereas EU citizenship is a unique construct reflecting the common democratic identity and shared values of EU citizens, and has contributed to forging connections, promoting equality and rejecting all forms of racism and discrimination; whereas EU citizenship has not yet reached its full potential;</w:t>
      </w:r>
    </w:p>
    <w:p w:rsidR="00DB7FF1" w:rsidRPr="002F0BB4" w:rsidRDefault="00DB7FF1" w:rsidP="0092231B">
      <w:pPr>
        <w:pStyle w:val="NormalHanging12a"/>
      </w:pPr>
      <w:r w:rsidRPr="002F0BB4">
        <w:rPr>
          <w:shd w:val="clear" w:color="auto" w:fill="FFFFFF"/>
        </w:rPr>
        <w:t>D.</w:t>
      </w:r>
      <w:r w:rsidRPr="002F0BB4">
        <w:rPr>
          <w:b/>
          <w:i/>
          <w:shd w:val="clear" w:color="auto" w:fill="FFFFFF"/>
        </w:rPr>
        <w:tab/>
      </w:r>
      <w:r w:rsidRPr="002F0BB4">
        <w:rPr>
          <w:shd w:val="clear" w:color="auto" w:fill="FFFFFF"/>
        </w:rPr>
        <w:t>whereas freedom of movement has enabled over 15 million EU citizens</w:t>
      </w:r>
      <w:r w:rsidRPr="002F0BB4">
        <w:rPr>
          <w:rStyle w:val="FootnoteReference"/>
          <w:shd w:val="clear" w:color="auto" w:fill="FFFFFF"/>
        </w:rPr>
        <w:footnoteReference w:id="22"/>
      </w:r>
      <w:r w:rsidRPr="002F0BB4">
        <w:rPr>
          <w:shd w:val="clear" w:color="auto" w:fill="FFFFFF"/>
        </w:rPr>
        <w:t xml:space="preserve"> to live and work in another Member State and all EU citizens to travel freely across the EU, making EU citizenship more important than ever;</w:t>
      </w:r>
    </w:p>
    <w:p w:rsidR="00DB7FF1" w:rsidRPr="002F0BB4" w:rsidRDefault="00DB7FF1" w:rsidP="0092231B">
      <w:pPr>
        <w:pStyle w:val="NormalHanging12a"/>
      </w:pPr>
      <w:proofErr w:type="gramStart"/>
      <w:r w:rsidRPr="002F0BB4">
        <w:rPr>
          <w:rFonts w:eastAsiaTheme="minorHAnsi"/>
          <w:lang w:eastAsia="en-US"/>
        </w:rPr>
        <w:t>E.</w:t>
      </w:r>
      <w:r w:rsidRPr="002F0BB4">
        <w:rPr>
          <w:rFonts w:eastAsiaTheme="minorHAnsi"/>
          <w:lang w:eastAsia="en-US"/>
        </w:rPr>
        <w:tab/>
      </w:r>
      <w:r w:rsidRPr="002F0BB4">
        <w:rPr>
          <w:shd w:val="clear" w:color="auto" w:fill="FFFFFF"/>
        </w:rPr>
        <w:t>whereas, too often, EU citizens lack sufficient awareness, knowledge and understanding of the rights, civic duties and freedoms deriving from EU citizenship; whereas there are still substantial shortcomings in the practical application of EU citizenship and in the full exercise of its derived rights and freedoms, some of which are caused by the non-uniform implementation of EU legislation by the Member States;</w:t>
      </w:r>
      <w:proofErr w:type="gramEnd"/>
    </w:p>
    <w:p w:rsidR="00DB7FF1" w:rsidRPr="002F0BB4" w:rsidRDefault="00DB7FF1" w:rsidP="0092231B">
      <w:pPr>
        <w:pStyle w:val="NormalHanging12a"/>
      </w:pPr>
      <w:r w:rsidRPr="002F0BB4">
        <w:rPr>
          <w:rFonts w:eastAsiaTheme="minorHAnsi"/>
          <w:lang w:eastAsia="en-US"/>
        </w:rPr>
        <w:lastRenderedPageBreak/>
        <w:t>F.</w:t>
      </w:r>
      <w:r w:rsidRPr="002F0BB4">
        <w:rPr>
          <w:rFonts w:eastAsiaTheme="minorHAnsi"/>
          <w:lang w:eastAsia="en-US"/>
        </w:rPr>
        <w:tab/>
      </w:r>
      <w:r w:rsidRPr="002F0BB4">
        <w:t>whereas the results of the 2020 public consultation on EU citizenship revealed that over 60 % of those who took part did not consider themselves well informed about their EU citizenship rights</w:t>
      </w:r>
      <w:r w:rsidRPr="002F0BB4">
        <w:rPr>
          <w:rStyle w:val="FootnoteReference"/>
          <w:color w:val="000000"/>
          <w:szCs w:val="24"/>
        </w:rPr>
        <w:footnoteReference w:id="23"/>
      </w:r>
      <w:r w:rsidRPr="002F0BB4">
        <w:t>;</w:t>
      </w:r>
      <w:r w:rsidR="00AE6319">
        <w:t xml:space="preserve"> </w:t>
      </w:r>
      <w:r w:rsidR="00AE6319" w:rsidRPr="00AE6319">
        <w:t>whereas the 2023 Flash Eurobarometer survey on citizenship and democracy shows that half of respondents consider themselves well informed about their rights as EU citizens;</w:t>
      </w:r>
    </w:p>
    <w:p w:rsidR="00DB7FF1" w:rsidRPr="002F0BB4" w:rsidRDefault="00DB7FF1" w:rsidP="0092231B">
      <w:pPr>
        <w:pStyle w:val="NormalHanging12a"/>
      </w:pPr>
      <w:r w:rsidRPr="002F0BB4">
        <w:rPr>
          <w:rFonts w:eastAsiaTheme="minorHAnsi"/>
          <w:lang w:eastAsia="en-US"/>
        </w:rPr>
        <w:t>G.</w:t>
      </w:r>
      <w:r w:rsidRPr="002F0BB4">
        <w:rPr>
          <w:rFonts w:eastAsiaTheme="minorHAnsi"/>
          <w:lang w:eastAsia="en-US"/>
        </w:rPr>
        <w:tab/>
      </w:r>
      <w:r w:rsidRPr="002F0BB4">
        <w:t xml:space="preserve">whereas EU citizens have been facing unprecedented challenges </w:t>
      </w:r>
      <w:proofErr w:type="gramStart"/>
      <w:r w:rsidRPr="002F0BB4">
        <w:t>as a result</w:t>
      </w:r>
      <w:proofErr w:type="gramEnd"/>
      <w:r w:rsidRPr="002F0BB4">
        <w:t xml:space="preserve"> of the COVID-19 pandemic, in addition to the digital revolution and the social and economic transformations linked to it;</w:t>
      </w:r>
    </w:p>
    <w:p w:rsidR="00DB7FF1" w:rsidRPr="002F0BB4" w:rsidRDefault="00DB7FF1" w:rsidP="0092231B">
      <w:pPr>
        <w:pStyle w:val="NormalHanging12a"/>
        <w:shd w:val="clear" w:color="auto" w:fill="FFFFFF" w:themeFill="background1"/>
      </w:pPr>
      <w:r w:rsidRPr="002F0BB4">
        <w:rPr>
          <w:rFonts w:eastAsiaTheme="minorHAnsi"/>
          <w:lang w:eastAsia="en-US"/>
        </w:rPr>
        <w:t>H.</w:t>
      </w:r>
      <w:r w:rsidRPr="002F0BB4">
        <w:rPr>
          <w:rFonts w:eastAsiaTheme="minorHAnsi"/>
          <w:lang w:eastAsia="en-US"/>
        </w:rPr>
        <w:tab/>
      </w:r>
      <w:r w:rsidRPr="002F0BB4">
        <w:t>whereas the compilation and consolidation of existing and future rights would facilitate a better and more informed exercise of the rights and freedoms deriving from EU citizenship;</w:t>
      </w:r>
    </w:p>
    <w:p w:rsidR="00DB7FF1" w:rsidRPr="002F0BB4" w:rsidRDefault="00DB7FF1" w:rsidP="0092231B">
      <w:pPr>
        <w:pStyle w:val="NormalHanging12a"/>
        <w:shd w:val="clear" w:color="auto" w:fill="FFFFFF" w:themeFill="background1"/>
      </w:pPr>
      <w:r w:rsidRPr="002F0BB4">
        <w:rPr>
          <w:rFonts w:eastAsiaTheme="minorHAnsi"/>
          <w:lang w:eastAsia="en-US"/>
        </w:rPr>
        <w:t>I.</w:t>
      </w:r>
      <w:r w:rsidRPr="002F0BB4">
        <w:rPr>
          <w:rFonts w:eastAsiaTheme="minorHAnsi"/>
          <w:lang w:eastAsia="en-US"/>
        </w:rPr>
        <w:tab/>
        <w:t xml:space="preserve">whereas the Conference on the Future of Europe </w:t>
      </w:r>
      <w:r w:rsidRPr="002F0BB4">
        <w:t>(</w:t>
      </w:r>
      <w:proofErr w:type="spellStart"/>
      <w:r w:rsidRPr="002F0BB4">
        <w:t>CoFE</w:t>
      </w:r>
      <w:proofErr w:type="spellEnd"/>
      <w:r w:rsidRPr="002F0BB4">
        <w:t>)</w:t>
      </w:r>
      <w:r w:rsidRPr="002F0BB4">
        <w:rPr>
          <w:rFonts w:eastAsiaTheme="minorHAnsi"/>
          <w:lang w:eastAsia="en-US"/>
        </w:rPr>
        <w:t xml:space="preserve"> represents a concrete example of citizens’ participation in the democratic life of the Union; </w:t>
      </w:r>
      <w:r w:rsidRPr="002F0BB4">
        <w:t>whereas its conclusions include proposals and measures that reflect the agreement between the European institutions and EU citizens to strengthen EU citizenship;</w:t>
      </w:r>
    </w:p>
    <w:p w:rsidR="00DB7FF1" w:rsidRPr="002F0BB4" w:rsidRDefault="00DB7FF1" w:rsidP="0092231B">
      <w:pPr>
        <w:pStyle w:val="NormalHanging12a"/>
        <w:shd w:val="clear" w:color="auto" w:fill="FFFFFF" w:themeFill="background1"/>
      </w:pPr>
      <w:proofErr w:type="gramStart"/>
      <w:r w:rsidRPr="002F0BB4">
        <w:rPr>
          <w:rFonts w:eastAsiaTheme="minorHAnsi"/>
          <w:lang w:eastAsia="en-US"/>
        </w:rPr>
        <w:t>J.</w:t>
      </w:r>
      <w:r w:rsidRPr="002F0BB4">
        <w:rPr>
          <w:rFonts w:eastAsiaTheme="minorHAnsi"/>
          <w:lang w:eastAsia="en-US"/>
        </w:rPr>
        <w:tab/>
      </w:r>
      <w:r w:rsidRPr="002F0BB4">
        <w:t xml:space="preserve">whereas </w:t>
      </w:r>
      <w:r w:rsidRPr="002F0BB4">
        <w:rPr>
          <w:lang w:eastAsia="es-ES"/>
        </w:rPr>
        <w:t>existing obstacles to the exercise of EU citizenship rights</w:t>
      </w:r>
      <w:r w:rsidRPr="002F0BB4">
        <w:t xml:space="preserve"> create situations of inequality and discrimination among EU citizens, in particular mobile EU citizens and their family members, especially children, persons living in EU cross-border regions and rural areas, and members of vulnerable and marginalised groups, such as minorities, low-income individuals, homeless people, the elderly, people with disabilities as well as people at risk of digital exclusion;</w:t>
      </w:r>
      <w:proofErr w:type="gramEnd"/>
    </w:p>
    <w:p w:rsidR="00DB7FF1" w:rsidRPr="002F0BB4" w:rsidRDefault="00DB7FF1" w:rsidP="0092231B">
      <w:pPr>
        <w:pStyle w:val="NormalHanging12a"/>
        <w:rPr>
          <w:rStyle w:val="y2iqfc"/>
          <w:color w:val="000000"/>
          <w:shd w:val="clear" w:color="auto" w:fill="FFFFFF"/>
        </w:rPr>
      </w:pPr>
      <w:r w:rsidRPr="002F0BB4">
        <w:rPr>
          <w:rFonts w:eastAsiaTheme="minorHAnsi"/>
          <w:lang w:eastAsia="en-US"/>
        </w:rPr>
        <w:t>K.</w:t>
      </w:r>
      <w:r w:rsidRPr="002F0BB4">
        <w:rPr>
          <w:rFonts w:eastAsiaTheme="minorHAnsi"/>
          <w:lang w:eastAsia="en-US"/>
        </w:rPr>
        <w:tab/>
      </w:r>
      <w:r w:rsidRPr="002F0BB4">
        <w:t>whereas almost 87 million EU citizens live with some form of disability</w:t>
      </w:r>
      <w:r w:rsidRPr="002F0BB4">
        <w:rPr>
          <w:rStyle w:val="FootnoteReference"/>
          <w:color w:val="000000"/>
          <w:shd w:val="clear" w:color="auto" w:fill="FFFFFF"/>
        </w:rPr>
        <w:footnoteReference w:id="24"/>
      </w:r>
      <w:r w:rsidRPr="002F0BB4">
        <w:t xml:space="preserve"> and experience difficulties exercising their citizenship rights, with these difficulties sometimes entailing a direct denial of their rights to free movement and residence and restrictions on the enjoyment of their political rights;</w:t>
      </w:r>
    </w:p>
    <w:p w:rsidR="00DB7FF1" w:rsidRPr="002F0BB4" w:rsidRDefault="00DB7FF1" w:rsidP="0092231B">
      <w:pPr>
        <w:pStyle w:val="NormalHanging12a"/>
      </w:pPr>
      <w:r w:rsidRPr="002F0BB4">
        <w:rPr>
          <w:rStyle w:val="y2iqfc"/>
          <w:color w:val="000000"/>
          <w:shd w:val="clear" w:color="auto" w:fill="FFFFFF"/>
        </w:rPr>
        <w:t>L</w:t>
      </w:r>
      <w:r w:rsidRPr="002F0BB4">
        <w:rPr>
          <w:rStyle w:val="y2iqfc"/>
          <w:b/>
          <w:color w:val="000000"/>
          <w:shd w:val="clear" w:color="auto" w:fill="FFFFFF"/>
        </w:rPr>
        <w:t>.</w:t>
      </w:r>
      <w:r w:rsidRPr="002F0BB4">
        <w:rPr>
          <w:rStyle w:val="y2iqfc"/>
          <w:color w:val="000000"/>
          <w:shd w:val="clear" w:color="auto" w:fill="FFFFFF"/>
        </w:rPr>
        <w:tab/>
      </w:r>
      <w:r w:rsidRPr="002F0BB4">
        <w:t>whereas some Member States are still offering so-called golden visa programmes and investor schemes as a means of obtaining nationality and, consequently, EU citizenship;</w:t>
      </w:r>
    </w:p>
    <w:p w:rsidR="00DB7FF1" w:rsidRPr="002F0BB4" w:rsidRDefault="00DB7FF1" w:rsidP="0092231B">
      <w:pPr>
        <w:pStyle w:val="NormalHanging12a"/>
        <w:rPr>
          <w:b/>
          <w:i/>
        </w:rPr>
      </w:pPr>
      <w:r w:rsidRPr="002F0BB4">
        <w:rPr>
          <w:b/>
          <w:i/>
        </w:rPr>
        <w:t>Introduction</w:t>
      </w:r>
    </w:p>
    <w:p w:rsidR="00DB7FF1" w:rsidRPr="002F0BB4" w:rsidRDefault="00DB7FF1" w:rsidP="0092231B">
      <w:pPr>
        <w:pStyle w:val="NormalHanging12a"/>
      </w:pPr>
      <w:r w:rsidRPr="002F0BB4">
        <w:rPr>
          <w:rFonts w:eastAsiaTheme="minorHAnsi"/>
          <w:lang w:eastAsia="en-US"/>
        </w:rPr>
        <w:t>1.</w:t>
      </w:r>
      <w:r w:rsidRPr="002F0BB4">
        <w:rPr>
          <w:rFonts w:eastAsiaTheme="minorHAnsi"/>
          <w:lang w:eastAsia="en-US"/>
        </w:rPr>
        <w:tab/>
      </w:r>
      <w:r w:rsidRPr="002F0BB4">
        <w:rPr>
          <w:lang w:eastAsia="es-ES"/>
        </w:rPr>
        <w:t>Considers that EU citizenship comprises the shared and common European democratic identity and the specific rights, civic duties and freedoms attached to it, and that the exercise of those rights, both online and offline, strengthens citizens’ link with the EU and its democratic legitimacy, as well as offering them additional rights;</w:t>
      </w:r>
    </w:p>
    <w:p w:rsidR="00DB7FF1" w:rsidRPr="002F0BB4" w:rsidRDefault="00DB7FF1" w:rsidP="0092231B">
      <w:pPr>
        <w:pStyle w:val="NormalHanging12a"/>
      </w:pPr>
      <w:proofErr w:type="gramStart"/>
      <w:r w:rsidRPr="002F0BB4">
        <w:rPr>
          <w:rFonts w:eastAsiaTheme="minorHAnsi"/>
          <w:lang w:eastAsia="en-US"/>
        </w:rPr>
        <w:t>2.</w:t>
      </w:r>
      <w:r w:rsidRPr="002F0BB4">
        <w:rPr>
          <w:rFonts w:eastAsiaTheme="minorHAnsi"/>
          <w:lang w:eastAsia="en-US"/>
        </w:rPr>
        <w:tab/>
      </w:r>
      <w:r w:rsidRPr="002F0BB4">
        <w:t xml:space="preserve">Points out that the construction of EU citizenship must move forward to address the needs and challenges of the EU in the 21st century, recognising the potential of digital innovation and the need for a balanced approach to address the complexity generated by globalisation and new technologies; stresses that the digitalisation of democratic processes, combined with insufficient digital literacy and access to information and </w:t>
      </w:r>
      <w:r w:rsidRPr="002F0BB4">
        <w:lastRenderedPageBreak/>
        <w:t>communication technology, risks contributing to a growing digital divide in the exercise of citizenship rights, leaving a section of the public alienated from the European project;</w:t>
      </w:r>
      <w:proofErr w:type="gramEnd"/>
    </w:p>
    <w:p w:rsidR="00DB7FF1" w:rsidRPr="002F0BB4" w:rsidRDefault="00DB7FF1" w:rsidP="0092231B">
      <w:pPr>
        <w:pStyle w:val="NormalHanging12a"/>
        <w:rPr>
          <w:rStyle w:val="doceo-font-family-base"/>
          <w:rFonts w:eastAsiaTheme="minorHAnsi"/>
          <w:b/>
          <w:i/>
        </w:rPr>
      </w:pPr>
      <w:proofErr w:type="gramStart"/>
      <w:r w:rsidRPr="002F0BB4">
        <w:rPr>
          <w:rStyle w:val="doceo-font-family-base"/>
          <w:rFonts w:eastAsiaTheme="minorHAnsi"/>
        </w:rPr>
        <w:t>3.</w:t>
      </w:r>
      <w:r w:rsidRPr="002F0BB4">
        <w:rPr>
          <w:rStyle w:val="doceo-font-family-base"/>
          <w:rFonts w:eastAsiaTheme="minorHAnsi"/>
        </w:rPr>
        <w:tab/>
        <w:t>Considers that multilingualism within the EU institutions and in their interaction with citizens is an essential aspect to reinforce the notion of EU citizenship; highlights, in this regard, that the Council conclusion of 13 June 2005 envisaged that non-official EU languages recognised in a Member State or in a part of its territory could be used by EU citizens in their interaction with EU institutions, as well as officially used in EU institutions or bodies, including the European Parliament;</w:t>
      </w:r>
      <w:proofErr w:type="gramEnd"/>
      <w:r w:rsidRPr="002F0BB4">
        <w:rPr>
          <w:rStyle w:val="doceo-font-family-base"/>
          <w:rFonts w:eastAsiaTheme="minorHAnsi"/>
          <w:b/>
          <w:i/>
        </w:rPr>
        <w:t xml:space="preserve"> </w:t>
      </w:r>
    </w:p>
    <w:p w:rsidR="00DB7FF1" w:rsidRPr="002F0BB4" w:rsidRDefault="00DB7FF1" w:rsidP="0092231B">
      <w:pPr>
        <w:pStyle w:val="NormalHanging12a"/>
        <w:rPr>
          <w:rStyle w:val="doceo-font-family-base"/>
        </w:rPr>
      </w:pPr>
      <w:proofErr w:type="gramStart"/>
      <w:r w:rsidRPr="002F0BB4">
        <w:rPr>
          <w:rStyle w:val="doceo-font-family-base"/>
          <w:rFonts w:eastAsiaTheme="minorHAnsi"/>
        </w:rPr>
        <w:t>4.</w:t>
      </w:r>
      <w:r w:rsidRPr="002F0BB4">
        <w:rPr>
          <w:rStyle w:val="doceo-font-family-base"/>
          <w:rFonts w:eastAsiaTheme="minorHAnsi"/>
        </w:rPr>
        <w:tab/>
      </w:r>
      <w:r w:rsidRPr="002F0BB4">
        <w:rPr>
          <w:rStyle w:val="doceo-font-family-base"/>
        </w:rPr>
        <w:t xml:space="preserve">Points out that Parliament called for the creation of an EU citizenship statute in </w:t>
      </w:r>
      <w:r w:rsidRPr="002F0BB4">
        <w:t>its resolution of 12 February 2019 on the implementation of the Treaty provisions related to EU citizenship</w:t>
      </w:r>
      <w:r w:rsidRPr="002F0BB4">
        <w:rPr>
          <w:rStyle w:val="doceo-font-family-base"/>
        </w:rPr>
        <w:t xml:space="preserve"> and in its </w:t>
      </w:r>
      <w:r w:rsidRPr="002F0BB4">
        <w:t>resolution of 10 March 2022 on the EU Citizenship Report 2020: empowering citizens and protecting their rights;</w:t>
      </w:r>
      <w:r w:rsidRPr="002F0BB4">
        <w:rPr>
          <w:rStyle w:val="doceo-font-family-base"/>
        </w:rPr>
        <w:t xml:space="preserve"> recalls that the </w:t>
      </w:r>
      <w:proofErr w:type="spellStart"/>
      <w:r w:rsidRPr="002F0BB4">
        <w:rPr>
          <w:rStyle w:val="doceo-font-family-base"/>
        </w:rPr>
        <w:t>CoFE</w:t>
      </w:r>
      <w:proofErr w:type="spellEnd"/>
      <w:r w:rsidRPr="002F0BB4">
        <w:rPr>
          <w:rStyle w:val="doceo-font-family-base"/>
        </w:rPr>
        <w:t xml:space="preserve"> </w:t>
      </w:r>
      <w:r w:rsidRPr="002F0BB4">
        <w:t xml:space="preserve">underlined the importance of reinforcing EU citizenship </w:t>
      </w:r>
      <w:r w:rsidRPr="002F0BB4">
        <w:rPr>
          <w:rStyle w:val="doceo-font-family-base"/>
        </w:rPr>
        <w:t>by mentioning in its conclusions that such a statute would be a useful tool for making the EU’s principles and values more tangible;</w:t>
      </w:r>
      <w:proofErr w:type="gramEnd"/>
    </w:p>
    <w:p w:rsidR="00DB7FF1" w:rsidRPr="002F0BB4" w:rsidRDefault="00DB7FF1" w:rsidP="0092231B">
      <w:pPr>
        <w:pStyle w:val="NormalHanging12a"/>
      </w:pPr>
      <w:proofErr w:type="gramStart"/>
      <w:r w:rsidRPr="002F0BB4">
        <w:rPr>
          <w:rFonts w:eastAsiaTheme="minorHAnsi"/>
          <w:lang w:eastAsia="en-US"/>
        </w:rPr>
        <w:t>5.</w:t>
      </w:r>
      <w:r w:rsidRPr="002F0BB4">
        <w:rPr>
          <w:rFonts w:eastAsiaTheme="minorHAnsi"/>
          <w:lang w:eastAsia="en-US"/>
        </w:rPr>
        <w:tab/>
      </w:r>
      <w:r w:rsidRPr="002F0BB4">
        <w:rPr>
          <w:bCs/>
        </w:rPr>
        <w:t xml:space="preserve">Regrets the fact that the Commission did not specifically mention the reinforcement of EU citizenship and potential ways to achieve this in its communication following up on the </w:t>
      </w:r>
      <w:proofErr w:type="spellStart"/>
      <w:r w:rsidRPr="002F0BB4">
        <w:rPr>
          <w:bCs/>
        </w:rPr>
        <w:t>CoFE</w:t>
      </w:r>
      <w:proofErr w:type="spellEnd"/>
      <w:r w:rsidRPr="002F0BB4">
        <w:rPr>
          <w:rStyle w:val="FootnoteReference"/>
          <w:bCs/>
        </w:rPr>
        <w:footnoteReference w:id="25"/>
      </w:r>
      <w:r w:rsidRPr="002F0BB4">
        <w:rPr>
          <w:bCs/>
        </w:rPr>
        <w:t xml:space="preserve">; recalls that the Council did show willingness to strengthen citizenship in the technical assessment it published in relation to the </w:t>
      </w:r>
      <w:proofErr w:type="spellStart"/>
      <w:r w:rsidRPr="002F0BB4">
        <w:rPr>
          <w:bCs/>
        </w:rPr>
        <w:t>CoFE</w:t>
      </w:r>
      <w:proofErr w:type="spellEnd"/>
      <w:r w:rsidRPr="002F0BB4">
        <w:rPr>
          <w:bCs/>
        </w:rPr>
        <w:t xml:space="preserve">, </w:t>
      </w:r>
      <w:r w:rsidRPr="002F0BB4">
        <w:t>but it has not yet proposed, undertaken nor carried out measures in order to meet this goal</w:t>
      </w:r>
      <w:r w:rsidRPr="002F0BB4">
        <w:rPr>
          <w:bCs/>
        </w:rPr>
        <w:t>;</w:t>
      </w:r>
      <w:proofErr w:type="gramEnd"/>
    </w:p>
    <w:p w:rsidR="00DB7FF1" w:rsidRPr="002F0BB4" w:rsidRDefault="00DB7FF1" w:rsidP="0092231B">
      <w:pPr>
        <w:pStyle w:val="NormalHanging12a"/>
      </w:pPr>
      <w:proofErr w:type="gramStart"/>
      <w:r w:rsidRPr="002F0BB4">
        <w:rPr>
          <w:rFonts w:eastAsiaTheme="minorHAnsi"/>
          <w:lang w:eastAsia="en-US"/>
        </w:rPr>
        <w:t>6.</w:t>
      </w:r>
      <w:r w:rsidRPr="002F0BB4">
        <w:rPr>
          <w:rFonts w:eastAsiaTheme="minorHAnsi"/>
          <w:lang w:eastAsia="en-US"/>
        </w:rPr>
        <w:tab/>
      </w:r>
      <w:r w:rsidRPr="002F0BB4">
        <w:t>Recalls that the Commission will publish its EU Citizenship Report 2023 before the end of the year and expects it to propose new initiatives to reinforce EU citizenship and address the shortcomings of its implementation; regrets that this time, the Commission has chosen to publish a call for evidence and not a public consultation as it did in previous years; recalls that the results of the call for evidence do not contain a comprehensive overview of the latest developments and implementation gaps; stresses that the report should be prepared on the basis of updated data;</w:t>
      </w:r>
      <w:proofErr w:type="gramEnd"/>
    </w:p>
    <w:p w:rsidR="00DB7FF1" w:rsidRPr="002F0BB4" w:rsidRDefault="00DB7FF1" w:rsidP="0092231B">
      <w:pPr>
        <w:pStyle w:val="NormalHanging12a"/>
        <w:rPr>
          <w:b/>
          <w:i/>
        </w:rPr>
      </w:pPr>
      <w:r w:rsidRPr="002F0BB4">
        <w:rPr>
          <w:b/>
          <w:i/>
        </w:rPr>
        <w:t>Problems around EU citizenship</w:t>
      </w:r>
    </w:p>
    <w:p w:rsidR="00DB7FF1" w:rsidRPr="002F0BB4" w:rsidRDefault="00DB7FF1" w:rsidP="0092231B">
      <w:pPr>
        <w:pStyle w:val="NormalHanging12a"/>
        <w:rPr>
          <w:bCs/>
        </w:rPr>
      </w:pPr>
      <w:r w:rsidRPr="002F0BB4">
        <w:t>7.</w:t>
      </w:r>
      <w:r w:rsidRPr="002F0BB4">
        <w:tab/>
        <w:t>Is concerned about specific difficulties impeding the full exercise of the rights and freedoms deriving from EU citizenship</w:t>
      </w:r>
      <w:proofErr w:type="gramStart"/>
      <w:r w:rsidRPr="002F0BB4">
        <w:rPr>
          <w:bCs/>
        </w:rPr>
        <w:t>;</w:t>
      </w:r>
      <w:proofErr w:type="gramEnd"/>
    </w:p>
    <w:p w:rsidR="00DB7FF1" w:rsidRPr="002F0BB4" w:rsidRDefault="00DB7FF1" w:rsidP="0092231B">
      <w:pPr>
        <w:pStyle w:val="NormalHanging12a"/>
        <w:rPr>
          <w:b/>
          <w:i/>
        </w:rPr>
      </w:pPr>
      <w:r w:rsidRPr="002F0BB4">
        <w:rPr>
          <w:b/>
          <w:i/>
        </w:rPr>
        <w:t>Political rights</w:t>
      </w:r>
    </w:p>
    <w:p w:rsidR="00DB7FF1" w:rsidRPr="002F0BB4" w:rsidRDefault="00DB7FF1" w:rsidP="0092231B">
      <w:pPr>
        <w:pStyle w:val="NormalHanging12a"/>
        <w:rPr>
          <w:rStyle w:val="y2iqfc"/>
        </w:rPr>
      </w:pPr>
      <w:r w:rsidRPr="002F0BB4">
        <w:rPr>
          <w:rStyle w:val="y2iqfc"/>
          <w:rFonts w:eastAsiaTheme="minorHAnsi"/>
        </w:rPr>
        <w:t>8.</w:t>
      </w:r>
      <w:r w:rsidRPr="002F0BB4">
        <w:rPr>
          <w:rStyle w:val="y2iqfc"/>
          <w:rFonts w:eastAsiaTheme="minorHAnsi"/>
        </w:rPr>
        <w:tab/>
      </w:r>
      <w:r w:rsidRPr="002F0BB4">
        <w:rPr>
          <w:rStyle w:val="y2iqfc"/>
        </w:rPr>
        <w:t>Deplores the fact that mobile citizens are less likely to exercise their right to vote and run for office in European and municipal elections in their Member States of residence, with the reasons for this including insufficient information, language barriers, difficulties in registering to vote and the low success rate of non-national candidates;</w:t>
      </w:r>
    </w:p>
    <w:p w:rsidR="00DB7FF1" w:rsidRPr="002F0BB4" w:rsidRDefault="00DB7FF1" w:rsidP="0092231B">
      <w:pPr>
        <w:pStyle w:val="NormalHanging12a"/>
      </w:pPr>
      <w:r w:rsidRPr="002F0BB4">
        <w:rPr>
          <w:rFonts w:eastAsiaTheme="minorHAnsi"/>
        </w:rPr>
        <w:t>9.</w:t>
      </w:r>
      <w:r w:rsidRPr="002F0BB4">
        <w:rPr>
          <w:rFonts w:eastAsiaTheme="minorHAnsi"/>
        </w:rPr>
        <w:tab/>
      </w:r>
      <w:r w:rsidRPr="002F0BB4">
        <w:t>Is highly concerned by the practice of certain Member States of depriving their citizens of the right to vote in national parliamentary elections when they live abroad permanently or temporarily, which leads to their exclusion from political life in both their country of origin and their country of residence;</w:t>
      </w:r>
      <w:r w:rsidRPr="002F0BB4">
        <w:rPr>
          <w:b/>
          <w:i/>
        </w:rPr>
        <w:t xml:space="preserve"> </w:t>
      </w:r>
    </w:p>
    <w:p w:rsidR="00DB7FF1" w:rsidRPr="002F0BB4" w:rsidRDefault="00DB7FF1" w:rsidP="0092231B">
      <w:pPr>
        <w:pStyle w:val="NormalHanging12a"/>
        <w:rPr>
          <w:b/>
          <w:i/>
        </w:rPr>
      </w:pPr>
      <w:r w:rsidRPr="002F0BB4">
        <w:rPr>
          <w:b/>
          <w:i/>
        </w:rPr>
        <w:lastRenderedPageBreak/>
        <w:t>Freedom of movement and residence</w:t>
      </w:r>
    </w:p>
    <w:p w:rsidR="00DB7FF1" w:rsidRPr="002F0BB4" w:rsidRDefault="00DB7FF1" w:rsidP="0092231B">
      <w:pPr>
        <w:pStyle w:val="NormalHanging12a"/>
      </w:pPr>
      <w:r w:rsidRPr="002F0BB4">
        <w:t>10.</w:t>
      </w:r>
      <w:r w:rsidRPr="002F0BB4">
        <w:rPr>
          <w:b/>
          <w:i/>
        </w:rPr>
        <w:tab/>
      </w:r>
      <w:r w:rsidRPr="002F0BB4">
        <w:t>Highlights that the Schengen area is one of the greatest achievements of the EU; stresses that all barriers to freedom of movement within the EU should be removed to achieve equal EU citizenship rights for all European citizens; calls for the accession of Romania and Bulgaria to the Schengen area, in line with Parliament’s resolutions;</w:t>
      </w:r>
    </w:p>
    <w:p w:rsidR="00DB7FF1" w:rsidRPr="002F0BB4" w:rsidRDefault="00DB7FF1" w:rsidP="0092231B">
      <w:pPr>
        <w:pStyle w:val="NormalHanging12a"/>
        <w:rPr>
          <w:b/>
          <w:i/>
        </w:rPr>
      </w:pPr>
      <w:r w:rsidRPr="002F0BB4">
        <w:rPr>
          <w:rFonts w:eastAsiaTheme="minorHAnsi"/>
        </w:rPr>
        <w:t>11.</w:t>
      </w:r>
      <w:r w:rsidRPr="002F0BB4">
        <w:rPr>
          <w:rFonts w:eastAsiaTheme="minorHAnsi"/>
        </w:rPr>
        <w:tab/>
      </w:r>
      <w:r w:rsidRPr="002F0BB4">
        <w:rPr>
          <w:rStyle w:val="y2iqfc"/>
        </w:rPr>
        <w:t xml:space="preserve">Is concerned by the fact that mobile EU citizens, </w:t>
      </w:r>
      <w:r w:rsidRPr="002F0BB4">
        <w:t xml:space="preserve">especially those from vulnerable groups, </w:t>
      </w:r>
      <w:r w:rsidRPr="002F0BB4">
        <w:rPr>
          <w:rStyle w:val="y2iqfc"/>
        </w:rPr>
        <w:t xml:space="preserve">are treated differently to nationals by their Member States of residence as regards access to benefits; calls on the Member States to properly implement the </w:t>
      </w:r>
      <w:proofErr w:type="gramStart"/>
      <w:r w:rsidRPr="002F0BB4">
        <w:t>case-law</w:t>
      </w:r>
      <w:proofErr w:type="gramEnd"/>
      <w:r w:rsidRPr="002F0BB4">
        <w:t xml:space="preserve"> of the Court of Justice of the EU (CJEU) prohibiting such discrimination;</w:t>
      </w:r>
      <w:r w:rsidRPr="002F0BB4">
        <w:rPr>
          <w:b/>
          <w:i/>
        </w:rPr>
        <w:t xml:space="preserve"> </w:t>
      </w:r>
    </w:p>
    <w:p w:rsidR="00DB7FF1" w:rsidRPr="002F0BB4" w:rsidRDefault="00DB7FF1" w:rsidP="0092231B">
      <w:pPr>
        <w:pStyle w:val="NormalHanging12a"/>
      </w:pPr>
      <w:r w:rsidRPr="002F0BB4">
        <w:t>12.</w:t>
      </w:r>
      <w:r w:rsidRPr="002F0BB4">
        <w:rPr>
          <w:b/>
          <w:i/>
        </w:rPr>
        <w:tab/>
      </w:r>
      <w:r w:rsidRPr="002F0BB4">
        <w:t>Is concerned by the difficulties and challenges faced by citizens living in EU cross-border regions, especially in the event of border closures as a result of EU-wide or regional crises; calls, in such cases, on the Member States to maintain cross-border cooperation and, where appropriate, close interaction with the relevant local and regional authorities;</w:t>
      </w:r>
    </w:p>
    <w:p w:rsidR="00DB7FF1" w:rsidRPr="002F0BB4" w:rsidRDefault="00DB7FF1" w:rsidP="0092231B">
      <w:pPr>
        <w:pStyle w:val="NormalHanging12a"/>
        <w:rPr>
          <w:b/>
          <w:i/>
        </w:rPr>
      </w:pPr>
      <w:r w:rsidRPr="002F0BB4">
        <w:rPr>
          <w:b/>
          <w:i/>
        </w:rPr>
        <w:t>Consular protection</w:t>
      </w:r>
    </w:p>
    <w:p w:rsidR="00DB7FF1" w:rsidRPr="002F0BB4" w:rsidRDefault="00DB7FF1" w:rsidP="0092231B">
      <w:pPr>
        <w:pStyle w:val="NormalHanging12a"/>
      </w:pPr>
      <w:proofErr w:type="gramStart"/>
      <w:r w:rsidRPr="002F0BB4">
        <w:rPr>
          <w:rFonts w:eastAsiaTheme="minorHAnsi"/>
          <w:lang w:eastAsia="en-US"/>
        </w:rPr>
        <w:t>13.</w:t>
      </w:r>
      <w:r w:rsidRPr="002F0BB4">
        <w:rPr>
          <w:rFonts w:eastAsiaTheme="minorHAnsi"/>
          <w:lang w:eastAsia="en-US"/>
        </w:rPr>
        <w:tab/>
      </w:r>
      <w:r w:rsidRPr="002F0BB4">
        <w:t>Is concerned by the existence of deficiencies in the implementation of the Consular Protection Directive and of shortcomings in the functioning of the Member States’ consular networks, noting that these increased following the United Kingdom’s exit from the EU; deplores, in this regard, the fact that EU citizens have limited access to consular protection and assistance in some non-EU countries;</w:t>
      </w:r>
      <w:proofErr w:type="gramEnd"/>
    </w:p>
    <w:p w:rsidR="00DB7FF1" w:rsidRPr="002F0BB4" w:rsidRDefault="00DB7FF1" w:rsidP="0092231B">
      <w:pPr>
        <w:pStyle w:val="NormalHanging12a"/>
      </w:pPr>
      <w:r w:rsidRPr="002F0BB4">
        <w:rPr>
          <w:rFonts w:eastAsiaTheme="minorHAnsi"/>
          <w:lang w:eastAsia="en-US"/>
        </w:rPr>
        <w:t>14.</w:t>
      </w:r>
      <w:r w:rsidRPr="002F0BB4">
        <w:rPr>
          <w:rFonts w:eastAsiaTheme="minorHAnsi"/>
          <w:lang w:eastAsia="en-US"/>
        </w:rPr>
        <w:tab/>
      </w:r>
      <w:r w:rsidRPr="002F0BB4">
        <w:t>Points out that there have been cases where two people who are nationals of two different Member States have been unable to complete certain formalities, such as getting married, at the consular representation of one of the Member States, even if the other Member State has no accessible consular representation in that country;</w:t>
      </w:r>
    </w:p>
    <w:p w:rsidR="00DB7FF1" w:rsidRPr="002F0BB4" w:rsidRDefault="00DB7FF1" w:rsidP="0092231B">
      <w:pPr>
        <w:pStyle w:val="NormalHanging12a"/>
        <w:rPr>
          <w:b/>
          <w:i/>
        </w:rPr>
      </w:pPr>
      <w:r w:rsidRPr="002F0BB4">
        <w:rPr>
          <w:b/>
          <w:i/>
        </w:rPr>
        <w:t>Discrimination</w:t>
      </w:r>
    </w:p>
    <w:p w:rsidR="00DB7FF1" w:rsidRPr="002F0BB4" w:rsidRDefault="00DB7FF1" w:rsidP="0092231B">
      <w:pPr>
        <w:pStyle w:val="NormalHanging12a"/>
      </w:pPr>
      <w:r w:rsidRPr="002F0BB4">
        <w:rPr>
          <w:rFonts w:eastAsiaTheme="minorHAnsi"/>
          <w:lang w:eastAsia="en-US"/>
        </w:rPr>
        <w:t>15.</w:t>
      </w:r>
      <w:r w:rsidRPr="002F0BB4">
        <w:rPr>
          <w:rFonts w:eastAsiaTheme="minorHAnsi"/>
          <w:lang w:eastAsia="en-US"/>
        </w:rPr>
        <w:tab/>
      </w:r>
      <w:r w:rsidRPr="002F0BB4">
        <w:t>Considers that the lack of uniformity in Member States’ rules on the acquisition and loss of national citizenship has led to differences as regards the acquisition and loss of EU citizenship, and that these differences have resulted, in some cases, in the violation of EU principles and values;</w:t>
      </w:r>
    </w:p>
    <w:p w:rsidR="00DB7FF1" w:rsidRPr="002F0BB4" w:rsidRDefault="00DB7FF1" w:rsidP="0092231B">
      <w:pPr>
        <w:pStyle w:val="NormalHanging12a"/>
      </w:pPr>
      <w:r w:rsidRPr="002F0BB4">
        <w:rPr>
          <w:rFonts w:eastAsiaTheme="minorHAnsi"/>
          <w:lang w:eastAsia="en-US"/>
        </w:rPr>
        <w:t>16.</w:t>
      </w:r>
      <w:r w:rsidRPr="002F0BB4">
        <w:rPr>
          <w:rFonts w:eastAsiaTheme="minorHAnsi"/>
          <w:lang w:eastAsia="en-US"/>
        </w:rPr>
        <w:tab/>
      </w:r>
      <w:proofErr w:type="gramStart"/>
      <w:r w:rsidRPr="002F0BB4">
        <w:t>Stresses</w:t>
      </w:r>
      <w:proofErr w:type="gramEnd"/>
      <w:r w:rsidRPr="002F0BB4">
        <w:t xml:space="preserve"> that there are still several cases where the acquisition of a derived right of residence for non-EU nationals whose minor dependants are EU citizens is refused, despite the developments in CJEU case-law; </w:t>
      </w:r>
    </w:p>
    <w:p w:rsidR="00DB7FF1" w:rsidRPr="002F0BB4" w:rsidRDefault="00DB7FF1" w:rsidP="0092231B">
      <w:pPr>
        <w:pStyle w:val="NormalHanging12a"/>
      </w:pPr>
      <w:r w:rsidRPr="002F0BB4">
        <w:t>17.</w:t>
      </w:r>
      <w:r w:rsidRPr="002F0BB4">
        <w:rPr>
          <w:b/>
        </w:rPr>
        <w:tab/>
      </w:r>
      <w:proofErr w:type="gramStart"/>
      <w:r w:rsidRPr="002F0BB4">
        <w:t>Reiterates</w:t>
      </w:r>
      <w:proofErr w:type="gramEnd"/>
      <w:r w:rsidRPr="002F0BB4">
        <w:t xml:space="preserve"> its concern about the discrimination suffered by same-sex couples and their children when exercising the fundamental right to freedom of movement within the EU; </w:t>
      </w:r>
    </w:p>
    <w:p w:rsidR="00DB7FF1" w:rsidRPr="002F0BB4" w:rsidRDefault="00DB7FF1" w:rsidP="0092231B">
      <w:pPr>
        <w:pStyle w:val="NormalHanging12a"/>
        <w:rPr>
          <w:b/>
          <w:i/>
        </w:rPr>
      </w:pPr>
      <w:r w:rsidRPr="002F0BB4">
        <w:rPr>
          <w:b/>
          <w:i/>
        </w:rPr>
        <w:t>Recommendations</w:t>
      </w:r>
    </w:p>
    <w:p w:rsidR="00DB7FF1" w:rsidRPr="002F0BB4" w:rsidRDefault="00DB7FF1" w:rsidP="0092231B">
      <w:pPr>
        <w:pStyle w:val="NormalHanging12a"/>
      </w:pPr>
      <w:proofErr w:type="gramStart"/>
      <w:r w:rsidRPr="002F0BB4">
        <w:rPr>
          <w:rFonts w:eastAsiaTheme="minorHAnsi"/>
          <w:lang w:eastAsia="en-US"/>
        </w:rPr>
        <w:t>18.</w:t>
      </w:r>
      <w:r w:rsidRPr="002F0BB4">
        <w:rPr>
          <w:rFonts w:eastAsiaTheme="minorHAnsi"/>
          <w:lang w:eastAsia="en-US"/>
        </w:rPr>
        <w:tab/>
      </w:r>
      <w:r w:rsidRPr="002F0BB4">
        <w:t xml:space="preserve">Calls on the Member States and regional and local authorities to fully implement the existing directives on mobile citizens’ rights and to promptly address the different existing shortfalls in the light of the upcoming European elections; calls for the creation of targeted awareness campaigns in the country of residence to inform mobile EU citizens about their right to vote and run for office in European and municipal elections </w:t>
      </w:r>
      <w:r w:rsidRPr="002F0BB4">
        <w:lastRenderedPageBreak/>
        <w:t>in that country; reiterates its call to expand mobile citizens’ rights to national and regional elections;</w:t>
      </w:r>
      <w:proofErr w:type="gramEnd"/>
    </w:p>
    <w:p w:rsidR="00DB7FF1" w:rsidRPr="002F0BB4" w:rsidRDefault="00DB7FF1" w:rsidP="0092231B">
      <w:pPr>
        <w:pStyle w:val="NormalHanging12a"/>
      </w:pPr>
      <w:proofErr w:type="gramStart"/>
      <w:r w:rsidRPr="002F0BB4">
        <w:rPr>
          <w:rFonts w:eastAsiaTheme="minorHAnsi"/>
          <w:lang w:eastAsia="en-US"/>
        </w:rPr>
        <w:t>19.</w:t>
      </w:r>
      <w:r w:rsidRPr="002F0BB4">
        <w:rPr>
          <w:rFonts w:eastAsiaTheme="minorHAnsi"/>
          <w:lang w:eastAsia="en-US"/>
        </w:rPr>
        <w:tab/>
      </w:r>
      <w:r w:rsidRPr="002F0BB4">
        <w:t>Calls on the Member States to guarantee the right of their expatriate nationals to vote in their country of origin, where recognised, by creating the regulatory conditions to allow for their vote and by removing any bureaucratic obstacles that hinder and sometimes prevent the exercise of this right; calls on the Member States, in particular, to equally guarantee such rights and to eliminate any kind of differential treatment among their expatriate nationals when it comes to remote voting, especially postal voting, when applicable; calls for the uniform application of the right to vote in the European elections for EU citizens residing outside of the EU;</w:t>
      </w:r>
      <w:proofErr w:type="gramEnd"/>
    </w:p>
    <w:p w:rsidR="00DB7FF1" w:rsidRPr="002F0BB4" w:rsidRDefault="00DB7FF1" w:rsidP="0092231B">
      <w:pPr>
        <w:pStyle w:val="NormalHanging12a"/>
      </w:pPr>
      <w:proofErr w:type="gramStart"/>
      <w:r w:rsidRPr="002F0BB4">
        <w:rPr>
          <w:rFonts w:eastAsiaTheme="minorHAnsi"/>
          <w:lang w:eastAsia="en-US"/>
        </w:rPr>
        <w:t>20.</w:t>
      </w:r>
      <w:r w:rsidRPr="002F0BB4">
        <w:rPr>
          <w:rFonts w:eastAsiaTheme="minorHAnsi"/>
          <w:lang w:eastAsia="en-US"/>
        </w:rPr>
        <w:tab/>
      </w:r>
      <w:r w:rsidRPr="002F0BB4">
        <w:rPr>
          <w:rStyle w:val="doceo-font-family-base"/>
          <w:color w:val="000000"/>
          <w:szCs w:val="24"/>
        </w:rPr>
        <w:t xml:space="preserve">Calls on the Commission to adopt </w:t>
      </w:r>
      <w:r w:rsidRPr="002F0BB4">
        <w:t>a new communication clarifying certain key concepts contained in Directive 2004/38/EC on the right of EU citizens and their families to move and reside freely within the EU, in order to provide the Member States with up-to-date guidelines that could contribute to improving the Directive’s implementation at national level, thus benefiting EU citizens and their family members;</w:t>
      </w:r>
      <w:proofErr w:type="gramEnd"/>
    </w:p>
    <w:p w:rsidR="00DB7FF1" w:rsidRPr="002F0BB4" w:rsidRDefault="00DB7FF1" w:rsidP="0092231B">
      <w:pPr>
        <w:pStyle w:val="NormalHanging12a"/>
      </w:pPr>
      <w:r w:rsidRPr="002F0BB4">
        <w:rPr>
          <w:rFonts w:eastAsiaTheme="minorHAnsi"/>
          <w:lang w:eastAsia="en-US"/>
        </w:rPr>
        <w:t>21.</w:t>
      </w:r>
      <w:r w:rsidRPr="002F0BB4">
        <w:rPr>
          <w:rFonts w:eastAsiaTheme="minorHAnsi"/>
          <w:lang w:eastAsia="en-US"/>
        </w:rPr>
        <w:tab/>
      </w:r>
      <w:r w:rsidRPr="002F0BB4">
        <w:t>Calls for the EU to promote the adoption of a binding European Charter on Digital Rights, including digital citizenship rights, building on the European Declaration of Digital Rights and Principles for the Digital Decade</w:t>
      </w:r>
      <w:proofErr w:type="gramStart"/>
      <w:r w:rsidRPr="002F0BB4">
        <w:t>;</w:t>
      </w:r>
      <w:proofErr w:type="gramEnd"/>
    </w:p>
    <w:p w:rsidR="00DB7FF1" w:rsidRPr="002F0BB4" w:rsidRDefault="00DB7FF1" w:rsidP="0092231B">
      <w:pPr>
        <w:pStyle w:val="NormalHanging12a"/>
      </w:pPr>
      <w:r w:rsidRPr="002F0BB4">
        <w:rPr>
          <w:rFonts w:eastAsiaTheme="minorHAnsi"/>
          <w:lang w:eastAsia="en-US"/>
        </w:rPr>
        <w:t>22.</w:t>
      </w:r>
      <w:r w:rsidRPr="002F0BB4">
        <w:rPr>
          <w:rFonts w:eastAsiaTheme="minorHAnsi"/>
          <w:lang w:eastAsia="en-US"/>
        </w:rPr>
        <w:tab/>
      </w:r>
      <w:r w:rsidR="00AE6319" w:rsidRPr="00AE6319">
        <w:t>Welcomes the Commission’s</w:t>
      </w:r>
      <w:r w:rsidRPr="002F0BB4">
        <w:t xml:space="preserve"> proposal to update and improve the Consular Protection Directive</w:t>
      </w:r>
      <w:r w:rsidR="00AE6319">
        <w:t xml:space="preserve"> </w:t>
      </w:r>
      <w:r w:rsidR="00AE6319" w:rsidRPr="00AE6319">
        <w:t>in order to strengthen the right of EU citizens to consular protection, particularly in crisis situations</w:t>
      </w:r>
      <w:r w:rsidRPr="002F0BB4">
        <w:t>, including by giving EU delegations a more active role in assisting under-represented EU citizens;</w:t>
      </w:r>
    </w:p>
    <w:p w:rsidR="00DB7FF1" w:rsidRPr="002F0BB4" w:rsidRDefault="00DB7FF1" w:rsidP="0092231B">
      <w:pPr>
        <w:pStyle w:val="NormalHanging12a"/>
      </w:pPr>
      <w:proofErr w:type="gramStart"/>
      <w:r w:rsidRPr="002F0BB4">
        <w:rPr>
          <w:rFonts w:eastAsiaTheme="minorHAnsi"/>
          <w:lang w:eastAsia="en-US"/>
        </w:rPr>
        <w:t>23.</w:t>
      </w:r>
      <w:r w:rsidRPr="002F0BB4">
        <w:rPr>
          <w:rFonts w:eastAsiaTheme="minorHAnsi"/>
          <w:lang w:eastAsia="en-US"/>
        </w:rPr>
        <w:tab/>
      </w:r>
      <w:r w:rsidRPr="002F0BB4">
        <w:t>Calls on the Member States to put an end to ‘golden visa’ programmes and investor schemes and any other similar national schemes that lead to the acquisition of their citizenship and involve the direct or indirect sale and abuse of EU citizenship, as these undermine the very concept of EU citizenship and violate EU principles and values; urges the Member States to safeguard the integrity and value of EU citizenship; calls on the Commission to take any necessary action, such as referring the relevant Member States to the CJEU;</w:t>
      </w:r>
      <w:proofErr w:type="gramEnd"/>
    </w:p>
    <w:p w:rsidR="00DB7FF1" w:rsidRPr="002F0BB4" w:rsidRDefault="00DB7FF1" w:rsidP="0092231B">
      <w:pPr>
        <w:pStyle w:val="NormalHanging12a"/>
      </w:pPr>
      <w:proofErr w:type="gramStart"/>
      <w:r w:rsidRPr="002F0BB4">
        <w:t>24.</w:t>
      </w:r>
      <w:r w:rsidRPr="002F0BB4">
        <w:rPr>
          <w:b/>
          <w:i/>
        </w:rPr>
        <w:tab/>
      </w:r>
      <w:r w:rsidRPr="002F0BB4">
        <w:t>Calls, in the context of the next revision of the Treaties, for Parliament and the Council to be able to, in accordance with the ordinary legislative procedure, adopt common provisions on preventing the sale of passports, or other abuses regarding the acquisition and loss of EU citizenship by third-country nationals, with a view to approximating the conditions under which such citizenship can be acquired;</w:t>
      </w:r>
      <w:proofErr w:type="gramEnd"/>
    </w:p>
    <w:p w:rsidR="00DB7FF1" w:rsidRPr="002F0BB4" w:rsidRDefault="00DB7FF1" w:rsidP="0092231B">
      <w:pPr>
        <w:pStyle w:val="NormalHanging12a"/>
      </w:pPr>
      <w:proofErr w:type="gramStart"/>
      <w:r w:rsidRPr="002F0BB4">
        <w:rPr>
          <w:rFonts w:eastAsiaTheme="minorHAnsi"/>
          <w:lang w:eastAsia="en-US"/>
        </w:rPr>
        <w:t>25.</w:t>
      </w:r>
      <w:r w:rsidRPr="002F0BB4">
        <w:rPr>
          <w:rFonts w:eastAsiaTheme="minorHAnsi"/>
          <w:lang w:eastAsia="en-US"/>
        </w:rPr>
        <w:tab/>
      </w:r>
      <w:r w:rsidRPr="002F0BB4">
        <w:t>Calls on the Member States and relevant authorities to adapt existing school curricula or to create new ones to teach the history of Europe and of the European Union and its functioning in order to promote active citizenship and common European values and increase awareness of the added value of being a European and an EU citizen; stresses that enhancing the European dimension of citizenship education and ensuring equal access for all, also by using all the digital tools at our disposal, will enable EU citizens to act as informed citizens and to fully participate in civic, political and social life at both European and national level; stresses that Erasmus+ can play an important role in boosting EU citizenship education through learning mobility for all, regardless of age, gender, employment or education level;</w:t>
      </w:r>
      <w:proofErr w:type="gramEnd"/>
    </w:p>
    <w:p w:rsidR="00DB7FF1" w:rsidRPr="002F0BB4" w:rsidRDefault="00DB7FF1" w:rsidP="0092231B">
      <w:pPr>
        <w:pStyle w:val="NormalHanging12a"/>
      </w:pPr>
      <w:proofErr w:type="gramStart"/>
      <w:r w:rsidRPr="002F0BB4">
        <w:rPr>
          <w:rFonts w:eastAsiaTheme="minorHAnsi"/>
          <w:lang w:eastAsia="en-US"/>
        </w:rPr>
        <w:lastRenderedPageBreak/>
        <w:t>26.</w:t>
      </w:r>
      <w:r w:rsidRPr="002F0BB4">
        <w:rPr>
          <w:rFonts w:eastAsiaTheme="minorHAnsi"/>
          <w:lang w:eastAsia="en-US"/>
        </w:rPr>
        <w:tab/>
      </w:r>
      <w:r w:rsidRPr="002F0BB4">
        <w:t xml:space="preserve">Calls on the Commission to develop public consultations tailored to all EU citizens, especially young people, in order to increase EU citizens’ participation; urges the Commission to update the way in which public consultations are conducted in order to enhance civic engagement and participation by a wider variety of European citizens, in line with the successful example of the </w:t>
      </w:r>
      <w:proofErr w:type="spellStart"/>
      <w:r w:rsidRPr="002F0BB4">
        <w:t>CoFE</w:t>
      </w:r>
      <w:proofErr w:type="spellEnd"/>
      <w:r w:rsidRPr="002F0BB4">
        <w:t>; calls on the Commission, in this regard, to further improve the ‘Have your say’ portal, taking advantage of new technologies, and to communicate on how citizens’ feedback contributes to the different initiatives;</w:t>
      </w:r>
      <w:proofErr w:type="gramEnd"/>
      <w:r w:rsidRPr="002F0BB4">
        <w:t xml:space="preserve"> </w:t>
      </w:r>
    </w:p>
    <w:p w:rsidR="00DB7FF1" w:rsidRPr="002F0BB4" w:rsidRDefault="00DB7FF1" w:rsidP="0092231B">
      <w:pPr>
        <w:pStyle w:val="NormalHanging12a"/>
        <w:shd w:val="clear" w:color="auto" w:fill="FFFFFF" w:themeFill="background1"/>
      </w:pPr>
      <w:proofErr w:type="gramStart"/>
      <w:r w:rsidRPr="002F0BB4">
        <w:rPr>
          <w:rFonts w:eastAsiaTheme="minorHAnsi"/>
          <w:lang w:eastAsia="en-US"/>
        </w:rPr>
        <w:t>27.</w:t>
      </w:r>
      <w:r w:rsidRPr="002F0BB4">
        <w:rPr>
          <w:rFonts w:eastAsiaTheme="minorHAnsi"/>
          <w:lang w:eastAsia="en-US"/>
        </w:rPr>
        <w:tab/>
      </w:r>
      <w:r w:rsidRPr="002F0BB4">
        <w:t>Calls for the creation of a one-stop shop for all EU participatory tools, such as the European Citizens’ Initiative, petitions to Parliament, complaints to the European Ombudsman, public consultations and Citizens’ Dialogues, and for the efficiency of these tools to be enhanced, notably by ensuring that they contribute to European agenda-setting, while also guaranteeing that representative democracy is reinforced in the decision-making process; calls on the Commission, the Member States and regional and local authorities to increase their efforts in communicating to the public the existing participatory instruments;</w:t>
      </w:r>
      <w:proofErr w:type="gramEnd"/>
      <w:r w:rsidRPr="002F0BB4">
        <w:t xml:space="preserve"> </w:t>
      </w:r>
    </w:p>
    <w:p w:rsidR="00DB7FF1" w:rsidRPr="002F0BB4" w:rsidRDefault="00DB7FF1" w:rsidP="0092231B">
      <w:pPr>
        <w:pStyle w:val="NormalHanging12a"/>
        <w:shd w:val="clear" w:color="auto" w:fill="FFFFFF" w:themeFill="background1"/>
      </w:pPr>
      <w:proofErr w:type="gramStart"/>
      <w:r w:rsidRPr="002F0BB4">
        <w:t>28.</w:t>
      </w:r>
      <w:r w:rsidRPr="002F0BB4">
        <w:tab/>
        <w:t>Reiterates its proposal to create a permanent citizens’ consultation mechanism allowing citizens, especially young people, to deliberate on EU priorities and policies, contributing to the application, among other things, of a ‘youth check’ in the legislation with a view to complementing and not replacing representative parliamentary democracy; proposes that Parliament’s representatives should be informed about these deliberations so that they may assess whether to provide a follow-up, if appropriate;</w:t>
      </w:r>
      <w:proofErr w:type="gramEnd"/>
    </w:p>
    <w:p w:rsidR="00DB7FF1" w:rsidRPr="002F0BB4" w:rsidRDefault="00DB7FF1" w:rsidP="0092231B">
      <w:pPr>
        <w:pStyle w:val="NormalHanging12a"/>
      </w:pPr>
      <w:r w:rsidRPr="002F0BB4">
        <w:rPr>
          <w:bCs/>
          <w:iCs/>
          <w:szCs w:val="24"/>
        </w:rPr>
        <w:t>29.</w:t>
      </w:r>
      <w:r w:rsidRPr="002F0BB4">
        <w:rPr>
          <w:szCs w:val="24"/>
        </w:rPr>
        <w:tab/>
      </w:r>
      <w:r w:rsidRPr="002F0BB4">
        <w:rPr>
          <w:bCs/>
          <w:iCs/>
          <w:szCs w:val="24"/>
        </w:rPr>
        <w:t>Proposes to consider the introduction of a European citizens’ card, which could, for example, facilitate the exercise of citizenship rights and the vote in European elections as well as the use of participatory instruments;</w:t>
      </w:r>
    </w:p>
    <w:p w:rsidR="00DB7FF1" w:rsidRPr="002F0BB4" w:rsidRDefault="00DB7FF1" w:rsidP="0092231B">
      <w:pPr>
        <w:pStyle w:val="NormalHanging12a"/>
        <w:shd w:val="clear" w:color="auto" w:fill="FFFFFF" w:themeFill="background1"/>
      </w:pPr>
      <w:r w:rsidRPr="002F0BB4">
        <w:t>30.</w:t>
      </w:r>
      <w:r w:rsidRPr="002F0BB4">
        <w:rPr>
          <w:b/>
          <w:i/>
        </w:rPr>
        <w:tab/>
      </w:r>
      <w:r w:rsidRPr="002F0BB4">
        <w:t>Underlines the significant role of Europe Direct offices in increasing the participation of citizens at local level in EU democratic life; encourages the Member States and entities at regional and local level to increase cooperation with these offices;</w:t>
      </w:r>
    </w:p>
    <w:p w:rsidR="00DB7FF1" w:rsidRPr="002F0BB4" w:rsidRDefault="00DB7FF1" w:rsidP="0092231B">
      <w:pPr>
        <w:pStyle w:val="NormalHanging12a"/>
      </w:pPr>
      <w:proofErr w:type="gramStart"/>
      <w:r w:rsidRPr="002F0BB4">
        <w:t>31.</w:t>
      </w:r>
      <w:r w:rsidRPr="002F0BB4">
        <w:rPr>
          <w:b/>
          <w:i/>
        </w:rPr>
        <w:tab/>
      </w:r>
      <w:r w:rsidRPr="002F0BB4">
        <w:t>Calls on the Commission to increase its use of social media and digital tools, with a particular focus on enhancing the involvement of young people and people with disabilities in the democratic process, thus promoting their engagement, while also recognising the lowered voting age in Member States for the European elections; calls on the Commission, in this regard, to bolster the promotion of democratic participation by increasing its dialogue with citizens and raising awareness among citizens about the impact of EU legislation on their daily lives;</w:t>
      </w:r>
      <w:proofErr w:type="gramEnd"/>
      <w:r w:rsidRPr="002F0BB4">
        <w:t xml:space="preserve"> </w:t>
      </w:r>
    </w:p>
    <w:p w:rsidR="00DB7FF1" w:rsidRPr="002F0BB4" w:rsidRDefault="00DB7FF1" w:rsidP="0092231B">
      <w:pPr>
        <w:pStyle w:val="NormalHanging12a"/>
      </w:pPr>
      <w:proofErr w:type="gramStart"/>
      <w:r w:rsidRPr="002F0BB4">
        <w:t>32.</w:t>
      </w:r>
      <w:r w:rsidRPr="002F0BB4">
        <w:rPr>
          <w:b/>
          <w:i/>
        </w:rPr>
        <w:tab/>
      </w:r>
      <w:r w:rsidRPr="002F0BB4">
        <w:t>Considers that, in the light of the growing influence of the digital sphere on citizens’ lives, especially social media and AI, it remains essential for the Member States and the European institutions to maintain their focus on creating new public policies and implementing effective mechanisms aimed at safeguarding fundamental rights online and at fighting foreign interference and disinformation, as they represent existential threats to democracy and the very exercise</w:t>
      </w:r>
      <w:r w:rsidRPr="002F0BB4">
        <w:rPr>
          <w:b/>
          <w:i/>
        </w:rPr>
        <w:t xml:space="preserve"> </w:t>
      </w:r>
      <w:r w:rsidRPr="002F0BB4">
        <w:t>of citizens’ rights;</w:t>
      </w:r>
      <w:proofErr w:type="gramEnd"/>
      <w:r w:rsidRPr="002F0BB4">
        <w:t xml:space="preserve"> </w:t>
      </w:r>
    </w:p>
    <w:p w:rsidR="00DB7FF1" w:rsidRPr="002F0BB4" w:rsidRDefault="00DB7FF1" w:rsidP="0092231B">
      <w:pPr>
        <w:spacing w:after="240"/>
        <w:ind w:left="567" w:hanging="567"/>
        <w:rPr>
          <w:rFonts w:eastAsiaTheme="minorHAnsi" w:cstheme="minorBidi"/>
          <w:szCs w:val="22"/>
          <w:lang w:eastAsia="en-US"/>
        </w:rPr>
      </w:pPr>
      <w:r w:rsidRPr="002F0BB4">
        <w:rPr>
          <w:rFonts w:eastAsiaTheme="minorHAnsi" w:cstheme="minorBidi"/>
          <w:szCs w:val="22"/>
          <w:lang w:eastAsia="en-US"/>
        </w:rPr>
        <w:t>33.</w:t>
      </w:r>
      <w:r w:rsidRPr="002F0BB4">
        <w:rPr>
          <w:rFonts w:eastAsiaTheme="minorHAnsi" w:cstheme="minorBidi"/>
          <w:szCs w:val="22"/>
          <w:lang w:eastAsia="en-US"/>
        </w:rPr>
        <w:tab/>
        <w:t>Urges the Council and the Commission to resume negotiations on the revision of Regulation (EC) No 1049/2001</w:t>
      </w:r>
      <w:r w:rsidRPr="002F0BB4">
        <w:rPr>
          <w:rFonts w:eastAsiaTheme="minorHAnsi" w:cstheme="minorBidi"/>
          <w:szCs w:val="22"/>
          <w:vertAlign w:val="superscript"/>
          <w:lang w:eastAsia="en-US"/>
        </w:rPr>
        <w:footnoteReference w:id="26"/>
      </w:r>
      <w:r w:rsidRPr="002F0BB4">
        <w:rPr>
          <w:rFonts w:eastAsiaTheme="minorHAnsi" w:cstheme="minorBidi"/>
          <w:szCs w:val="22"/>
          <w:lang w:eastAsia="en-US"/>
        </w:rPr>
        <w:t xml:space="preserve"> with the aim of ensuring that EU citizens are able </w:t>
      </w:r>
      <w:proofErr w:type="gramStart"/>
      <w:r w:rsidRPr="002F0BB4">
        <w:rPr>
          <w:rFonts w:eastAsiaTheme="minorHAnsi" w:cstheme="minorBidi"/>
          <w:szCs w:val="22"/>
          <w:lang w:eastAsia="en-US"/>
        </w:rPr>
        <w:t xml:space="preserve">to </w:t>
      </w:r>
      <w:r w:rsidRPr="002F0BB4">
        <w:rPr>
          <w:rFonts w:eastAsiaTheme="minorHAnsi" w:cstheme="minorBidi"/>
          <w:szCs w:val="22"/>
          <w:lang w:eastAsia="en-US"/>
        </w:rPr>
        <w:lastRenderedPageBreak/>
        <w:t>fully exercise</w:t>
      </w:r>
      <w:proofErr w:type="gramEnd"/>
      <w:r w:rsidRPr="002F0BB4">
        <w:rPr>
          <w:rFonts w:eastAsiaTheme="minorHAnsi" w:cstheme="minorBidi"/>
          <w:szCs w:val="22"/>
          <w:lang w:eastAsia="en-US"/>
        </w:rPr>
        <w:t xml:space="preserve"> their right to access documents and scrutinise the EU institutions, bodies, offices and agencies.</w:t>
      </w:r>
    </w:p>
    <w:p w:rsidR="00DB7FF1" w:rsidRPr="002F0BB4" w:rsidRDefault="00DB7FF1" w:rsidP="0092231B">
      <w:pPr>
        <w:pStyle w:val="AMNumberTabs"/>
        <w:spacing w:before="0" w:after="240"/>
        <w:ind w:left="567" w:hanging="567"/>
        <w:jc w:val="both"/>
        <w:rPr>
          <w:rStyle w:val="doceo-font-family-base"/>
          <w:rFonts w:eastAsiaTheme="minorHAnsi"/>
          <w:b w:val="0"/>
          <w:color w:val="000000"/>
          <w:szCs w:val="24"/>
          <w:lang w:val="en-GB" w:eastAsia="en-US"/>
        </w:rPr>
      </w:pPr>
      <w:proofErr w:type="gramStart"/>
      <w:r w:rsidRPr="002F0BB4">
        <w:rPr>
          <w:rStyle w:val="doceo-font-family-base"/>
          <w:rFonts w:eastAsiaTheme="minorHAnsi"/>
          <w:b w:val="0"/>
          <w:color w:val="000000"/>
          <w:szCs w:val="24"/>
          <w:lang w:val="en-GB" w:eastAsia="en-US"/>
        </w:rPr>
        <w:t>34.</w:t>
      </w:r>
      <w:r w:rsidRPr="002F0BB4">
        <w:rPr>
          <w:rStyle w:val="doceo-font-family-base"/>
          <w:rFonts w:eastAsiaTheme="minorHAnsi"/>
          <w:color w:val="000000"/>
          <w:szCs w:val="24"/>
          <w:lang w:val="en-GB" w:eastAsia="en-US"/>
        </w:rPr>
        <w:tab/>
      </w:r>
      <w:r w:rsidRPr="002F0BB4">
        <w:rPr>
          <w:b w:val="0"/>
          <w:lang w:val="en-GB"/>
        </w:rPr>
        <w:t>Reiterates the need to draw up an EU citizenship statute, on the basis of Article 25 TFEU, that compiles existing and future citizenship rights in order to enhance the enforceability of citizenship rights and ensure citizens’ equality, improving cohesion and responding to social, economic, political and digital changes; recalls that this should be carried out within the framework of the Treaties</w:t>
      </w:r>
      <w:r w:rsidRPr="002F0BB4">
        <w:rPr>
          <w:rStyle w:val="doceo-font-family-base"/>
          <w:b w:val="0"/>
          <w:color w:val="000000"/>
          <w:szCs w:val="24"/>
          <w:lang w:val="en-GB"/>
        </w:rPr>
        <w:t>;</w:t>
      </w:r>
      <w:proofErr w:type="gramEnd"/>
      <w:r w:rsidRPr="002F0BB4">
        <w:rPr>
          <w:rStyle w:val="doceo-font-family-base"/>
          <w:b w:val="0"/>
          <w:color w:val="000000"/>
          <w:szCs w:val="24"/>
          <w:lang w:val="en-GB"/>
        </w:rPr>
        <w:t xml:space="preserve"> </w:t>
      </w:r>
    </w:p>
    <w:p w:rsidR="00DB7FF1" w:rsidRPr="002F0BB4" w:rsidRDefault="00DB7FF1" w:rsidP="0092231B">
      <w:pPr>
        <w:pStyle w:val="AMNumberTabs"/>
        <w:ind w:left="567" w:hanging="567"/>
        <w:jc w:val="both"/>
        <w:rPr>
          <w:b w:val="0"/>
          <w:lang w:val="en-GB"/>
        </w:rPr>
      </w:pPr>
      <w:r w:rsidRPr="002F0BB4">
        <w:rPr>
          <w:b w:val="0"/>
          <w:lang w:val="en-GB"/>
        </w:rPr>
        <w:t>35.</w:t>
      </w:r>
      <w:r w:rsidRPr="002F0BB4">
        <w:rPr>
          <w:b w:val="0"/>
          <w:lang w:val="en-GB"/>
        </w:rPr>
        <w:tab/>
        <w:t xml:space="preserve">Suggests that, in the area of participation and political rights, freedom of movement and digital citizenship, and in line with existing and future EU legislation, citizens should have, in particular: </w:t>
      </w:r>
    </w:p>
    <w:p w:rsidR="00DB7FF1" w:rsidRPr="002F0BB4" w:rsidRDefault="00DB7FF1" w:rsidP="00535428">
      <w:pPr>
        <w:pStyle w:val="AMNumberTabs"/>
        <w:tabs>
          <w:tab w:val="clear" w:pos="879"/>
          <w:tab w:val="clear" w:pos="936"/>
          <w:tab w:val="clear" w:pos="1021"/>
          <w:tab w:val="clear" w:pos="1077"/>
          <w:tab w:val="left" w:pos="1276"/>
        </w:tabs>
        <w:ind w:left="1134" w:hanging="567"/>
        <w:rPr>
          <w:b w:val="0"/>
          <w:lang w:val="en-GB"/>
        </w:rPr>
      </w:pPr>
      <w:r w:rsidRPr="002F0BB4">
        <w:rPr>
          <w:b w:val="0"/>
          <w:lang w:val="en-GB"/>
        </w:rPr>
        <w:t>–</w:t>
      </w:r>
      <w:r w:rsidR="0092231B">
        <w:rPr>
          <w:b w:val="0"/>
          <w:lang w:val="en-GB"/>
        </w:rPr>
        <w:tab/>
      </w:r>
      <w:proofErr w:type="gramStart"/>
      <w:r w:rsidRPr="002F0BB4">
        <w:rPr>
          <w:b w:val="0"/>
          <w:lang w:val="en-GB"/>
        </w:rPr>
        <w:t>a</w:t>
      </w:r>
      <w:proofErr w:type="gramEnd"/>
      <w:r w:rsidRPr="002F0BB4">
        <w:rPr>
          <w:b w:val="0"/>
          <w:lang w:val="en-GB"/>
        </w:rPr>
        <w:t xml:space="preserve"> gender-balanced democratic representation on electoral lists; </w:t>
      </w:r>
    </w:p>
    <w:p w:rsidR="00DB7FF1" w:rsidRPr="002F0BB4" w:rsidRDefault="00DB7FF1" w:rsidP="00535428">
      <w:pPr>
        <w:pStyle w:val="AMNumberTabs"/>
        <w:tabs>
          <w:tab w:val="clear" w:pos="879"/>
          <w:tab w:val="clear" w:pos="936"/>
          <w:tab w:val="clear" w:pos="1021"/>
          <w:tab w:val="clear" w:pos="1077"/>
          <w:tab w:val="left" w:pos="1276"/>
        </w:tabs>
        <w:ind w:left="1134" w:hanging="567"/>
        <w:rPr>
          <w:b w:val="0"/>
          <w:lang w:val="en-GB"/>
        </w:rPr>
      </w:pPr>
      <w:r w:rsidRPr="002F0BB4">
        <w:rPr>
          <w:b w:val="0"/>
          <w:lang w:val="en-GB"/>
        </w:rPr>
        <w:t>–</w:t>
      </w:r>
      <w:r w:rsidR="0092231B">
        <w:rPr>
          <w:b w:val="0"/>
          <w:lang w:val="en-GB"/>
        </w:rPr>
        <w:tab/>
      </w:r>
      <w:proofErr w:type="gramStart"/>
      <w:r w:rsidRPr="002F0BB4">
        <w:rPr>
          <w:b w:val="0"/>
          <w:lang w:val="en-GB"/>
        </w:rPr>
        <w:t>a</w:t>
      </w:r>
      <w:proofErr w:type="gramEnd"/>
      <w:r w:rsidRPr="002F0BB4">
        <w:rPr>
          <w:b w:val="0"/>
          <w:lang w:val="en-GB"/>
        </w:rPr>
        <w:t xml:space="preserve"> permanent interactive digital platform through which citizens can submit their proposals and ideas in all official EU languages; </w:t>
      </w:r>
    </w:p>
    <w:p w:rsidR="00DB7FF1" w:rsidRPr="002F0BB4" w:rsidRDefault="00DB7FF1" w:rsidP="00535428">
      <w:pPr>
        <w:pStyle w:val="AMNumberTabs"/>
        <w:tabs>
          <w:tab w:val="clear" w:pos="879"/>
          <w:tab w:val="clear" w:pos="936"/>
          <w:tab w:val="clear" w:pos="1021"/>
          <w:tab w:val="clear" w:pos="1077"/>
          <w:tab w:val="left" w:pos="1276"/>
        </w:tabs>
        <w:ind w:left="1134" w:hanging="567"/>
        <w:rPr>
          <w:b w:val="0"/>
          <w:lang w:val="en-GB"/>
        </w:rPr>
      </w:pPr>
      <w:r w:rsidRPr="002F0BB4">
        <w:rPr>
          <w:b w:val="0"/>
          <w:lang w:val="en-GB"/>
        </w:rPr>
        <w:t>–</w:t>
      </w:r>
      <w:r w:rsidR="0092231B">
        <w:rPr>
          <w:b w:val="0"/>
          <w:lang w:val="en-GB"/>
        </w:rPr>
        <w:tab/>
      </w:r>
      <w:proofErr w:type="gramStart"/>
      <w:r w:rsidRPr="002F0BB4">
        <w:rPr>
          <w:b w:val="0"/>
          <w:lang w:val="en-GB"/>
        </w:rPr>
        <w:t>the</w:t>
      </w:r>
      <w:proofErr w:type="gramEnd"/>
      <w:r w:rsidRPr="002F0BB4">
        <w:rPr>
          <w:b w:val="0"/>
          <w:lang w:val="en-GB"/>
        </w:rPr>
        <w:t xml:space="preserve"> recognition of periods of study, not only qualifications and professional competences, as equivalent to be able to work in another Member State; </w:t>
      </w:r>
    </w:p>
    <w:p w:rsidR="00DB7FF1" w:rsidRPr="002F0BB4" w:rsidRDefault="00DB7FF1" w:rsidP="00535428">
      <w:pPr>
        <w:pStyle w:val="AMNumberTabs"/>
        <w:tabs>
          <w:tab w:val="clear" w:pos="879"/>
          <w:tab w:val="clear" w:pos="936"/>
          <w:tab w:val="clear" w:pos="1021"/>
          <w:tab w:val="clear" w:pos="1077"/>
          <w:tab w:val="left" w:pos="1276"/>
        </w:tabs>
        <w:ind w:left="1134" w:hanging="567"/>
        <w:rPr>
          <w:b w:val="0"/>
          <w:lang w:val="en-GB"/>
        </w:rPr>
      </w:pPr>
      <w:r w:rsidRPr="002F0BB4">
        <w:rPr>
          <w:b w:val="0"/>
          <w:lang w:val="en-GB"/>
        </w:rPr>
        <w:t>–</w:t>
      </w:r>
      <w:r w:rsidR="0092231B">
        <w:rPr>
          <w:b w:val="0"/>
          <w:lang w:val="en-GB"/>
        </w:rPr>
        <w:tab/>
      </w:r>
      <w:proofErr w:type="gramStart"/>
      <w:r w:rsidRPr="002F0BB4">
        <w:rPr>
          <w:b w:val="0"/>
          <w:lang w:val="en-GB"/>
        </w:rPr>
        <w:t>universal</w:t>
      </w:r>
      <w:proofErr w:type="gramEnd"/>
      <w:r w:rsidRPr="002F0BB4">
        <w:rPr>
          <w:b w:val="0"/>
          <w:lang w:val="en-GB"/>
        </w:rPr>
        <w:t xml:space="preserve"> internet access to ensure citizens’ inclusion and equal access  to the digital environment; </w:t>
      </w:r>
    </w:p>
    <w:p w:rsidR="00DB7FF1" w:rsidRPr="002F0BB4" w:rsidRDefault="00DB7FF1" w:rsidP="00535428">
      <w:pPr>
        <w:pStyle w:val="AMNumberTabs"/>
        <w:tabs>
          <w:tab w:val="clear" w:pos="879"/>
          <w:tab w:val="clear" w:pos="936"/>
          <w:tab w:val="clear" w:pos="1021"/>
          <w:tab w:val="clear" w:pos="1077"/>
          <w:tab w:val="left" w:pos="1276"/>
        </w:tabs>
        <w:ind w:left="1134" w:hanging="567"/>
        <w:rPr>
          <w:b w:val="0"/>
          <w:lang w:val="en-GB"/>
        </w:rPr>
      </w:pPr>
      <w:r w:rsidRPr="002F0BB4">
        <w:rPr>
          <w:b w:val="0"/>
          <w:lang w:val="en-GB"/>
        </w:rPr>
        <w:t>–</w:t>
      </w:r>
      <w:r w:rsidR="0092231B">
        <w:rPr>
          <w:b w:val="0"/>
          <w:lang w:val="en-GB"/>
        </w:rPr>
        <w:tab/>
      </w:r>
      <w:r w:rsidRPr="002F0BB4">
        <w:rPr>
          <w:b w:val="0"/>
          <w:lang w:val="en-GB"/>
        </w:rPr>
        <w:t xml:space="preserve">the management of one’s own digital identity, going further than the protection that already exists in relation to personal data in the digital environment; </w:t>
      </w:r>
    </w:p>
    <w:p w:rsidR="00DB7FF1" w:rsidRPr="002F0BB4" w:rsidRDefault="00DB7FF1" w:rsidP="00535428">
      <w:pPr>
        <w:pStyle w:val="AMNumberTabs"/>
        <w:tabs>
          <w:tab w:val="clear" w:pos="879"/>
          <w:tab w:val="clear" w:pos="936"/>
          <w:tab w:val="clear" w:pos="1021"/>
          <w:tab w:val="clear" w:pos="1077"/>
          <w:tab w:val="left" w:pos="1276"/>
        </w:tabs>
        <w:ind w:left="1134" w:hanging="567"/>
        <w:rPr>
          <w:b w:val="0"/>
          <w:lang w:val="en-GB"/>
        </w:rPr>
      </w:pPr>
      <w:r w:rsidRPr="002F0BB4">
        <w:rPr>
          <w:b w:val="0"/>
          <w:lang w:val="en-GB"/>
        </w:rPr>
        <w:t>–</w:t>
      </w:r>
      <w:r w:rsidR="0092231B">
        <w:rPr>
          <w:b w:val="0"/>
          <w:lang w:val="en-GB"/>
        </w:rPr>
        <w:tab/>
      </w:r>
      <w:proofErr w:type="gramStart"/>
      <w:r w:rsidRPr="002F0BB4">
        <w:rPr>
          <w:b w:val="0"/>
          <w:lang w:val="en-GB"/>
        </w:rPr>
        <w:t>the</w:t>
      </w:r>
      <w:proofErr w:type="gramEnd"/>
      <w:r w:rsidRPr="002F0BB4">
        <w:rPr>
          <w:b w:val="0"/>
          <w:lang w:val="en-GB"/>
        </w:rPr>
        <w:t xml:space="preserve"> digital inheritance of a deceased person’s digital data; </w:t>
      </w:r>
    </w:p>
    <w:p w:rsidR="00DB7FF1" w:rsidRPr="002F0BB4" w:rsidRDefault="00DB7FF1" w:rsidP="00535428">
      <w:pPr>
        <w:pStyle w:val="AMNumberTabs"/>
        <w:tabs>
          <w:tab w:val="clear" w:pos="879"/>
          <w:tab w:val="clear" w:pos="936"/>
          <w:tab w:val="clear" w:pos="1021"/>
          <w:tab w:val="clear" w:pos="1077"/>
          <w:tab w:val="left" w:pos="1276"/>
        </w:tabs>
        <w:ind w:left="1134" w:hanging="567"/>
        <w:rPr>
          <w:b w:val="0"/>
          <w:lang w:val="en-GB"/>
        </w:rPr>
      </w:pPr>
      <w:r w:rsidRPr="002F0BB4">
        <w:rPr>
          <w:b w:val="0"/>
          <w:lang w:val="en-GB"/>
        </w:rPr>
        <w:t>–</w:t>
      </w:r>
      <w:r w:rsidR="0092231B">
        <w:rPr>
          <w:b w:val="0"/>
          <w:lang w:val="en-GB"/>
        </w:rPr>
        <w:tab/>
      </w:r>
      <w:proofErr w:type="gramStart"/>
      <w:r w:rsidRPr="002F0BB4">
        <w:rPr>
          <w:b w:val="0"/>
          <w:lang w:val="en-GB"/>
        </w:rPr>
        <w:t>the</w:t>
      </w:r>
      <w:proofErr w:type="gramEnd"/>
      <w:r w:rsidRPr="002F0BB4">
        <w:rPr>
          <w:b w:val="0"/>
          <w:lang w:val="en-GB"/>
        </w:rPr>
        <w:t xml:space="preserve"> development of AI systems that are safe, transparent, traceable and overseen by people and regulatory institutions;</w:t>
      </w:r>
    </w:p>
    <w:p w:rsidR="00DB7FF1" w:rsidRPr="002F0BB4" w:rsidRDefault="00DB7FF1" w:rsidP="0092231B">
      <w:pPr>
        <w:pStyle w:val="NormalHanging12a"/>
        <w:spacing w:before="240" w:after="0"/>
        <w:rPr>
          <w:rStyle w:val="doceo-font-family-base"/>
          <w:color w:val="000000"/>
          <w:u w:val="single"/>
        </w:rPr>
      </w:pPr>
      <w:r w:rsidRPr="002F0BB4">
        <w:rPr>
          <w:rStyle w:val="doceo-font-family-base"/>
          <w:rFonts w:eastAsiaTheme="minorHAnsi"/>
          <w:color w:val="000000"/>
          <w:szCs w:val="24"/>
          <w:lang w:eastAsia="en-US"/>
        </w:rPr>
        <w:t>36.</w:t>
      </w:r>
      <w:r w:rsidRPr="002F0BB4">
        <w:rPr>
          <w:rStyle w:val="doceo-font-family-base"/>
          <w:rFonts w:eastAsiaTheme="minorHAnsi"/>
          <w:color w:val="000000"/>
          <w:szCs w:val="24"/>
          <w:lang w:eastAsia="en-US"/>
        </w:rPr>
        <w:tab/>
      </w:r>
      <w:r w:rsidRPr="002F0BB4">
        <w:t>Calls for a horizontal non-discrimination clause to be included in the EU citizenship statute as an additional safeguard of equality in the exercise of citizenship rights, with a view to ensuring non-discrimination and protecting citizens, in particular members of vulnerable and marginalised groups and persons living in EU cross-border regions;</w:t>
      </w:r>
    </w:p>
    <w:p w:rsidR="00DB7FF1" w:rsidRPr="002F0BB4" w:rsidRDefault="00DB7FF1" w:rsidP="0092231B">
      <w:pPr>
        <w:pStyle w:val="NormalHanging12a"/>
        <w:spacing w:before="240" w:after="0"/>
        <w:rPr>
          <w:rStyle w:val="doceo-font-family-base"/>
          <w:color w:val="000000"/>
          <w:szCs w:val="24"/>
        </w:rPr>
      </w:pPr>
      <w:proofErr w:type="gramStart"/>
      <w:r w:rsidRPr="002F0BB4">
        <w:rPr>
          <w:rStyle w:val="doceo-font-family-base"/>
          <w:rFonts w:eastAsiaTheme="minorHAnsi"/>
          <w:color w:val="000000"/>
          <w:szCs w:val="24"/>
          <w:lang w:eastAsia="en-US"/>
        </w:rPr>
        <w:t>37.</w:t>
      </w:r>
      <w:r w:rsidRPr="002F0BB4">
        <w:rPr>
          <w:rStyle w:val="doceo-font-family-base"/>
          <w:rFonts w:eastAsiaTheme="minorHAnsi"/>
          <w:color w:val="000000"/>
          <w:szCs w:val="24"/>
          <w:lang w:eastAsia="en-US"/>
        </w:rPr>
        <w:tab/>
      </w:r>
      <w:r w:rsidRPr="002F0BB4">
        <w:rPr>
          <w:rStyle w:val="doceo-font-family-base"/>
          <w:color w:val="000000"/>
          <w:szCs w:val="24"/>
        </w:rPr>
        <w:t xml:space="preserve">Calls on the Commission to run targeted awareness-raising campaigns around </w:t>
      </w:r>
      <w:r w:rsidRPr="002F0BB4">
        <w:t xml:space="preserve">rights and civic duties deriving from </w:t>
      </w:r>
      <w:r w:rsidRPr="002F0BB4">
        <w:rPr>
          <w:rStyle w:val="doceo-font-family-base"/>
          <w:color w:val="000000"/>
          <w:szCs w:val="24"/>
        </w:rPr>
        <w:t>EU citizenship and the statute, including by introducing an EU package to provide information about EU citizenship, and to dedicate more resources to EU citizenship; emphasises that with the digital and technological revolution, citizens have become the true pillars of our democratic systems and will be the ones to defend them;</w:t>
      </w:r>
      <w:proofErr w:type="gramEnd"/>
      <w:r w:rsidRPr="002F0BB4">
        <w:rPr>
          <w:rStyle w:val="doceo-font-family-base"/>
          <w:color w:val="000000"/>
          <w:szCs w:val="24"/>
        </w:rPr>
        <w:t xml:space="preserve"> </w:t>
      </w:r>
    </w:p>
    <w:p w:rsidR="00DB7FF1" w:rsidRPr="002F0BB4" w:rsidRDefault="00DB7FF1" w:rsidP="0092231B">
      <w:pPr>
        <w:pStyle w:val="NormalHanging12a"/>
        <w:spacing w:before="240" w:after="0"/>
        <w:rPr>
          <w:rStyle w:val="doceo-font-family-base"/>
          <w:color w:val="000000"/>
          <w:szCs w:val="24"/>
        </w:rPr>
      </w:pPr>
      <w:proofErr w:type="gramStart"/>
      <w:r w:rsidRPr="002F0BB4">
        <w:rPr>
          <w:rStyle w:val="doceo-font-family-base"/>
          <w:color w:val="000000"/>
          <w:szCs w:val="24"/>
        </w:rPr>
        <w:t>38.</w:t>
      </w:r>
      <w:r w:rsidRPr="002F0BB4">
        <w:rPr>
          <w:rStyle w:val="doceo-font-family-base"/>
          <w:color w:val="000000"/>
          <w:szCs w:val="24"/>
        </w:rPr>
        <w:tab/>
      </w:r>
      <w:r w:rsidR="00AE6319" w:rsidRPr="00AE6319">
        <w:rPr>
          <w:rStyle w:val="doceo-font-family-base"/>
          <w:color w:val="000000"/>
          <w:szCs w:val="24"/>
        </w:rPr>
        <w:t>Takes note of the citizenship package, particularly the EU Citizenship Report 2023, published by the Commission on 6 December 2023 to further advance EU citizenship and make it more tangible for EU citizens</w:t>
      </w:r>
      <w:r w:rsidR="00AE6319">
        <w:rPr>
          <w:rStyle w:val="doceo-font-family-base"/>
          <w:color w:val="000000"/>
          <w:szCs w:val="24"/>
        </w:rPr>
        <w:t>; c</w:t>
      </w:r>
      <w:r w:rsidRPr="002F0BB4">
        <w:rPr>
          <w:rStyle w:val="doceo-font-family-base"/>
          <w:color w:val="000000"/>
          <w:szCs w:val="24"/>
        </w:rPr>
        <w:t xml:space="preserve">alls on the Commission to take into account </w:t>
      </w:r>
      <w:r w:rsidR="00AE6319" w:rsidRPr="00AE6319">
        <w:t>the recommendations included in this</w:t>
      </w:r>
      <w:r w:rsidRPr="002F0BB4">
        <w:t xml:space="preserve"> </w:t>
      </w:r>
      <w:r w:rsidR="00AE6319">
        <w:t>r</w:t>
      </w:r>
      <w:r w:rsidRPr="002F0BB4">
        <w:t xml:space="preserve">eport  and to take the necessary steps to implement them following </w:t>
      </w:r>
      <w:r w:rsidRPr="002F0BB4">
        <w:rPr>
          <w:rStyle w:val="doceo-font-family-base"/>
          <w:color w:val="000000"/>
          <w:szCs w:val="24"/>
        </w:rPr>
        <w:t>the procedure under the Treaties;</w:t>
      </w:r>
      <w:proofErr w:type="gramEnd"/>
    </w:p>
    <w:p w:rsidR="00DB7FF1" w:rsidRPr="002F0BB4" w:rsidRDefault="00DB7FF1" w:rsidP="0092231B">
      <w:pPr>
        <w:pStyle w:val="NormalHanging12a"/>
        <w:spacing w:before="240" w:after="0"/>
      </w:pPr>
      <w:r w:rsidRPr="002F0BB4">
        <w:rPr>
          <w:rStyle w:val="doceo-font-family-base"/>
          <w:color w:val="000000"/>
          <w:szCs w:val="24"/>
        </w:rPr>
        <w:lastRenderedPageBreak/>
        <w:t>39.</w:t>
      </w:r>
      <w:r w:rsidRPr="002F0BB4">
        <w:rPr>
          <w:rStyle w:val="doceo-font-family-base"/>
          <w:color w:val="000000"/>
          <w:szCs w:val="24"/>
        </w:rPr>
        <w:tab/>
        <w:t>R</w:t>
      </w:r>
      <w:r w:rsidRPr="002F0BB4">
        <w:t xml:space="preserve">eiterates its call for the convening of a Convention for the revision of the Treaties, as provided for in Article 48 TEU; strongly believes that the Convention should carefully assess how EU citizenship </w:t>
      </w:r>
      <w:proofErr w:type="gramStart"/>
      <w:r w:rsidRPr="002F0BB4">
        <w:t>could be further strengthened</w:t>
      </w:r>
      <w:proofErr w:type="gramEnd"/>
      <w:r w:rsidRPr="002F0BB4">
        <w:t>;</w:t>
      </w:r>
    </w:p>
    <w:p w:rsidR="00DB7FF1" w:rsidRPr="002F0BB4" w:rsidRDefault="00DB7FF1" w:rsidP="0092231B">
      <w:pPr>
        <w:pStyle w:val="NormalHanging12a"/>
        <w:spacing w:before="240" w:after="0"/>
      </w:pPr>
    </w:p>
    <w:p w:rsidR="00DB7FF1" w:rsidRPr="002F0BB4" w:rsidRDefault="00DB7FF1" w:rsidP="0092231B">
      <w:pPr>
        <w:pStyle w:val="NormalHanging12a"/>
        <w:jc w:val="center"/>
      </w:pPr>
      <w:r w:rsidRPr="002F0BB4">
        <w:t>°</w:t>
      </w:r>
    </w:p>
    <w:p w:rsidR="00DB7FF1" w:rsidRPr="002F0BB4" w:rsidRDefault="00DB7FF1" w:rsidP="0092231B">
      <w:pPr>
        <w:pStyle w:val="NormalHanging12a"/>
        <w:jc w:val="center"/>
      </w:pPr>
      <w:r w:rsidRPr="002F0BB4">
        <w:t>°</w:t>
      </w:r>
      <w:r w:rsidRPr="002F0BB4">
        <w:tab/>
        <w:t>°</w:t>
      </w:r>
    </w:p>
    <w:p w:rsidR="00DB7FF1" w:rsidRPr="002F0BB4" w:rsidRDefault="00DB7FF1" w:rsidP="0092231B">
      <w:pPr>
        <w:pStyle w:val="NormalHanging12a"/>
        <w:rPr>
          <w:rFonts w:eastAsiaTheme="minorHAnsi"/>
          <w:lang w:eastAsia="en-US"/>
        </w:rPr>
      </w:pPr>
      <w:r w:rsidRPr="002F0BB4">
        <w:rPr>
          <w:rFonts w:eastAsiaTheme="minorHAnsi"/>
          <w:lang w:eastAsia="en-US"/>
        </w:rPr>
        <w:t>40.</w:t>
      </w:r>
      <w:r w:rsidRPr="002F0BB4">
        <w:rPr>
          <w:rFonts w:eastAsiaTheme="minorHAnsi"/>
          <w:lang w:eastAsia="en-US"/>
        </w:rPr>
        <w:tab/>
        <w:t>Instructs its President to forward this resolution to the Council and the Commission.</w:t>
      </w:r>
    </w:p>
    <w:sectPr w:rsidR="00DB7FF1" w:rsidRPr="002F0BB4" w:rsidSect="002F0BB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7A2" w:rsidRPr="002F0BB4" w:rsidRDefault="000D57A2">
      <w:r w:rsidRPr="002F0BB4">
        <w:separator/>
      </w:r>
    </w:p>
  </w:endnote>
  <w:endnote w:type="continuationSeparator" w:id="0">
    <w:p w:rsidR="000D57A2" w:rsidRPr="002F0BB4" w:rsidRDefault="000D57A2">
      <w:r w:rsidRPr="002F0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0BB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0BB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0BB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7A2" w:rsidRPr="002F0BB4" w:rsidRDefault="000D57A2">
      <w:r w:rsidRPr="002F0BB4">
        <w:separator/>
      </w:r>
    </w:p>
  </w:footnote>
  <w:footnote w:type="continuationSeparator" w:id="0">
    <w:p w:rsidR="000D57A2" w:rsidRPr="002F0BB4" w:rsidRDefault="000D57A2">
      <w:r w:rsidRPr="002F0BB4">
        <w:continuationSeparator/>
      </w:r>
    </w:p>
  </w:footnote>
  <w:footnote w:id="1">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158, 30.4.2004, </w:t>
      </w:r>
      <w:proofErr w:type="gramStart"/>
      <w:r w:rsidRPr="00A93518">
        <w:rPr>
          <w:sz w:val="24"/>
          <w:lang w:val="pl-PL"/>
        </w:rPr>
        <w:t>p</w:t>
      </w:r>
      <w:proofErr w:type="gramEnd"/>
      <w:r w:rsidRPr="00A93518">
        <w:rPr>
          <w:sz w:val="24"/>
          <w:lang w:val="pl-PL"/>
        </w:rPr>
        <w:t>. 77.</w:t>
      </w:r>
    </w:p>
  </w:footnote>
  <w:footnote w:id="2">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156, 5.5.2021, </w:t>
      </w:r>
      <w:proofErr w:type="gramStart"/>
      <w:r w:rsidRPr="00A93518">
        <w:rPr>
          <w:sz w:val="24"/>
          <w:lang w:val="pl-PL"/>
        </w:rPr>
        <w:t>p</w:t>
      </w:r>
      <w:proofErr w:type="gramEnd"/>
      <w:r w:rsidRPr="00A93518">
        <w:rPr>
          <w:sz w:val="24"/>
          <w:lang w:val="pl-PL"/>
        </w:rPr>
        <w:t>. 1</w:t>
      </w:r>
      <w:r w:rsidRPr="00A93518">
        <w:rPr>
          <w:rStyle w:val="Emphasis"/>
          <w:color w:val="333333"/>
          <w:sz w:val="24"/>
          <w:szCs w:val="21"/>
          <w:shd w:val="clear" w:color="auto" w:fill="FFFFFF"/>
          <w:lang w:val="pl-PL"/>
        </w:rPr>
        <w:t>.</w:t>
      </w:r>
    </w:p>
  </w:footnote>
  <w:footnote w:id="3">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141, 27.5.2011, </w:t>
      </w:r>
      <w:proofErr w:type="gramStart"/>
      <w:r w:rsidRPr="00A93518">
        <w:rPr>
          <w:sz w:val="24"/>
          <w:lang w:val="pl-PL"/>
        </w:rPr>
        <w:t>p</w:t>
      </w:r>
      <w:proofErr w:type="gramEnd"/>
      <w:r w:rsidRPr="00A93518">
        <w:rPr>
          <w:sz w:val="24"/>
          <w:lang w:val="pl-PL"/>
        </w:rPr>
        <w:t>. 1.</w:t>
      </w:r>
    </w:p>
  </w:footnote>
  <w:footnote w:id="4">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186, 11.7.2019, </w:t>
      </w:r>
      <w:proofErr w:type="gramStart"/>
      <w:r w:rsidRPr="00A93518">
        <w:rPr>
          <w:sz w:val="24"/>
          <w:lang w:val="pl-PL"/>
        </w:rPr>
        <w:t>p</w:t>
      </w:r>
      <w:proofErr w:type="gramEnd"/>
      <w:r w:rsidRPr="00A93518">
        <w:rPr>
          <w:sz w:val="24"/>
          <w:lang w:val="pl-PL"/>
        </w:rPr>
        <w:t>. 21.</w:t>
      </w:r>
    </w:p>
  </w:footnote>
  <w:footnote w:id="5">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173, 9.7.2018, </w:t>
      </w:r>
      <w:proofErr w:type="gramStart"/>
      <w:r w:rsidRPr="00A93518">
        <w:rPr>
          <w:sz w:val="24"/>
          <w:lang w:val="pl-PL"/>
        </w:rPr>
        <w:t>p</w:t>
      </w:r>
      <w:proofErr w:type="gramEnd"/>
      <w:r w:rsidRPr="00A93518">
        <w:rPr>
          <w:sz w:val="24"/>
          <w:lang w:val="pl-PL"/>
        </w:rPr>
        <w:t>. 16.</w:t>
      </w:r>
    </w:p>
  </w:footnote>
  <w:footnote w:id="6">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107, 22.4.2016, </w:t>
      </w:r>
      <w:proofErr w:type="gramStart"/>
      <w:r w:rsidRPr="00A93518">
        <w:rPr>
          <w:sz w:val="24"/>
          <w:lang w:val="pl-PL"/>
        </w:rPr>
        <w:t>p</w:t>
      </w:r>
      <w:proofErr w:type="gramEnd"/>
      <w:r w:rsidRPr="00A93518">
        <w:rPr>
          <w:sz w:val="24"/>
          <w:lang w:val="pl-PL"/>
        </w:rPr>
        <w:t>. 1.</w:t>
      </w:r>
    </w:p>
  </w:footnote>
  <w:footnote w:id="7">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354, 28.12.2013, </w:t>
      </w:r>
      <w:proofErr w:type="gramStart"/>
      <w:r w:rsidRPr="00A93518">
        <w:rPr>
          <w:sz w:val="24"/>
          <w:lang w:val="pl-PL"/>
        </w:rPr>
        <w:t>p</w:t>
      </w:r>
      <w:proofErr w:type="gramEnd"/>
      <w:r w:rsidRPr="00A93518">
        <w:rPr>
          <w:sz w:val="24"/>
          <w:lang w:val="pl-PL"/>
        </w:rPr>
        <w:t>. 132.</w:t>
      </w:r>
    </w:p>
  </w:footnote>
  <w:footnote w:id="8">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106, 24.4.2015, </w:t>
      </w:r>
      <w:proofErr w:type="gramStart"/>
      <w:r w:rsidRPr="00A93518">
        <w:rPr>
          <w:sz w:val="24"/>
          <w:lang w:val="pl-PL"/>
        </w:rPr>
        <w:t>p</w:t>
      </w:r>
      <w:proofErr w:type="gramEnd"/>
      <w:r w:rsidRPr="00A93518">
        <w:rPr>
          <w:sz w:val="24"/>
          <w:lang w:val="pl-PL"/>
        </w:rPr>
        <w:t>. 1.</w:t>
      </w:r>
    </w:p>
  </w:footnote>
  <w:footnote w:id="9">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163, 20.6.2019, </w:t>
      </w:r>
      <w:proofErr w:type="gramStart"/>
      <w:r w:rsidRPr="00A93518">
        <w:rPr>
          <w:sz w:val="24"/>
          <w:lang w:val="pl-PL"/>
        </w:rPr>
        <w:t>p</w:t>
      </w:r>
      <w:proofErr w:type="gramEnd"/>
      <w:r w:rsidRPr="00A93518">
        <w:rPr>
          <w:sz w:val="24"/>
          <w:lang w:val="pl-PL"/>
        </w:rPr>
        <w:t>. 1.</w:t>
      </w:r>
    </w:p>
  </w:footnote>
  <w:footnote w:id="10">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130, 17.5.2019, </w:t>
      </w:r>
      <w:proofErr w:type="gramStart"/>
      <w:r w:rsidRPr="00A93518">
        <w:rPr>
          <w:sz w:val="24"/>
          <w:lang w:val="pl-PL"/>
        </w:rPr>
        <w:t>p</w:t>
      </w:r>
      <w:proofErr w:type="gramEnd"/>
      <w:r w:rsidRPr="00A93518">
        <w:rPr>
          <w:sz w:val="24"/>
          <w:lang w:val="pl-PL"/>
        </w:rPr>
        <w:t>. 55.</w:t>
      </w:r>
    </w:p>
  </w:footnote>
  <w:footnote w:id="11">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L 231, 17.7.2020, </w:t>
      </w:r>
      <w:proofErr w:type="gramStart"/>
      <w:r w:rsidRPr="00A93518">
        <w:rPr>
          <w:sz w:val="24"/>
          <w:lang w:val="pl-PL"/>
        </w:rPr>
        <w:t>p</w:t>
      </w:r>
      <w:proofErr w:type="gramEnd"/>
      <w:r w:rsidRPr="00A93518">
        <w:rPr>
          <w:sz w:val="24"/>
          <w:lang w:val="pl-PL"/>
        </w:rPr>
        <w:t>. 7.</w:t>
      </w:r>
    </w:p>
  </w:footnote>
  <w:footnote w:id="12">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C 283, 11.8.2023, </w:t>
      </w:r>
      <w:proofErr w:type="gramStart"/>
      <w:r w:rsidRPr="00A93518">
        <w:rPr>
          <w:sz w:val="24"/>
          <w:lang w:val="pl-PL"/>
        </w:rPr>
        <w:t>p</w:t>
      </w:r>
      <w:proofErr w:type="gramEnd"/>
      <w:r w:rsidRPr="00A93518">
        <w:rPr>
          <w:sz w:val="24"/>
          <w:lang w:val="pl-PL"/>
        </w:rPr>
        <w:t>. 76.</w:t>
      </w:r>
    </w:p>
  </w:footnote>
  <w:footnote w:id="13">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C 283, 11.8.2023, </w:t>
      </w:r>
      <w:proofErr w:type="gramStart"/>
      <w:r w:rsidRPr="00A93518">
        <w:rPr>
          <w:sz w:val="24"/>
          <w:lang w:val="pl-PL"/>
        </w:rPr>
        <w:t>p</w:t>
      </w:r>
      <w:proofErr w:type="gramEnd"/>
      <w:r w:rsidRPr="00A93518">
        <w:rPr>
          <w:sz w:val="24"/>
          <w:lang w:val="pl-PL"/>
        </w:rPr>
        <w:t>. 100.</w:t>
      </w:r>
    </w:p>
  </w:footnote>
  <w:footnote w:id="14">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C 449, 23.12.2020, </w:t>
      </w:r>
      <w:proofErr w:type="gramStart"/>
      <w:r w:rsidRPr="00A93518">
        <w:rPr>
          <w:sz w:val="24"/>
          <w:lang w:val="pl-PL"/>
        </w:rPr>
        <w:t>p</w:t>
      </w:r>
      <w:proofErr w:type="gramEnd"/>
      <w:r w:rsidRPr="00A93518">
        <w:rPr>
          <w:sz w:val="24"/>
          <w:lang w:val="pl-PL"/>
        </w:rPr>
        <w:t>. 6.</w:t>
      </w:r>
    </w:p>
  </w:footnote>
  <w:footnote w:id="15">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C 347, 9.9.2022, </w:t>
      </w:r>
      <w:proofErr w:type="gramStart"/>
      <w:r w:rsidRPr="00A93518">
        <w:rPr>
          <w:sz w:val="24"/>
          <w:lang w:val="pl-PL"/>
        </w:rPr>
        <w:t>p</w:t>
      </w:r>
      <w:proofErr w:type="gramEnd"/>
      <w:r w:rsidRPr="00A93518">
        <w:rPr>
          <w:sz w:val="24"/>
          <w:lang w:val="pl-PL"/>
        </w:rPr>
        <w:t>. 97.</w:t>
      </w:r>
    </w:p>
  </w:footnote>
  <w:footnote w:id="16">
    <w:p w:rsidR="00DB7FF1" w:rsidRPr="00535428" w:rsidRDefault="00DB7FF1" w:rsidP="0092231B">
      <w:pPr>
        <w:pStyle w:val="FootnoteText"/>
        <w:keepLines w:val="0"/>
        <w:widowControl w:val="0"/>
        <w:ind w:left="567" w:hanging="567"/>
        <w:rPr>
          <w:sz w:val="24"/>
          <w:lang w:val="en-GB"/>
        </w:rPr>
      </w:pPr>
      <w:r w:rsidRPr="002F0BB4">
        <w:rPr>
          <w:rStyle w:val="FootnoteReference"/>
          <w:sz w:val="24"/>
          <w:lang w:val="en-GB"/>
        </w:rPr>
        <w:footnoteRef/>
      </w:r>
      <w:r w:rsidR="002F0BB4" w:rsidRPr="00535428">
        <w:rPr>
          <w:sz w:val="24"/>
          <w:lang w:val="en-GB"/>
        </w:rPr>
        <w:t xml:space="preserve"> </w:t>
      </w:r>
      <w:r w:rsidR="002F0BB4" w:rsidRPr="00535428">
        <w:rPr>
          <w:sz w:val="24"/>
          <w:lang w:val="en-GB"/>
        </w:rPr>
        <w:tab/>
      </w:r>
      <w:r w:rsidRPr="00535428">
        <w:rPr>
          <w:sz w:val="24"/>
          <w:lang w:val="en-GB"/>
        </w:rPr>
        <w:t>OJ C 347, 9.9.2022, p. 202.</w:t>
      </w:r>
    </w:p>
  </w:footnote>
  <w:footnote w:id="17">
    <w:p w:rsidR="00DB7FF1" w:rsidRPr="00535428" w:rsidRDefault="00DB7FF1" w:rsidP="0092231B">
      <w:pPr>
        <w:pStyle w:val="FootnoteText"/>
        <w:keepLines w:val="0"/>
        <w:widowControl w:val="0"/>
        <w:ind w:left="567" w:hanging="567"/>
        <w:rPr>
          <w:sz w:val="24"/>
          <w:lang w:val="en-GB"/>
        </w:rPr>
      </w:pPr>
      <w:r w:rsidRPr="002F0BB4">
        <w:rPr>
          <w:rStyle w:val="FootnoteReference"/>
          <w:sz w:val="24"/>
          <w:lang w:val="en-GB"/>
        </w:rPr>
        <w:footnoteRef/>
      </w:r>
      <w:r w:rsidR="002F0BB4" w:rsidRPr="00535428">
        <w:rPr>
          <w:sz w:val="24"/>
          <w:lang w:val="en-GB"/>
        </w:rPr>
        <w:t xml:space="preserve"> </w:t>
      </w:r>
      <w:r w:rsidR="002F0BB4" w:rsidRPr="00535428">
        <w:rPr>
          <w:sz w:val="24"/>
          <w:lang w:val="en-GB"/>
        </w:rPr>
        <w:tab/>
      </w:r>
      <w:r w:rsidRPr="00535428">
        <w:rPr>
          <w:sz w:val="24"/>
          <w:lang w:val="en-GB"/>
        </w:rPr>
        <w:t>Texts adopted, P9_TA(2023)0230.</w:t>
      </w:r>
    </w:p>
  </w:footnote>
  <w:footnote w:id="18">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proofErr w:type="spellStart"/>
      <w:r w:rsidRPr="00A93518">
        <w:rPr>
          <w:sz w:val="24"/>
          <w:lang w:val="pl-PL"/>
        </w:rPr>
        <w:t>Texts</w:t>
      </w:r>
      <w:proofErr w:type="spellEnd"/>
      <w:r w:rsidRPr="00A93518">
        <w:rPr>
          <w:sz w:val="24"/>
          <w:lang w:val="pl-PL"/>
        </w:rPr>
        <w:t xml:space="preserve"> </w:t>
      </w:r>
      <w:proofErr w:type="spellStart"/>
      <w:r w:rsidRPr="00A93518">
        <w:rPr>
          <w:sz w:val="24"/>
          <w:lang w:val="pl-PL"/>
        </w:rPr>
        <w:t>adopted</w:t>
      </w:r>
      <w:proofErr w:type="spellEnd"/>
      <w:r w:rsidRPr="00A93518">
        <w:rPr>
          <w:sz w:val="24"/>
          <w:lang w:val="pl-PL"/>
        </w:rPr>
        <w:t>, P9_TA(2023)0330.</w:t>
      </w:r>
    </w:p>
  </w:footnote>
  <w:footnote w:id="19">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C 99, 1.3.2022, </w:t>
      </w:r>
      <w:proofErr w:type="gramStart"/>
      <w:r w:rsidRPr="00A93518">
        <w:rPr>
          <w:sz w:val="24"/>
          <w:lang w:val="pl-PL"/>
        </w:rPr>
        <w:t>p</w:t>
      </w:r>
      <w:proofErr w:type="gramEnd"/>
      <w:r w:rsidRPr="00A93518">
        <w:rPr>
          <w:sz w:val="24"/>
          <w:lang w:val="pl-PL"/>
        </w:rPr>
        <w:t>. 96.</w:t>
      </w:r>
    </w:p>
  </w:footnote>
  <w:footnote w:id="20">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C 347, 9.9.2022, </w:t>
      </w:r>
      <w:proofErr w:type="gramStart"/>
      <w:r w:rsidRPr="00A93518">
        <w:rPr>
          <w:sz w:val="24"/>
          <w:lang w:val="pl-PL"/>
        </w:rPr>
        <w:t>p</w:t>
      </w:r>
      <w:proofErr w:type="gramEnd"/>
      <w:r w:rsidRPr="00A93518">
        <w:rPr>
          <w:sz w:val="24"/>
          <w:lang w:val="pl-PL"/>
        </w:rPr>
        <w:t>. 110.</w:t>
      </w:r>
    </w:p>
  </w:footnote>
  <w:footnote w:id="21">
    <w:p w:rsidR="00DB7FF1" w:rsidRPr="00A93518" w:rsidRDefault="00DB7FF1" w:rsidP="0092231B">
      <w:pPr>
        <w:pStyle w:val="FootnoteText"/>
        <w:keepLines w:val="0"/>
        <w:widowControl w:val="0"/>
        <w:ind w:left="567" w:hanging="567"/>
        <w:rPr>
          <w:sz w:val="24"/>
          <w:lang w:val="pl-PL"/>
        </w:rPr>
      </w:pPr>
      <w:r w:rsidRPr="002F0BB4">
        <w:rPr>
          <w:rStyle w:val="FootnoteReference"/>
          <w:sz w:val="24"/>
          <w:lang w:val="en-GB"/>
        </w:rPr>
        <w:footnoteRef/>
      </w:r>
      <w:r w:rsidR="002F0BB4" w:rsidRPr="00A93518">
        <w:rPr>
          <w:sz w:val="24"/>
          <w:lang w:val="pl-PL"/>
        </w:rPr>
        <w:t xml:space="preserve"> </w:t>
      </w:r>
      <w:r w:rsidR="002F0BB4" w:rsidRPr="00A93518">
        <w:rPr>
          <w:sz w:val="24"/>
          <w:lang w:val="pl-PL"/>
        </w:rPr>
        <w:tab/>
      </w:r>
      <w:r w:rsidRPr="00A93518">
        <w:rPr>
          <w:sz w:val="24"/>
          <w:lang w:val="pl-PL"/>
        </w:rPr>
        <w:t xml:space="preserve">OJ C 263, 25.7.2018, </w:t>
      </w:r>
      <w:proofErr w:type="gramStart"/>
      <w:r w:rsidRPr="00A93518">
        <w:rPr>
          <w:sz w:val="24"/>
          <w:lang w:val="pl-PL"/>
        </w:rPr>
        <w:t>p</w:t>
      </w:r>
      <w:proofErr w:type="gramEnd"/>
      <w:r w:rsidRPr="00A93518">
        <w:rPr>
          <w:sz w:val="24"/>
          <w:lang w:val="pl-PL"/>
        </w:rPr>
        <w:t>. 98.</w:t>
      </w:r>
    </w:p>
  </w:footnote>
  <w:footnote w:id="22">
    <w:p w:rsidR="00DB7FF1" w:rsidRPr="002F0BB4" w:rsidRDefault="00DB7FF1" w:rsidP="0092231B">
      <w:pPr>
        <w:pStyle w:val="FootnoteText"/>
        <w:keepLines w:val="0"/>
        <w:widowControl w:val="0"/>
        <w:ind w:left="567" w:hanging="567"/>
        <w:rPr>
          <w:sz w:val="24"/>
          <w:lang w:val="en-GB"/>
        </w:rPr>
      </w:pPr>
      <w:r w:rsidRPr="002F0BB4">
        <w:rPr>
          <w:rStyle w:val="FootnoteReference"/>
          <w:sz w:val="24"/>
          <w:lang w:val="en-GB"/>
        </w:rPr>
        <w:footnoteRef/>
      </w:r>
      <w:r w:rsidR="002F0BB4" w:rsidRPr="002F0BB4">
        <w:rPr>
          <w:sz w:val="24"/>
          <w:szCs w:val="18"/>
          <w:lang w:val="en-GB"/>
        </w:rPr>
        <w:t xml:space="preserve"> </w:t>
      </w:r>
      <w:r w:rsidR="002F0BB4" w:rsidRPr="002F0BB4">
        <w:rPr>
          <w:sz w:val="24"/>
          <w:szCs w:val="18"/>
          <w:lang w:val="en-GB"/>
        </w:rPr>
        <w:tab/>
      </w:r>
      <w:r w:rsidRPr="002F0BB4">
        <w:rPr>
          <w:sz w:val="24"/>
          <w:szCs w:val="18"/>
          <w:lang w:val="en-GB"/>
        </w:rPr>
        <w:t>Eurostat,</w:t>
      </w:r>
      <w:r w:rsidRPr="002F0BB4">
        <w:rPr>
          <w:sz w:val="24"/>
          <w:lang w:val="en-GB"/>
        </w:rPr>
        <w:t xml:space="preserve"> ‘</w:t>
      </w:r>
      <w:r w:rsidR="00EA7420">
        <w:fldChar w:fldCharType="begin"/>
      </w:r>
      <w:r w:rsidR="00EA7420" w:rsidRPr="00EA7420">
        <w:rPr>
          <w:lang w:val="en-GB"/>
        </w:rPr>
        <w:instrText xml:space="preserve"> HYPERLINK "https://ec.europa.eu/eurostat/statistics-explained/index.php?title=Archive:EU_citizens_living_in_another_Member_State_-_statistical_overview" </w:instrText>
      </w:r>
      <w:r w:rsidR="00EA7420">
        <w:fldChar w:fldCharType="separate"/>
      </w:r>
      <w:r w:rsidRPr="002F0BB4">
        <w:rPr>
          <w:rStyle w:val="Hyperlink"/>
          <w:sz w:val="24"/>
          <w:lang w:val="en-GB"/>
        </w:rPr>
        <w:t>Archive:</w:t>
      </w:r>
      <w:r w:rsidRPr="002F0BB4">
        <w:rPr>
          <w:rStyle w:val="Hyperlink"/>
          <w:sz w:val="24"/>
          <w:szCs w:val="18"/>
          <w:lang w:val="en-GB"/>
        </w:rPr>
        <w:t xml:space="preserve"> </w:t>
      </w:r>
      <w:r w:rsidRPr="002F0BB4">
        <w:rPr>
          <w:rStyle w:val="Hyperlink"/>
          <w:sz w:val="24"/>
          <w:lang w:val="en-GB"/>
        </w:rPr>
        <w:t>EU citizens living in ano</w:t>
      </w:r>
      <w:r w:rsidRPr="002F0BB4">
        <w:rPr>
          <w:rStyle w:val="Hyperlink"/>
          <w:sz w:val="24"/>
          <w:szCs w:val="18"/>
          <w:lang w:val="en-GB"/>
        </w:rPr>
        <w:t xml:space="preserve">ther Member State - statistical </w:t>
      </w:r>
      <w:r w:rsidRPr="002F0BB4">
        <w:rPr>
          <w:rStyle w:val="Hyperlink"/>
          <w:sz w:val="24"/>
          <w:lang w:val="en-GB"/>
        </w:rPr>
        <w:t>overview</w:t>
      </w:r>
      <w:r w:rsidR="00EA7420">
        <w:rPr>
          <w:rStyle w:val="Hyperlink"/>
          <w:sz w:val="24"/>
          <w:lang w:val="en-GB"/>
        </w:rPr>
        <w:fldChar w:fldCharType="end"/>
      </w:r>
      <w:r w:rsidRPr="002F0BB4">
        <w:rPr>
          <w:sz w:val="24"/>
          <w:szCs w:val="18"/>
          <w:lang w:val="en-GB"/>
        </w:rPr>
        <w:t>’.</w:t>
      </w:r>
    </w:p>
  </w:footnote>
  <w:footnote w:id="23">
    <w:p w:rsidR="00DB7FF1" w:rsidRPr="002F0BB4" w:rsidRDefault="00DB7FF1" w:rsidP="0092231B">
      <w:pPr>
        <w:pStyle w:val="FootnoteText"/>
        <w:keepLines w:val="0"/>
        <w:widowControl w:val="0"/>
        <w:ind w:left="567" w:hanging="567"/>
        <w:rPr>
          <w:sz w:val="24"/>
          <w:lang w:val="en-GB"/>
        </w:rPr>
      </w:pPr>
      <w:r w:rsidRPr="002F0BB4">
        <w:rPr>
          <w:rStyle w:val="FootnoteReference"/>
          <w:sz w:val="24"/>
          <w:lang w:val="en-GB"/>
        </w:rPr>
        <w:footnoteRef/>
      </w:r>
      <w:r w:rsidR="002F0BB4" w:rsidRPr="002F0BB4">
        <w:rPr>
          <w:sz w:val="24"/>
          <w:lang w:val="en-GB"/>
        </w:rPr>
        <w:t xml:space="preserve"> </w:t>
      </w:r>
      <w:r w:rsidR="002F0BB4" w:rsidRPr="002F0BB4">
        <w:rPr>
          <w:sz w:val="24"/>
          <w:lang w:val="en-GB"/>
        </w:rPr>
        <w:tab/>
      </w:r>
      <w:r w:rsidRPr="002F0BB4">
        <w:rPr>
          <w:sz w:val="24"/>
          <w:lang w:val="en-GB"/>
        </w:rPr>
        <w:t>European Commission, ‘EU Citizenship 2020 – Final Report: Results of the Public Consultation on EU Citizenship Rights 2020’, December 2020.</w:t>
      </w:r>
    </w:p>
  </w:footnote>
  <w:footnote w:id="24">
    <w:p w:rsidR="00DB7FF1" w:rsidRPr="002F0BB4" w:rsidRDefault="00DB7FF1" w:rsidP="0092231B">
      <w:pPr>
        <w:pStyle w:val="FootnoteText"/>
        <w:keepLines w:val="0"/>
        <w:widowControl w:val="0"/>
        <w:ind w:left="567" w:hanging="567"/>
        <w:rPr>
          <w:sz w:val="24"/>
          <w:lang w:val="en-GB"/>
        </w:rPr>
      </w:pPr>
      <w:r w:rsidRPr="002F0BB4">
        <w:rPr>
          <w:rStyle w:val="FootnoteReference"/>
          <w:sz w:val="24"/>
          <w:lang w:val="en-GB"/>
        </w:rPr>
        <w:footnoteRef/>
      </w:r>
      <w:r w:rsidR="002F0BB4" w:rsidRPr="002F0BB4">
        <w:rPr>
          <w:sz w:val="24"/>
          <w:lang w:val="en-GB"/>
        </w:rPr>
        <w:t xml:space="preserve"> </w:t>
      </w:r>
      <w:r w:rsidR="002F0BB4" w:rsidRPr="002F0BB4">
        <w:rPr>
          <w:sz w:val="24"/>
          <w:lang w:val="en-GB"/>
        </w:rPr>
        <w:tab/>
      </w:r>
      <w:r w:rsidRPr="002F0BB4">
        <w:rPr>
          <w:sz w:val="24"/>
          <w:lang w:val="en-GB"/>
        </w:rPr>
        <w:t>Data: EU Statistics on Income and Living Conditions (EU-SILC) and EU Labour Force Survey (EU-LFS)</w:t>
      </w:r>
      <w:proofErr w:type="gramStart"/>
      <w:r w:rsidRPr="002F0BB4">
        <w:rPr>
          <w:sz w:val="24"/>
          <w:lang w:val="en-GB"/>
        </w:rPr>
        <w:t>;</w:t>
      </w:r>
      <w:proofErr w:type="gramEnd"/>
      <w:r w:rsidRPr="002F0BB4">
        <w:rPr>
          <w:sz w:val="24"/>
          <w:lang w:val="en-GB"/>
        </w:rPr>
        <w:t xml:space="preserve"> </w:t>
      </w:r>
      <w:proofErr w:type="spellStart"/>
      <w:r w:rsidRPr="002F0BB4">
        <w:rPr>
          <w:sz w:val="24"/>
          <w:lang w:val="en-GB"/>
        </w:rPr>
        <w:t>Grammenos</w:t>
      </w:r>
      <w:proofErr w:type="spellEnd"/>
      <w:r w:rsidRPr="002F0BB4">
        <w:rPr>
          <w:sz w:val="24"/>
          <w:lang w:val="en-GB"/>
        </w:rPr>
        <w:t>, S. and Priestley, M., ‘Europe 2020 data and people with disabilities – tables’. Eurostat, 2020.</w:t>
      </w:r>
    </w:p>
  </w:footnote>
  <w:footnote w:id="25">
    <w:p w:rsidR="00DB7FF1" w:rsidRPr="002F0BB4" w:rsidRDefault="00DB7FF1" w:rsidP="0092231B">
      <w:pPr>
        <w:pStyle w:val="FootnoteText"/>
        <w:keepLines w:val="0"/>
        <w:widowControl w:val="0"/>
        <w:ind w:left="567" w:hanging="567"/>
        <w:rPr>
          <w:sz w:val="24"/>
          <w:lang w:val="en-GB"/>
        </w:rPr>
      </w:pPr>
      <w:r w:rsidRPr="002F0BB4">
        <w:rPr>
          <w:rStyle w:val="FootnoteReference"/>
          <w:sz w:val="24"/>
          <w:lang w:val="en-GB"/>
        </w:rPr>
        <w:footnoteRef/>
      </w:r>
      <w:r w:rsidR="002F0BB4" w:rsidRPr="002F0BB4">
        <w:rPr>
          <w:sz w:val="24"/>
          <w:lang w:val="en-GB"/>
        </w:rPr>
        <w:t xml:space="preserve"> </w:t>
      </w:r>
      <w:r w:rsidR="002F0BB4" w:rsidRPr="002F0BB4">
        <w:rPr>
          <w:sz w:val="24"/>
          <w:lang w:val="en-GB"/>
        </w:rPr>
        <w:tab/>
      </w:r>
      <w:r w:rsidRPr="002F0BB4">
        <w:rPr>
          <w:sz w:val="24"/>
          <w:lang w:val="en-GB"/>
        </w:rPr>
        <w:t>Commission communication of 17 June 2022 entitled ‘Conference on the Future of Europe – Putting Vision into Concrete Action’ (</w:t>
      </w:r>
      <w:proofErr w:type="gramStart"/>
      <w:r w:rsidRPr="002F0BB4">
        <w:rPr>
          <w:sz w:val="24"/>
          <w:lang w:val="en-GB"/>
        </w:rPr>
        <w:t>COM(</w:t>
      </w:r>
      <w:proofErr w:type="gramEnd"/>
      <w:r w:rsidRPr="002F0BB4">
        <w:rPr>
          <w:sz w:val="24"/>
          <w:lang w:val="en-GB"/>
        </w:rPr>
        <w:t>2022)0404).</w:t>
      </w:r>
    </w:p>
  </w:footnote>
  <w:footnote w:id="26">
    <w:p w:rsidR="00DB7FF1" w:rsidRPr="002F0BB4" w:rsidRDefault="00DB7FF1" w:rsidP="0092231B">
      <w:pPr>
        <w:pStyle w:val="FootnoteText"/>
        <w:keepLines w:val="0"/>
        <w:widowControl w:val="0"/>
        <w:ind w:left="567" w:hanging="567"/>
        <w:rPr>
          <w:sz w:val="24"/>
          <w:lang w:val="en-GB" w:eastAsia="en-GB"/>
        </w:rPr>
      </w:pPr>
      <w:r w:rsidRPr="002F0BB4">
        <w:rPr>
          <w:rStyle w:val="FootnoteReference"/>
          <w:sz w:val="24"/>
          <w:lang w:val="en-GB"/>
        </w:rPr>
        <w:footnoteRef/>
      </w:r>
      <w:r w:rsidR="002F0BB4" w:rsidRPr="002F0BB4">
        <w:rPr>
          <w:sz w:val="24"/>
          <w:lang w:val="en-GB"/>
        </w:rPr>
        <w:t xml:space="preserve"> </w:t>
      </w:r>
      <w:r w:rsidR="002F0BB4" w:rsidRPr="002F0BB4">
        <w:rPr>
          <w:sz w:val="24"/>
          <w:lang w:val="en-GB"/>
        </w:rPr>
        <w:tab/>
      </w:r>
      <w:r w:rsidRPr="002F0BB4">
        <w:rPr>
          <w:sz w:val="24"/>
          <w:lang w:val="en-GB"/>
        </w:rPr>
        <w:t>Regulation (EC) No 1049/2001 of the European Parliament and of the Council of 30 May 2001 regarding public access to European Parliament, Council and Commission documents, OJ L 145, 31.5.2001, p. 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0BB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0BB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F0BB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36/2023"/>
    <w:docVar w:name="dvlangue" w:val="EN"/>
    <w:docVar w:name="dvnumam" w:val="0"/>
    <w:docVar w:name="dvpe" w:val="754.647"/>
    <w:docVar w:name="dvrapporteur" w:val="Rapporteur: "/>
    <w:docVar w:name="dvtitre" w:val="European Parliament resolution of xx Xxxx 2024 on the implementation of Treaty provisions on EU citizenship(2023/2085(INI))"/>
  </w:docVars>
  <w:rsids>
    <w:rsidRoot w:val="000D57A2"/>
    <w:rsid w:val="00002272"/>
    <w:rsid w:val="00064002"/>
    <w:rsid w:val="000677B9"/>
    <w:rsid w:val="000831BA"/>
    <w:rsid w:val="000A42CC"/>
    <w:rsid w:val="000D57A2"/>
    <w:rsid w:val="000E7DD9"/>
    <w:rsid w:val="0010095E"/>
    <w:rsid w:val="00125B37"/>
    <w:rsid w:val="00187494"/>
    <w:rsid w:val="001F32AE"/>
    <w:rsid w:val="002767FF"/>
    <w:rsid w:val="002B18FE"/>
    <w:rsid w:val="002B5493"/>
    <w:rsid w:val="002F0BB4"/>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5428"/>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231B"/>
    <w:rsid w:val="00930C23"/>
    <w:rsid w:val="0093193B"/>
    <w:rsid w:val="009509D8"/>
    <w:rsid w:val="00950B64"/>
    <w:rsid w:val="00981893"/>
    <w:rsid w:val="00A1687D"/>
    <w:rsid w:val="00A43E52"/>
    <w:rsid w:val="00A4678D"/>
    <w:rsid w:val="00A778C7"/>
    <w:rsid w:val="00A93518"/>
    <w:rsid w:val="00AB441E"/>
    <w:rsid w:val="00AB6293"/>
    <w:rsid w:val="00AE0928"/>
    <w:rsid w:val="00AE6319"/>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7FF1"/>
    <w:rsid w:val="00E365E1"/>
    <w:rsid w:val="00E820A4"/>
    <w:rsid w:val="00EA7420"/>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1F6AD2-6083-427F-ABA4-CE295A6A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B7FF1"/>
    <w:pPr>
      <w:spacing w:after="240"/>
      <w:ind w:left="567" w:hanging="567"/>
    </w:pPr>
  </w:style>
  <w:style w:type="character" w:styleId="Hyperlink">
    <w:name w:val="Hyperlink"/>
    <w:basedOn w:val="DefaultParagraphFont"/>
    <w:uiPriority w:val="99"/>
    <w:unhideWhenUsed/>
    <w:rsid w:val="00DB7FF1"/>
    <w:rPr>
      <w:color w:val="0563C1" w:themeColor="hyperlink"/>
      <w:u w:val="single"/>
    </w:rPr>
  </w:style>
  <w:style w:type="paragraph" w:customStyle="1" w:styleId="Normal12">
    <w:name w:val="Normal12"/>
    <w:basedOn w:val="Normal"/>
    <w:rsid w:val="00DB7FF1"/>
    <w:pPr>
      <w:spacing w:after="240"/>
    </w:pPr>
  </w:style>
  <w:style w:type="character" w:customStyle="1" w:styleId="doceo-font-family-base">
    <w:name w:val="doceo-font-family-base"/>
    <w:basedOn w:val="DefaultParagraphFont"/>
    <w:rsid w:val="00DB7FF1"/>
  </w:style>
  <w:style w:type="character" w:customStyle="1" w:styleId="y2iqfc">
    <w:name w:val="y2iqfc"/>
    <w:basedOn w:val="DefaultParagraphFont"/>
    <w:rsid w:val="00DB7FF1"/>
  </w:style>
  <w:style w:type="character" w:customStyle="1" w:styleId="Bold">
    <w:name w:val="Bold"/>
    <w:uiPriority w:val="1"/>
    <w:rsid w:val="00DB7FF1"/>
    <w:rPr>
      <w:b/>
      <w:bCs w:val="0"/>
    </w:rPr>
  </w:style>
  <w:style w:type="character" w:styleId="Emphasis">
    <w:name w:val="Emphasis"/>
    <w:basedOn w:val="DefaultParagraphFont"/>
    <w:uiPriority w:val="20"/>
    <w:qFormat/>
    <w:rsid w:val="00DB7FF1"/>
    <w:rPr>
      <w:i/>
      <w:iCs/>
    </w:rPr>
  </w:style>
  <w:style w:type="paragraph" w:customStyle="1" w:styleId="AMNumberTabs">
    <w:name w:val="AMNumberTabs"/>
    <w:basedOn w:val="Normal"/>
    <w:rsid w:val="00DB7FF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NormalHanging12aChar">
    <w:name w:val="NormalHanging12a Char"/>
    <w:basedOn w:val="DefaultParagraphFont"/>
    <w:link w:val="NormalHanging12a"/>
    <w:locked/>
    <w:rsid w:val="00DB7FF1"/>
    <w:rPr>
      <w:sz w:val="24"/>
    </w:rPr>
  </w:style>
  <w:style w:type="paragraph" w:styleId="BalloonText">
    <w:name w:val="Balloon Text"/>
    <w:basedOn w:val="Normal"/>
    <w:link w:val="BalloonTextChar"/>
    <w:rsid w:val="0092231B"/>
    <w:rPr>
      <w:rFonts w:ascii="Segoe UI" w:hAnsi="Segoe UI" w:cs="Segoe UI"/>
      <w:sz w:val="18"/>
      <w:szCs w:val="18"/>
    </w:rPr>
  </w:style>
  <w:style w:type="character" w:customStyle="1" w:styleId="BalloonTextChar">
    <w:name w:val="Balloon Text Char"/>
    <w:basedOn w:val="DefaultParagraphFont"/>
    <w:link w:val="BalloonText"/>
    <w:rsid w:val="0092231B"/>
    <w:rPr>
      <w:rFonts w:ascii="Segoe UI" w:hAnsi="Segoe UI" w:cs="Segoe UI"/>
      <w:sz w:val="18"/>
      <w:szCs w:val="18"/>
    </w:rPr>
  </w:style>
  <w:style w:type="character" w:styleId="FollowedHyperlink">
    <w:name w:val="FollowedHyperlink"/>
    <w:basedOn w:val="DefaultParagraphFont"/>
    <w:rsid w:val="009223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5531-77FB-4CC1-8860-1BAA79D5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4228</Words>
  <Characters>23303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SEMEDO Teresa_RELEC</cp:lastModifiedBy>
  <cp:revision>3</cp:revision>
  <cp:lastPrinted>2004-11-19T15:42:00Z</cp:lastPrinted>
  <dcterms:created xsi:type="dcterms:W3CDTF">2024-01-17T14:14:00Z</dcterms:created>
  <dcterms:modified xsi:type="dcterms:W3CDTF">2024-07-12T15:02:00Z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A9-0436/2023</vt:lpwstr>
  </property>
  <property fmtid="{D5CDD505-2E9C-101B-9397-08002B2CF9AE}" pid="4" name="&lt;Type&gt;">
    <vt:lpwstr>RR</vt:lpwstr>
  </property>
</Properties>
</file>