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522C" w:rsidTr="0010095E">
        <w:trPr>
          <w:trHeight w:hRule="exact" w:val="1418"/>
        </w:trPr>
        <w:tc>
          <w:tcPr>
            <w:tcW w:w="6804" w:type="dxa"/>
            <w:shd w:val="clear" w:color="auto" w:fill="auto"/>
            <w:vAlign w:val="center"/>
          </w:tcPr>
          <w:p w:rsidR="00751A4A" w:rsidRPr="0084522C" w:rsidRDefault="00C60339" w:rsidP="0010095E">
            <w:pPr>
              <w:pStyle w:val="EPName"/>
            </w:pPr>
            <w:r w:rsidRPr="0084522C">
              <w:t>Euroopa Parlament</w:t>
            </w:r>
          </w:p>
          <w:p w:rsidR="00751A4A" w:rsidRPr="0084522C" w:rsidRDefault="00817416" w:rsidP="00756632">
            <w:pPr>
              <w:pStyle w:val="EPTerm"/>
              <w:rPr>
                <w:rStyle w:val="HideTWBExt"/>
                <w:noProof w:val="0"/>
                <w:vanish w:val="0"/>
                <w:color w:val="auto"/>
              </w:rPr>
            </w:pPr>
            <w:r w:rsidRPr="0084522C">
              <w:t>2019-2024</w:t>
            </w:r>
          </w:p>
        </w:tc>
        <w:tc>
          <w:tcPr>
            <w:tcW w:w="2268" w:type="dxa"/>
            <w:shd w:val="clear" w:color="auto" w:fill="auto"/>
          </w:tcPr>
          <w:p w:rsidR="00751A4A" w:rsidRPr="0084522C" w:rsidRDefault="00187494" w:rsidP="0010095E">
            <w:pPr>
              <w:pStyle w:val="EPLogo"/>
            </w:pPr>
            <w:r w:rsidRPr="008452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522C" w:rsidRDefault="00D058B8" w:rsidP="004C5D52">
      <w:pPr>
        <w:pStyle w:val="LineTop"/>
      </w:pPr>
    </w:p>
    <w:p w:rsidR="00680577" w:rsidRPr="0084522C" w:rsidRDefault="00C60339" w:rsidP="00680577">
      <w:pPr>
        <w:pStyle w:val="EPBodyTA1"/>
      </w:pPr>
      <w:r w:rsidRPr="0084522C">
        <w:t>VASTUVÕETUD TEKSTID</w:t>
      </w:r>
    </w:p>
    <w:p w:rsidR="00D058B8" w:rsidRPr="0084522C" w:rsidRDefault="00D058B8" w:rsidP="00D058B8">
      <w:pPr>
        <w:pStyle w:val="LineBottom"/>
      </w:pPr>
    </w:p>
    <w:p w:rsidR="00C60339" w:rsidRPr="0084522C" w:rsidRDefault="00C60339" w:rsidP="00C60339">
      <w:pPr>
        <w:pStyle w:val="ATHeading1"/>
      </w:pPr>
      <w:bookmarkStart w:id="0" w:name="TANumber"/>
      <w:r w:rsidRPr="0084522C">
        <w:t>P9_TA(2024)00</w:t>
      </w:r>
      <w:r w:rsidR="00D63BEB" w:rsidRPr="0084522C">
        <w:t>24</w:t>
      </w:r>
      <w:bookmarkEnd w:id="0"/>
    </w:p>
    <w:p w:rsidR="00C60339" w:rsidRPr="0084522C" w:rsidRDefault="007F02E3" w:rsidP="00C60339">
      <w:pPr>
        <w:pStyle w:val="ATHeading2"/>
      </w:pPr>
      <w:bookmarkStart w:id="1" w:name="title"/>
      <w:r w:rsidRPr="0084522C">
        <w:t>A</w:t>
      </w:r>
      <w:r w:rsidR="00C60339" w:rsidRPr="0084522C">
        <w:t>luslepingu</w:t>
      </w:r>
      <w:r w:rsidRPr="0084522C">
        <w:t>te</w:t>
      </w:r>
      <w:r w:rsidR="00C60339" w:rsidRPr="0084522C">
        <w:t xml:space="preserve"> sätete rakenda</w:t>
      </w:r>
      <w:r w:rsidRPr="0084522C">
        <w:t>mine, mis käsitlevad ELi kodakondsust</w:t>
      </w:r>
      <w:bookmarkEnd w:id="1"/>
    </w:p>
    <w:p w:rsidR="00C60339" w:rsidRPr="0084522C" w:rsidRDefault="00C60339" w:rsidP="00C60339">
      <w:pPr>
        <w:rPr>
          <w:i/>
          <w:vanish/>
        </w:rPr>
      </w:pPr>
      <w:r w:rsidRPr="0084522C">
        <w:rPr>
          <w:i/>
        </w:rPr>
        <w:fldChar w:fldCharType="begin"/>
      </w:r>
      <w:r w:rsidRPr="0084522C">
        <w:rPr>
          <w:i/>
        </w:rPr>
        <w:instrText xml:space="preserve"> TC"(</w:instrText>
      </w:r>
      <w:bookmarkStart w:id="2" w:name="DocNumber"/>
      <w:r w:rsidRPr="0084522C">
        <w:rPr>
          <w:i/>
        </w:rPr>
        <w:instrText>A9-0436/2023</w:instrText>
      </w:r>
      <w:bookmarkEnd w:id="2"/>
      <w:r w:rsidRPr="0084522C">
        <w:rPr>
          <w:i/>
        </w:rPr>
        <w:instrText xml:space="preserve"> - Raportöör: Maite Pagazaurtundúa)"\l3 \n&gt; \* MERGEFORMAT </w:instrText>
      </w:r>
      <w:r w:rsidRPr="0084522C">
        <w:rPr>
          <w:i/>
        </w:rPr>
        <w:fldChar w:fldCharType="end"/>
      </w:r>
    </w:p>
    <w:p w:rsidR="00C60339" w:rsidRPr="0084522C" w:rsidRDefault="00C60339" w:rsidP="00C60339">
      <w:pPr>
        <w:rPr>
          <w:vanish/>
        </w:rPr>
      </w:pPr>
      <w:bookmarkStart w:id="3" w:name="Commission"/>
      <w:r w:rsidRPr="0084522C">
        <w:rPr>
          <w:vanish/>
        </w:rPr>
        <w:t>Põhiseaduskomisjon</w:t>
      </w:r>
      <w:bookmarkEnd w:id="3"/>
    </w:p>
    <w:p w:rsidR="00C60339" w:rsidRPr="0084522C" w:rsidRDefault="00C60339" w:rsidP="00C60339">
      <w:pPr>
        <w:rPr>
          <w:vanish/>
        </w:rPr>
      </w:pPr>
      <w:bookmarkStart w:id="4" w:name="PE"/>
      <w:r w:rsidRPr="0084522C">
        <w:rPr>
          <w:vanish/>
        </w:rPr>
        <w:t>PE754.647</w:t>
      </w:r>
      <w:bookmarkEnd w:id="4"/>
    </w:p>
    <w:p w:rsidR="00C60339" w:rsidRPr="0084522C" w:rsidRDefault="007F02E3" w:rsidP="00C60339">
      <w:pPr>
        <w:pStyle w:val="ATHeading3"/>
      </w:pPr>
      <w:bookmarkStart w:id="5" w:name="Sujet"/>
      <w:r w:rsidRPr="0084522C">
        <w:t>Euroopa Parlamendi 17</w:t>
      </w:r>
      <w:r w:rsidR="00C60339" w:rsidRPr="0084522C">
        <w:t>.</w:t>
      </w:r>
      <w:r w:rsidRPr="0084522C">
        <w:t> jaanuari 2024. </w:t>
      </w:r>
      <w:r w:rsidR="00C60339" w:rsidRPr="0084522C">
        <w:t xml:space="preserve">aasta resolutsioon </w:t>
      </w:r>
      <w:r w:rsidRPr="0084522C">
        <w:t xml:space="preserve">aluslepingute nende sätete rakendamise kohta, mis käsitlevad </w:t>
      </w:r>
      <w:r w:rsidR="00C60339" w:rsidRPr="0084522C">
        <w:t>ELi kodakondsust</w:t>
      </w:r>
      <w:bookmarkEnd w:id="5"/>
      <w:r w:rsidR="00C60339" w:rsidRPr="0084522C">
        <w:t xml:space="preserve"> </w:t>
      </w:r>
      <w:bookmarkStart w:id="6" w:name="References"/>
      <w:r w:rsidR="00C60339" w:rsidRPr="0084522C">
        <w:t>(2023/2085(INI))</w:t>
      </w:r>
      <w:bookmarkEnd w:id="6"/>
    </w:p>
    <w:p w:rsidR="001D5A5A" w:rsidRPr="0084522C" w:rsidRDefault="001D5A5A" w:rsidP="007F02E3">
      <w:pPr>
        <w:pStyle w:val="Normal12"/>
        <w:spacing w:before="480"/>
        <w:jc w:val="both"/>
      </w:pPr>
      <w:bookmarkStart w:id="7" w:name="TextBodyBegin"/>
      <w:bookmarkEnd w:id="7"/>
      <w:r w:rsidRPr="0084522C">
        <w:rPr>
          <w:i/>
        </w:rPr>
        <w:t>Euroopa Parlament</w:t>
      </w:r>
      <w:r w:rsidRPr="0084522C">
        <w:t>,</w:t>
      </w:r>
    </w:p>
    <w:p w:rsidR="001D5A5A" w:rsidRPr="0084522C" w:rsidRDefault="001D5A5A" w:rsidP="001D5A5A">
      <w:pPr>
        <w:pStyle w:val="NormalHanging12a"/>
      </w:pPr>
      <w:r w:rsidRPr="0084522C">
        <w:t>–</w:t>
      </w:r>
      <w:r w:rsidRPr="0084522C">
        <w:tab/>
        <w:t>võttes arvesse Euroopa Liidu lepingu (ELi leping) artikleid 2, 3, 6, 9, 10, 11, 12, 21 ja 23,</w:t>
      </w:r>
    </w:p>
    <w:p w:rsidR="001D5A5A" w:rsidRPr="0084522C" w:rsidRDefault="001D5A5A" w:rsidP="001D5A5A">
      <w:pPr>
        <w:pStyle w:val="NormalHanging12a"/>
      </w:pPr>
      <w:r w:rsidRPr="0084522C">
        <w:t>–</w:t>
      </w:r>
      <w:r w:rsidRPr="0084522C">
        <w:tab/>
        <w:t>võttes arvesse Euroopa Liidu toimimise lepingu</w:t>
      </w:r>
      <w:r w:rsidR="0014733F" w:rsidRPr="0084522C">
        <w:t xml:space="preserve"> (ELi toimimise leping)</w:t>
      </w:r>
      <w:r w:rsidRPr="0084522C">
        <w:t xml:space="preserve"> artikleid 15, 20, 21, 22, 24, 26, 45, 46, 47, 48, 153 ja 165,</w:t>
      </w:r>
    </w:p>
    <w:p w:rsidR="001D5A5A" w:rsidRPr="0084522C" w:rsidRDefault="007F02E3" w:rsidP="001D5A5A">
      <w:pPr>
        <w:pStyle w:val="NormalHanging12a"/>
      </w:pPr>
      <w:r w:rsidRPr="0084522C">
        <w:t>–</w:t>
      </w:r>
      <w:r w:rsidRPr="0084522C">
        <w:tab/>
        <w:t xml:space="preserve">võttes arvesse Euroopa </w:t>
      </w:r>
      <w:r w:rsidR="001D5A5A" w:rsidRPr="0084522C">
        <w:t>Liidu põhiõiguste hartat,</w:t>
      </w:r>
    </w:p>
    <w:p w:rsidR="001D5A5A" w:rsidRPr="0084522C" w:rsidRDefault="001D5A5A" w:rsidP="001D5A5A">
      <w:pPr>
        <w:pStyle w:val="NormalHanging12a"/>
      </w:pPr>
      <w:r w:rsidRPr="0084522C">
        <w:t>–</w:t>
      </w:r>
      <w:r w:rsidRPr="0084522C">
        <w:tab/>
        <w:t>võttes arvesse Euroopa Parlamendi ja nõukogu 29. aprilli 2004. aasta direktiivi 2</w:t>
      </w:r>
      <w:r w:rsidR="007F02E3" w:rsidRPr="0084522C">
        <w:t xml:space="preserve">004/38/EÜ, mis käsitleb Euroopa </w:t>
      </w:r>
      <w:r w:rsidRPr="0084522C">
        <w:t>Liidu kodanike ja nende pereliikmete õigust liikuda ja elada vabalt liikmesriikide territooriumil ning millega muudetakse määrust (EMÜ) nr 1612/68 ja tunnistatakse kehtetuks direktiivid 64/221/EMÜ, 68/360/EMÜ, 72/194/EMÜ, 73/148/EMÜ, 75/34/EMÜ, 75/35/EMÜ, 90/364/EMÜ, 90/365/EMÜ ja 93/96/EMÜ</w:t>
      </w:r>
      <w:r w:rsidRPr="0084522C">
        <w:rPr>
          <w:rStyle w:val="FootnoteReference"/>
          <w:color w:val="000000"/>
        </w:rPr>
        <w:footnoteReference w:id="1"/>
      </w:r>
      <w:r w:rsidRPr="0084522C">
        <w:t>,</w:t>
      </w:r>
    </w:p>
    <w:p w:rsidR="001D5A5A" w:rsidRPr="0084522C" w:rsidRDefault="007F02E3" w:rsidP="001D5A5A">
      <w:pPr>
        <w:pStyle w:val="NormalHanging12a"/>
      </w:pPr>
      <w:r w:rsidRPr="0084522C">
        <w:t>–</w:t>
      </w:r>
      <w:r w:rsidRPr="0084522C">
        <w:tab/>
        <w:t xml:space="preserve">võttes arvesse Euroopa </w:t>
      </w:r>
      <w:r w:rsidR="001D5A5A" w:rsidRPr="0084522C">
        <w:t xml:space="preserve">Parlamendi ja nõukogu 28. aprilli 2021. aasta määrust (EL) 2021/692, millega luuakse kodanike, võrdõiguslikkuse, õiguste ja väärtuste programm ning </w:t>
      </w:r>
      <w:r w:rsidRPr="0084522C">
        <w:t xml:space="preserve">tunnistatakse kehtetuks Euroopa </w:t>
      </w:r>
      <w:r w:rsidR="001D5A5A" w:rsidRPr="0084522C">
        <w:t>Pa</w:t>
      </w:r>
      <w:r w:rsidRPr="0084522C">
        <w:t xml:space="preserve">rlamendi ja nõukogu määrus (EL) </w:t>
      </w:r>
      <w:r w:rsidR="001D5A5A" w:rsidRPr="0084522C">
        <w:t>nr 138</w:t>
      </w:r>
      <w:r w:rsidRPr="0084522C">
        <w:t xml:space="preserve">1/2013 ning nõukogu määrus (EL) </w:t>
      </w:r>
      <w:r w:rsidR="001D5A5A" w:rsidRPr="0084522C">
        <w:t>nr 390/2014</w:t>
      </w:r>
      <w:r w:rsidR="001D5A5A" w:rsidRPr="0084522C">
        <w:rPr>
          <w:rStyle w:val="FootnoteReference"/>
          <w:color w:val="000000"/>
        </w:rPr>
        <w:footnoteReference w:id="2"/>
      </w:r>
      <w:r w:rsidR="001D5A5A" w:rsidRPr="0084522C">
        <w:t>,</w:t>
      </w:r>
    </w:p>
    <w:p w:rsidR="001D5A5A" w:rsidRPr="0084522C" w:rsidRDefault="001D5A5A" w:rsidP="001D5A5A">
      <w:pPr>
        <w:pStyle w:val="NormalHanging12a"/>
      </w:pPr>
      <w:r w:rsidRPr="0084522C">
        <w:t>–</w:t>
      </w:r>
      <w:r w:rsidR="007F02E3" w:rsidRPr="0084522C">
        <w:tab/>
        <w:t xml:space="preserve">võttes arvesse Euroopa </w:t>
      </w:r>
      <w:r w:rsidRPr="0084522C">
        <w:t>Parlamendi ja nõukogu 5. a</w:t>
      </w:r>
      <w:r w:rsidR="007F02E3" w:rsidRPr="0084522C">
        <w:t xml:space="preserve">prilli 2011. aasta määrust (EL) </w:t>
      </w:r>
      <w:r w:rsidRPr="0084522C">
        <w:t>nr 492/2011 töötajate liikumisvabaduse kohta liidu piires</w:t>
      </w:r>
      <w:r w:rsidRPr="0084522C">
        <w:rPr>
          <w:rStyle w:val="FootnoteReference"/>
          <w:color w:val="000000"/>
        </w:rPr>
        <w:footnoteReference w:id="3"/>
      </w:r>
      <w:r w:rsidRPr="0084522C">
        <w:t>,</w:t>
      </w:r>
    </w:p>
    <w:p w:rsidR="001D5A5A" w:rsidRPr="0084522C" w:rsidRDefault="007F02E3" w:rsidP="001D5A5A">
      <w:pPr>
        <w:pStyle w:val="NormalHanging12a"/>
      </w:pPr>
      <w:r w:rsidRPr="0084522C">
        <w:t>–</w:t>
      </w:r>
      <w:r w:rsidRPr="0084522C">
        <w:tab/>
        <w:t xml:space="preserve">võttes arvesse Euroopa </w:t>
      </w:r>
      <w:r w:rsidR="001D5A5A" w:rsidRPr="0084522C">
        <w:t>Parlamendi ja nõukogu 20. juuni 2019. aasta määrust (EL) 2019/1149, millega asutatakse Eu</w:t>
      </w:r>
      <w:r w:rsidRPr="0084522C">
        <w:t xml:space="preserve">roopa </w:t>
      </w:r>
      <w:r w:rsidR="001D5A5A" w:rsidRPr="0084522C">
        <w:t>Tööj</w:t>
      </w:r>
      <w:r w:rsidRPr="0084522C">
        <w:t xml:space="preserve">õuamet, muudetakse määrusi (EÜ) nr 883/2004, (EL) </w:t>
      </w:r>
      <w:r w:rsidR="001D5A5A" w:rsidRPr="0084522C">
        <w:t xml:space="preserve">nr 492/2011 ja (EL) 2016/589 ning tunnistatakse kehtetuks </w:t>
      </w:r>
      <w:r w:rsidRPr="0084522C">
        <w:t xml:space="preserve">otsus </w:t>
      </w:r>
      <w:r w:rsidR="001D5A5A" w:rsidRPr="0084522C">
        <w:t>(EL) 2016/344</w:t>
      </w:r>
      <w:r w:rsidR="001D5A5A" w:rsidRPr="0084522C">
        <w:rPr>
          <w:rStyle w:val="FootnoteReference"/>
          <w:color w:val="000000"/>
        </w:rPr>
        <w:footnoteReference w:id="4"/>
      </w:r>
      <w:r w:rsidR="001D5A5A" w:rsidRPr="0084522C">
        <w:t>,</w:t>
      </w:r>
    </w:p>
    <w:p w:rsidR="001D5A5A" w:rsidRPr="0084522C" w:rsidRDefault="007F02E3" w:rsidP="001D5A5A">
      <w:pPr>
        <w:pStyle w:val="NormalHanging12a"/>
      </w:pPr>
      <w:r w:rsidRPr="0084522C">
        <w:lastRenderedPageBreak/>
        <w:t>–</w:t>
      </w:r>
      <w:r w:rsidRPr="0084522C">
        <w:tab/>
        <w:t xml:space="preserve">võttes arvesse Euroopa </w:t>
      </w:r>
      <w:r w:rsidR="001D5A5A" w:rsidRPr="0084522C">
        <w:t>Parlamendi ja nõukogu 28. juuni 2018. aasta direktiivi (EL) 2018/957, millega muudetakse direktiivi 96/71/EÜ töötajate lähetamise kohta seoses teenuste osutamisega</w:t>
      </w:r>
      <w:r w:rsidR="001D5A5A" w:rsidRPr="0084522C">
        <w:rPr>
          <w:rStyle w:val="FootnoteReference"/>
          <w:color w:val="000000"/>
        </w:rPr>
        <w:footnoteReference w:id="5"/>
      </w:r>
      <w:r w:rsidR="001D5A5A" w:rsidRPr="0084522C">
        <w:t>,</w:t>
      </w:r>
    </w:p>
    <w:p w:rsidR="001D5A5A" w:rsidRPr="0084522C" w:rsidRDefault="007F02E3" w:rsidP="001D5A5A">
      <w:pPr>
        <w:pStyle w:val="NormalHanging12a"/>
      </w:pPr>
      <w:r w:rsidRPr="0084522C">
        <w:t>–</w:t>
      </w:r>
      <w:r w:rsidRPr="0084522C">
        <w:tab/>
        <w:t xml:space="preserve">võttes arvesse Euroopa </w:t>
      </w:r>
      <w:r w:rsidR="001D5A5A" w:rsidRPr="0084522C">
        <w:t>Parlamendi ja nõukogu 13. aprilli 2016. aasta määrust (EL) 2016/589, milles käsitletakse Euroopa tööt</w:t>
      </w:r>
      <w:r w:rsidRPr="0084522C">
        <w:t>uruasutuste võrgustikku (</w:t>
      </w:r>
      <w:proofErr w:type="spellStart"/>
      <w:r w:rsidRPr="0084522C">
        <w:t>EURESe</w:t>
      </w:r>
      <w:proofErr w:type="spellEnd"/>
      <w:r w:rsidRPr="0084522C">
        <w:t xml:space="preserve"> </w:t>
      </w:r>
      <w:r w:rsidR="001D5A5A" w:rsidRPr="0084522C">
        <w:t>võrgustik), töötajate juurdepääsu liikuvusteenustele ja tööturgude edasist integratsiooni ning mi</w:t>
      </w:r>
      <w:r w:rsidRPr="0084522C">
        <w:t xml:space="preserve">llega muudetakse määruseid (EL) nr 492/2011 ja (EL) </w:t>
      </w:r>
      <w:r w:rsidR="001D5A5A" w:rsidRPr="0084522C">
        <w:t>nr 1296/2013</w:t>
      </w:r>
      <w:r w:rsidR="001D5A5A" w:rsidRPr="0084522C">
        <w:rPr>
          <w:rStyle w:val="FootnoteReference"/>
          <w:color w:val="000000"/>
        </w:rPr>
        <w:footnoteReference w:id="6"/>
      </w:r>
      <w:r w:rsidR="001D5A5A" w:rsidRPr="0084522C">
        <w:t>,</w:t>
      </w:r>
    </w:p>
    <w:p w:rsidR="001D5A5A" w:rsidRPr="0084522C" w:rsidRDefault="007F02E3" w:rsidP="001D5A5A">
      <w:pPr>
        <w:pStyle w:val="NormalHanging12a"/>
      </w:pPr>
      <w:r w:rsidRPr="0084522C">
        <w:t>–</w:t>
      </w:r>
      <w:r w:rsidRPr="0084522C">
        <w:tab/>
        <w:t xml:space="preserve">võttes arvesse Euroopa </w:t>
      </w:r>
      <w:r w:rsidR="001D5A5A" w:rsidRPr="0084522C">
        <w:t>Parlamendi ja nõukogu 20. novembri 2013. aasta direktiivi 2013/55/EL, millega muudetakse direktiivi 2005/36/EÜ kutsekvalifikatsioonide tunnu</w:t>
      </w:r>
      <w:r w:rsidRPr="0084522C">
        <w:t xml:space="preserve">stamise kohta ning määrust (EL) </w:t>
      </w:r>
      <w:r w:rsidR="001D5A5A" w:rsidRPr="0084522C">
        <w:t>nr 1024/2012 siseturu infosüsteemi kaudu tehtava halduskoostöö kohta</w:t>
      </w:r>
      <w:r w:rsidR="001D5A5A" w:rsidRPr="0084522C">
        <w:rPr>
          <w:rStyle w:val="FootnoteReference"/>
          <w:color w:val="000000"/>
        </w:rPr>
        <w:footnoteReference w:id="7"/>
      </w:r>
      <w:r w:rsidR="001D5A5A" w:rsidRPr="0084522C">
        <w:t>,</w:t>
      </w:r>
    </w:p>
    <w:p w:rsidR="001D5A5A" w:rsidRPr="0084522C" w:rsidRDefault="001D5A5A" w:rsidP="001D5A5A">
      <w:pPr>
        <w:pStyle w:val="NormalHanging12a"/>
      </w:pPr>
      <w:r w:rsidRPr="0084522C">
        <w:t>–</w:t>
      </w:r>
      <w:r w:rsidRPr="0084522C">
        <w:tab/>
        <w:t>võttes arvesse nõukogu 20. aprilli 2015. aasta direktiivi (EL) 2015/637, mis käsitleb koordineerimis- ja koostöömeetmeid, millega hõlbustatakse liidu esindamata kodanike konsulaarkaitset kolmandates riikides ning tunnistatakse kehtetuks otsus 95/553/EÜ</w:t>
      </w:r>
      <w:r w:rsidRPr="0084522C">
        <w:rPr>
          <w:rStyle w:val="FootnoteReference"/>
        </w:rPr>
        <w:footnoteReference w:id="8"/>
      </w:r>
      <w:r w:rsidRPr="0084522C">
        <w:t>,</w:t>
      </w:r>
    </w:p>
    <w:p w:rsidR="001D5A5A" w:rsidRPr="0084522C" w:rsidRDefault="001D5A5A" w:rsidP="001D5A5A">
      <w:pPr>
        <w:pStyle w:val="NormalHanging12a"/>
      </w:pPr>
      <w:r w:rsidRPr="0084522C">
        <w:t>–</w:t>
      </w:r>
      <w:r w:rsidRPr="0084522C">
        <w:tab/>
        <w:t xml:space="preserve">võttes arvesse </w:t>
      </w:r>
      <w:r w:rsidR="007F02E3" w:rsidRPr="0084522C">
        <w:t xml:space="preserve">nõukogu </w:t>
      </w:r>
      <w:r w:rsidRPr="0084522C">
        <w:t>18. juuni 2019. aasta direktiivi (EL) 2019/997, millega kehtestatakse ELi tagasipöördumistunnistus ja tunnistatakse kehtetuks otsus 96/409/ÜVJP</w:t>
      </w:r>
      <w:r w:rsidRPr="0084522C">
        <w:rPr>
          <w:rStyle w:val="FootnoteReference"/>
          <w:color w:val="000000"/>
        </w:rPr>
        <w:footnoteReference w:id="9"/>
      </w:r>
      <w:r w:rsidRPr="0084522C">
        <w:t>,</w:t>
      </w:r>
    </w:p>
    <w:p w:rsidR="001D5A5A" w:rsidRPr="0084522C" w:rsidRDefault="001D5A5A" w:rsidP="001D5A5A">
      <w:pPr>
        <w:pStyle w:val="NormalHanging12a"/>
      </w:pPr>
      <w:r w:rsidRPr="0084522C">
        <w:t>–</w:t>
      </w:r>
      <w:r w:rsidRPr="0084522C">
        <w:tab/>
        <w:t>võttes arvesse komisjoni 2. juuli 2009. aasta teatist suuniste kohta direktiivi 2</w:t>
      </w:r>
      <w:r w:rsidR="007F02E3" w:rsidRPr="0084522C">
        <w:t xml:space="preserve">004/38/EÜ (mis käsitleb Euroopa </w:t>
      </w:r>
      <w:r w:rsidRPr="0084522C">
        <w:t xml:space="preserve">Liidu kodanike ja nende pereliikmete õigust liikuda ja elada vabalt liikmesriikide territooriumil) </w:t>
      </w:r>
      <w:proofErr w:type="spellStart"/>
      <w:r w:rsidRPr="0084522C">
        <w:t>ülevõtmise</w:t>
      </w:r>
      <w:proofErr w:type="spellEnd"/>
      <w:r w:rsidRPr="0084522C">
        <w:t xml:space="preserve"> ja</w:t>
      </w:r>
      <w:r w:rsidR="008F6F0A">
        <w:t xml:space="preserve"> kohaldamise parandamiseks (COM</w:t>
      </w:r>
      <w:bookmarkStart w:id="8" w:name="_GoBack"/>
      <w:bookmarkEnd w:id="8"/>
      <w:r w:rsidRPr="0084522C">
        <w:t>(2009)0313),</w:t>
      </w:r>
    </w:p>
    <w:p w:rsidR="001D5A5A" w:rsidRPr="0084522C" w:rsidRDefault="007F02E3" w:rsidP="001D5A5A">
      <w:pPr>
        <w:pStyle w:val="NormalHanging12a"/>
      </w:pPr>
      <w:r w:rsidRPr="0084522C">
        <w:t>–</w:t>
      </w:r>
      <w:r w:rsidRPr="0084522C">
        <w:tab/>
        <w:t xml:space="preserve">võttes arvesse Euroopa </w:t>
      </w:r>
      <w:r w:rsidR="001D5A5A" w:rsidRPr="0084522C">
        <w:t>Parlamendi ja nõukogu 17. aprilli 2019. aasta määrust (EL) 2019/788 Euroopa kodanikualgatuse kohta</w:t>
      </w:r>
      <w:r w:rsidR="001D5A5A" w:rsidRPr="0084522C">
        <w:rPr>
          <w:vertAlign w:val="superscript"/>
        </w:rPr>
        <w:footnoteReference w:id="10"/>
      </w:r>
      <w:r w:rsidR="001D5A5A" w:rsidRPr="0084522C">
        <w:t>,</w:t>
      </w:r>
    </w:p>
    <w:p w:rsidR="001D5A5A" w:rsidRPr="0084522C" w:rsidRDefault="007F02E3" w:rsidP="001D5A5A">
      <w:pPr>
        <w:pStyle w:val="NormalHanging12a"/>
      </w:pPr>
      <w:r w:rsidRPr="0084522C">
        <w:t>–</w:t>
      </w:r>
      <w:r w:rsidRPr="0084522C">
        <w:tab/>
        <w:t xml:space="preserve">võttes arvesse Euroopa </w:t>
      </w:r>
      <w:r w:rsidR="001D5A5A" w:rsidRPr="0084522C">
        <w:t>Parlamendi ja nõukogu 15. juuli 2020. aasta määrust (EL) 2020/</w:t>
      </w:r>
      <w:r w:rsidRPr="0084522C">
        <w:t>1042, milles sätestatakse COVID</w:t>
      </w:r>
      <w:r w:rsidRPr="0084522C">
        <w:noBreakHyphen/>
      </w:r>
      <w:r w:rsidR="001D5A5A" w:rsidRPr="0084522C">
        <w:t>19 puhangust tingitud ajutised meetmed Euroopa kodanikualgatust käsitleva määrusega (EL) 2019/788 ettenähtud kogumis-, kontrollimis- ja läbivaatamisetappide tähtaegade kohta</w:t>
      </w:r>
      <w:r w:rsidR="001D5A5A" w:rsidRPr="0084522C">
        <w:rPr>
          <w:rStyle w:val="FootnoteReference"/>
          <w:color w:val="000000"/>
        </w:rPr>
        <w:footnoteReference w:id="11"/>
      </w:r>
      <w:r w:rsidR="001D5A5A" w:rsidRPr="0084522C">
        <w:t>,</w:t>
      </w:r>
    </w:p>
    <w:p w:rsidR="001D5A5A" w:rsidRPr="0084522C" w:rsidRDefault="001D5A5A" w:rsidP="001D5A5A">
      <w:pPr>
        <w:pStyle w:val="NormalHanging12a"/>
      </w:pPr>
      <w:r w:rsidRPr="0084522C">
        <w:t>–</w:t>
      </w:r>
      <w:r w:rsidRPr="0084522C">
        <w:tab/>
        <w:t>võttes arvesse komisjoni 2. detsembri 2020. aasta teatist „Strateegia põhiõiguste harta kohaldamise tugevdamiseks ELis“ (COM(2020)0711),</w:t>
      </w:r>
    </w:p>
    <w:p w:rsidR="001D5A5A" w:rsidRPr="0084522C" w:rsidRDefault="001D5A5A" w:rsidP="001D5A5A">
      <w:pPr>
        <w:pStyle w:val="NormalHanging12a"/>
      </w:pPr>
      <w:r w:rsidRPr="0084522C">
        <w:t>–</w:t>
      </w:r>
      <w:r w:rsidRPr="0084522C">
        <w:tab/>
        <w:t>võttes arvesse komisjoni 3. detsembri 2020. aasta teatist Euroopa demokraatia tegevuskava kohta (COM(2020)0790),</w:t>
      </w:r>
    </w:p>
    <w:p w:rsidR="001D5A5A" w:rsidRPr="0084522C" w:rsidRDefault="001D5A5A" w:rsidP="001D5A5A">
      <w:pPr>
        <w:pStyle w:val="NormalHanging12a"/>
      </w:pPr>
      <w:r w:rsidRPr="0084522C">
        <w:t>–</w:t>
      </w:r>
      <w:r w:rsidRPr="0084522C">
        <w:tab/>
        <w:t>võttes arvesse komisjoni 25. novembri 2021. aasta teatist „Valimiste usaldusväärsuse kaitsmine ja demokraatliku osaluse edendamine“ (COM(2021)0730),</w:t>
      </w:r>
    </w:p>
    <w:p w:rsidR="001D5A5A" w:rsidRPr="0084522C" w:rsidRDefault="001D5A5A" w:rsidP="001D5A5A">
      <w:pPr>
        <w:pStyle w:val="NormalHanging12a"/>
      </w:pPr>
      <w:r w:rsidRPr="0084522C">
        <w:lastRenderedPageBreak/>
        <w:t>–</w:t>
      </w:r>
      <w:r w:rsidRPr="0084522C">
        <w:tab/>
        <w:t xml:space="preserve">võttes arvesse 15. detsembri 2020. aasta komisjoni aruannet „2020. aasta aruanne ELi kodakondsuse kohta – Kodanike </w:t>
      </w:r>
      <w:proofErr w:type="spellStart"/>
      <w:r w:rsidRPr="0084522C">
        <w:t>võimestamine</w:t>
      </w:r>
      <w:proofErr w:type="spellEnd"/>
      <w:r w:rsidRPr="0084522C">
        <w:t xml:space="preserve"> ja nende õiguste kaitsmine“ (COM(2020)0730),</w:t>
      </w:r>
    </w:p>
    <w:p w:rsidR="001D5A5A" w:rsidRPr="0084522C" w:rsidRDefault="001D5A5A" w:rsidP="001D5A5A">
      <w:pPr>
        <w:pStyle w:val="NormalHanging12a"/>
      </w:pPr>
      <w:r w:rsidRPr="0084522C">
        <w:t>–</w:t>
      </w:r>
      <w:r w:rsidRPr="0084522C">
        <w:tab/>
        <w:t>võttes arvesse komisjoni 15. detsembri 2020. aasta aruannet (esitatud ELi toimimise lepingu artikli 25 kohaselt) „ELi kodakondsuse tugevdamiseks aastatel 2016–2020 tehtud edusammud“ (COM(2020)0731),</w:t>
      </w:r>
    </w:p>
    <w:p w:rsidR="001D5A5A" w:rsidRPr="0084522C" w:rsidRDefault="001D5A5A" w:rsidP="001D5A5A">
      <w:pPr>
        <w:pStyle w:val="NormalHanging12a"/>
      </w:pPr>
      <w:r w:rsidRPr="0084522C">
        <w:t>–</w:t>
      </w:r>
      <w:r w:rsidRPr="0084522C">
        <w:tab/>
        <w:t>võttes arvesse oma 14. veebruari 2023. aasta seisukohta ettepaneku kohta võtta vastu nõukogu direktiiv, millega sätestatakse üksikasjalik kord, mille alusel liikmesriigis elavad, kuid selle riigi kodakondsuseta liidu kodanikud saavad kasutada õigust hä</w:t>
      </w:r>
      <w:r w:rsidR="007F02E3" w:rsidRPr="0084522C">
        <w:t xml:space="preserve">äletada ja kandideerida Euroopa </w:t>
      </w:r>
      <w:r w:rsidRPr="0084522C">
        <w:t>Parlamendi valimistel</w:t>
      </w:r>
      <w:r w:rsidRPr="0084522C">
        <w:rPr>
          <w:rStyle w:val="FootnoteReference"/>
          <w:color w:val="000000"/>
        </w:rPr>
        <w:footnoteReference w:id="12"/>
      </w:r>
      <w:r w:rsidRPr="0084522C">
        <w:t>,</w:t>
      </w:r>
    </w:p>
    <w:p w:rsidR="001D5A5A" w:rsidRPr="0084522C" w:rsidRDefault="001D5A5A" w:rsidP="001D5A5A">
      <w:pPr>
        <w:pStyle w:val="NormalHanging12a"/>
      </w:pPr>
      <w:r w:rsidRPr="0084522C">
        <w:t>–</w:t>
      </w:r>
      <w:r w:rsidRPr="0084522C">
        <w:tab/>
        <w:t>võttes arvesse oma 14. veebruari 2023. aasta seisukohta ettepaneku kohta võtta vastu nõukogu direktiiv, millega kehtestatakse üksikasjalik kord, mille alusel liikmesriigis elavad, kuid selle riigi kodakondsuseta liidu kodanikud saavad kasutada õigust hääletada ja kandideerida kohalikel valimistel</w:t>
      </w:r>
      <w:r w:rsidRPr="0084522C">
        <w:rPr>
          <w:rStyle w:val="FootnoteReference"/>
          <w:color w:val="000000"/>
        </w:rPr>
        <w:footnoteReference w:id="13"/>
      </w:r>
      <w:r w:rsidRPr="0084522C">
        <w:t>,</w:t>
      </w:r>
    </w:p>
    <w:p w:rsidR="001D5A5A" w:rsidRPr="0084522C" w:rsidRDefault="001D5A5A" w:rsidP="001D5A5A">
      <w:pPr>
        <w:pStyle w:val="NormalHanging12a"/>
      </w:pPr>
      <w:r w:rsidRPr="0084522C">
        <w:t>–</w:t>
      </w:r>
      <w:r w:rsidRPr="0084522C">
        <w:tab/>
        <w:t>võttes arvesse oma 12. veebruari 2019. aasta resolutsiooni aluslepingute nende sätete rakendamise kohta, mis käsitlevad ELi kodakondsust</w:t>
      </w:r>
      <w:r w:rsidRPr="0084522C">
        <w:rPr>
          <w:rStyle w:val="FootnoteReference"/>
          <w:color w:val="000000"/>
        </w:rPr>
        <w:footnoteReference w:id="14"/>
      </w:r>
      <w:r w:rsidRPr="0084522C">
        <w:t>,</w:t>
      </w:r>
    </w:p>
    <w:p w:rsidR="001D5A5A" w:rsidRPr="0084522C" w:rsidRDefault="001D5A5A" w:rsidP="001D5A5A">
      <w:pPr>
        <w:pStyle w:val="NormalHanging12a"/>
      </w:pPr>
      <w:r w:rsidRPr="0084522C">
        <w:t>–</w:t>
      </w:r>
      <w:r w:rsidRPr="0084522C">
        <w:tab/>
        <w:t>võttes</w:t>
      </w:r>
      <w:r w:rsidR="007F02E3" w:rsidRPr="0084522C">
        <w:t xml:space="preserve"> arvesse Euroopa </w:t>
      </w:r>
      <w:r w:rsidRPr="0084522C">
        <w:t xml:space="preserve">Parlamendi 9. märtsi 2022. aasta resolutsiooni ettepanekutega komisjonile investeeringute eest kodakondsuse ja </w:t>
      </w:r>
      <w:proofErr w:type="spellStart"/>
      <w:r w:rsidRPr="0084522C">
        <w:t>residentsuse</w:t>
      </w:r>
      <w:proofErr w:type="spellEnd"/>
      <w:r w:rsidRPr="0084522C">
        <w:t xml:space="preserve"> andmise kavade kohta</w:t>
      </w:r>
      <w:r w:rsidRPr="0084522C">
        <w:rPr>
          <w:rStyle w:val="FootnoteReference"/>
          <w:color w:val="000000"/>
        </w:rPr>
        <w:footnoteReference w:id="15"/>
      </w:r>
      <w:r w:rsidRPr="0084522C">
        <w:t>,</w:t>
      </w:r>
    </w:p>
    <w:p w:rsidR="001D5A5A" w:rsidRPr="0084522C" w:rsidRDefault="001D5A5A" w:rsidP="001D5A5A">
      <w:pPr>
        <w:pStyle w:val="NormalHanging12a"/>
      </w:pPr>
      <w:r w:rsidRPr="0084522C">
        <w:t>–</w:t>
      </w:r>
      <w:r w:rsidRPr="0084522C">
        <w:tab/>
        <w:t xml:space="preserve">võttes arvesse oma 10. märtsi 2022. aasta resolutsiooni 2020. aasta ELi kodakondsuse ning kodanike </w:t>
      </w:r>
      <w:proofErr w:type="spellStart"/>
      <w:r w:rsidRPr="0084522C">
        <w:t>võimestamine</w:t>
      </w:r>
      <w:proofErr w:type="spellEnd"/>
      <w:r w:rsidRPr="0084522C">
        <w:t xml:space="preserve"> ja nende õiguste kaitsmise aruande kohta</w:t>
      </w:r>
      <w:r w:rsidRPr="0084522C">
        <w:rPr>
          <w:rStyle w:val="FootnoteReference"/>
          <w:color w:val="000000"/>
        </w:rPr>
        <w:footnoteReference w:id="16"/>
      </w:r>
      <w:r w:rsidRPr="0084522C">
        <w:t>,</w:t>
      </w:r>
    </w:p>
    <w:p w:rsidR="001D5A5A" w:rsidRPr="0084522C" w:rsidRDefault="001D5A5A" w:rsidP="001D5A5A">
      <w:pPr>
        <w:pStyle w:val="NormalHanging12a"/>
      </w:pPr>
      <w:r w:rsidRPr="0084522C">
        <w:t>–</w:t>
      </w:r>
      <w:r w:rsidRPr="0084522C">
        <w:tab/>
        <w:t>võttes arvesse oma 13. juuni 2023. aasta resolutsiooni Euroopa kodanikualgatust käsitlevate määruste rakendamise kohta</w:t>
      </w:r>
      <w:r w:rsidRPr="0084522C">
        <w:rPr>
          <w:rStyle w:val="FootnoteReference"/>
          <w:color w:val="000000"/>
        </w:rPr>
        <w:footnoteReference w:id="17"/>
      </w:r>
      <w:r w:rsidRPr="0084522C">
        <w:t>,</w:t>
      </w:r>
    </w:p>
    <w:p w:rsidR="001D5A5A" w:rsidRPr="0084522C" w:rsidRDefault="001D5A5A" w:rsidP="001D5A5A">
      <w:pPr>
        <w:pStyle w:val="NormalHanging12a"/>
      </w:pPr>
      <w:r w:rsidRPr="0084522C">
        <w:t>–</w:t>
      </w:r>
      <w:r w:rsidRPr="0084522C">
        <w:tab/>
        <w:t>võttes arvesse oma 14. septembri 2023. aasta resolutsiooni parlamentarismi, Euroopa kodakondsuse ja demokraatia kohta</w:t>
      </w:r>
      <w:r w:rsidRPr="0084522C">
        <w:rPr>
          <w:rStyle w:val="FootnoteReference"/>
          <w:color w:val="000000"/>
        </w:rPr>
        <w:footnoteReference w:id="18"/>
      </w:r>
      <w:r w:rsidRPr="0084522C">
        <w:t>,</w:t>
      </w:r>
    </w:p>
    <w:p w:rsidR="001D5A5A" w:rsidRPr="0084522C" w:rsidRDefault="001D5A5A" w:rsidP="001D5A5A">
      <w:pPr>
        <w:pStyle w:val="NormalHanging12a"/>
      </w:pPr>
      <w:r w:rsidRPr="0084522C">
        <w:t>–</w:t>
      </w:r>
      <w:r w:rsidRPr="0084522C">
        <w:tab/>
        <w:t>võttes arvesse oma 7. juuli 2021. aasta resolutsiooni kodanikega peetavate dialoogide ja kodanike osalemise kohta ELi otsustusprotsessis</w:t>
      </w:r>
      <w:r w:rsidRPr="0084522C">
        <w:rPr>
          <w:rStyle w:val="FootnoteReference"/>
          <w:color w:val="000000"/>
        </w:rPr>
        <w:footnoteReference w:id="19"/>
      </w:r>
      <w:r w:rsidRPr="0084522C">
        <w:t>,</w:t>
      </w:r>
    </w:p>
    <w:p w:rsidR="001D5A5A" w:rsidRPr="0084522C" w:rsidRDefault="001D5A5A" w:rsidP="001D5A5A">
      <w:pPr>
        <w:pStyle w:val="NormalHanging12a"/>
      </w:pPr>
      <w:r w:rsidRPr="0084522C">
        <w:t>–</w:t>
      </w:r>
      <w:r w:rsidRPr="0084522C">
        <w:tab/>
        <w:t>võtta arvesse oma 9. märtsi 2022. aasta resolutsiooni kodanike kaasamise kohta: petitsiooniõigus, õigus esitada kaebus Euroopa Ombudsmanile ja Euroopa kodanikualgatus</w:t>
      </w:r>
      <w:r w:rsidRPr="0084522C">
        <w:rPr>
          <w:rStyle w:val="FootnoteReference"/>
          <w:color w:val="000000"/>
        </w:rPr>
        <w:footnoteReference w:id="20"/>
      </w:r>
      <w:r w:rsidRPr="0084522C">
        <w:t>,</w:t>
      </w:r>
    </w:p>
    <w:p w:rsidR="001D5A5A" w:rsidRPr="0084522C" w:rsidRDefault="001D5A5A" w:rsidP="001D5A5A">
      <w:pPr>
        <w:pStyle w:val="NormalHanging12a"/>
        <w:rPr>
          <w:szCs w:val="23"/>
        </w:rPr>
      </w:pPr>
      <w:r w:rsidRPr="0084522C">
        <w:t>–</w:t>
      </w:r>
      <w:r w:rsidRPr="0084522C">
        <w:tab/>
        <w:t xml:space="preserve">võttes arvesse oma 15. märtsi 2017. aasta resolutsioon ELi kodanike liikumis- ja </w:t>
      </w:r>
      <w:r w:rsidRPr="0084522C">
        <w:lastRenderedPageBreak/>
        <w:t>töötamisvabaduse takistuste kohta siseturul</w:t>
      </w:r>
      <w:r w:rsidRPr="0084522C">
        <w:rPr>
          <w:rStyle w:val="FootnoteReference"/>
          <w:color w:val="000000"/>
          <w:szCs w:val="23"/>
        </w:rPr>
        <w:footnoteReference w:id="21"/>
      </w:r>
      <w:r w:rsidRPr="0084522C">
        <w:t>,</w:t>
      </w:r>
    </w:p>
    <w:p w:rsidR="001D5A5A" w:rsidRPr="0084522C" w:rsidRDefault="001D5A5A" w:rsidP="001D5A5A">
      <w:pPr>
        <w:pStyle w:val="NormalHanging12a"/>
        <w:rPr>
          <w:szCs w:val="23"/>
        </w:rPr>
      </w:pPr>
      <w:r w:rsidRPr="0084522C">
        <w:t>–</w:t>
      </w:r>
      <w:r w:rsidRPr="0084522C">
        <w:tab/>
        <w:t>võttes a</w:t>
      </w:r>
      <w:r w:rsidR="007F02E3" w:rsidRPr="0084522C">
        <w:t xml:space="preserve">rvesse Euroopa Liidu Põhiõiguste </w:t>
      </w:r>
      <w:r w:rsidRPr="0084522C">
        <w:t>Ameti 2023. aasta aruannet põhiõiguste kohta,</w:t>
      </w:r>
    </w:p>
    <w:p w:rsidR="001D5A5A" w:rsidRPr="0084522C" w:rsidRDefault="001D5A5A" w:rsidP="001D5A5A">
      <w:pPr>
        <w:pStyle w:val="NormalHanging12a"/>
      </w:pPr>
      <w:r w:rsidRPr="0084522C">
        <w:t>–</w:t>
      </w:r>
      <w:r w:rsidRPr="0084522C">
        <w:tab/>
        <w:t>võttes arvesse aruannet Euroopa tuleviku konverentsi lõpptulemuste kohta,</w:t>
      </w:r>
    </w:p>
    <w:p w:rsidR="001D5A5A" w:rsidRPr="0084522C" w:rsidRDefault="001D5A5A" w:rsidP="001D5A5A">
      <w:pPr>
        <w:pStyle w:val="NormalHanging12a"/>
      </w:pPr>
      <w:r w:rsidRPr="0084522C">
        <w:t>–</w:t>
      </w:r>
      <w:r w:rsidRPr="0084522C">
        <w:tab/>
        <w:t>võttes arvesse Eurobaromeetri kiiruuringu 485/2020 ja Eurobaromeetri standarduuringu 99/2023 tulemusi,</w:t>
      </w:r>
    </w:p>
    <w:p w:rsidR="00D63BEB" w:rsidRPr="0084522C" w:rsidRDefault="00D63BEB" w:rsidP="00D63BEB">
      <w:pPr>
        <w:pStyle w:val="NormalHanging12a"/>
      </w:pPr>
      <w:r w:rsidRPr="0084522C">
        <w:t>–</w:t>
      </w:r>
      <w:r w:rsidRPr="0084522C">
        <w:tab/>
        <w:t>võttes arvesse 6. detsembril 2023. aastal ELi toimimise lepingu artikli 25 kohaselt esitatud komisjoni aruannet ELi kodakondsuse tugevdamiseks aastatel 2020–2023 tehtud edusammude kohta (COM(2023)0931) (2023. aasta aruanne ELi kodakondsuse kohta),</w:t>
      </w:r>
    </w:p>
    <w:p w:rsidR="001D5A5A" w:rsidRPr="0084522C" w:rsidRDefault="001D5A5A" w:rsidP="001D5A5A">
      <w:pPr>
        <w:pStyle w:val="NormalHanging12a"/>
      </w:pPr>
      <w:r w:rsidRPr="0084522C">
        <w:t>–</w:t>
      </w:r>
      <w:r w:rsidRPr="0084522C">
        <w:tab/>
        <w:t>võttes arvesse kodukorra artiklit 54 ning esimeeste konverentsi 12. detsembri 2002. aasta otsuse (mis käsitleb algatusraportite koostamise loa andmise korda) artikli 1 lõike 1 punkti e ja 3. lisa,</w:t>
      </w:r>
    </w:p>
    <w:p w:rsidR="001D5A5A" w:rsidRPr="0084522C" w:rsidRDefault="001D5A5A" w:rsidP="001D5A5A">
      <w:pPr>
        <w:pStyle w:val="NormalHanging12a"/>
      </w:pPr>
      <w:r w:rsidRPr="0084522C">
        <w:t>–</w:t>
      </w:r>
      <w:r w:rsidRPr="0084522C">
        <w:tab/>
        <w:t>võttes arvesse kodanikuvabaduste, justiits- ja siseasjade komisjoni arvamust,</w:t>
      </w:r>
    </w:p>
    <w:p w:rsidR="001D5A5A" w:rsidRPr="0084522C" w:rsidRDefault="001D5A5A" w:rsidP="001D5A5A">
      <w:pPr>
        <w:pStyle w:val="NormalHanging12a"/>
      </w:pPr>
      <w:r w:rsidRPr="0084522C">
        <w:t>–</w:t>
      </w:r>
      <w:r w:rsidRPr="0084522C">
        <w:tab/>
        <w:t>võttes arvesse p</w:t>
      </w:r>
      <w:r w:rsidR="007F02E3" w:rsidRPr="0084522C">
        <w:t>õhiseaduskomisjoni raportit (A9</w:t>
      </w:r>
      <w:r w:rsidR="007F02E3" w:rsidRPr="0084522C">
        <w:noBreakHyphen/>
      </w:r>
      <w:r w:rsidRPr="0084522C">
        <w:t>0436/2023),</w:t>
      </w:r>
    </w:p>
    <w:p w:rsidR="001D5A5A" w:rsidRPr="0084522C" w:rsidRDefault="001D5A5A" w:rsidP="001D5A5A">
      <w:pPr>
        <w:pStyle w:val="NormalHanging12a"/>
      </w:pPr>
      <w:r w:rsidRPr="0084522C">
        <w:t>A.</w:t>
      </w:r>
      <w:r w:rsidRPr="0084522C">
        <w:tab/>
        <w:t>arvestades, et ELi kodakondsus kehtestati 1993. aastal Maastrichti lepingu jõustumisega ja seda tugevdati veelgi 2009. aastal Lissaboni lepinguga; arvestades, et selle kehtestamisest on möödunud kolmkümmend aastat ning toimunud on suured sotsiaalsed, digitaalsed, majanduslikud ja poliitilised muutused;</w:t>
      </w:r>
    </w:p>
    <w:p w:rsidR="001D5A5A" w:rsidRPr="0084522C" w:rsidRDefault="001D5A5A" w:rsidP="001D5A5A">
      <w:pPr>
        <w:pStyle w:val="NormalHanging12a"/>
        <w:rPr>
          <w:b/>
          <w:i/>
        </w:rPr>
      </w:pPr>
      <w:r w:rsidRPr="0084522C">
        <w:t>B.</w:t>
      </w:r>
      <w:r w:rsidRPr="0084522C">
        <w:rPr>
          <w:b/>
          <w:i/>
        </w:rPr>
        <w:tab/>
      </w:r>
      <w:r w:rsidRPr="0084522C">
        <w:t>arvestades, et ELi toimimise lepingu artikli 20 lõike 1 kohaselt ELi kodakondsus täiendab ja ei asenda liikmesriigi kodakondsust; arvestades, et ELi kodakondsus ei too liidu kodanikele veel kaasa mingeid kohustusi;</w:t>
      </w:r>
    </w:p>
    <w:p w:rsidR="001D5A5A" w:rsidRPr="0084522C" w:rsidRDefault="001D5A5A" w:rsidP="001D5A5A">
      <w:pPr>
        <w:pStyle w:val="NormalHanging12a"/>
        <w:rPr>
          <w:shd w:val="clear" w:color="auto" w:fill="FFFFFF"/>
        </w:rPr>
      </w:pPr>
      <w:r w:rsidRPr="0084522C">
        <w:t>C.</w:t>
      </w:r>
      <w:r w:rsidRPr="0084522C">
        <w:tab/>
      </w:r>
      <w:r w:rsidRPr="0084522C">
        <w:rPr>
          <w:shd w:val="clear" w:color="auto" w:fill="FFFFFF"/>
        </w:rPr>
        <w:t>arvestades, et ELi kodakondsus on ainulaadne konstruktsioon, mis peegeldab ELi kodanike ühist demokraatlikku identiteeti ja ühiseid väärtusi ning on aidanud kaasa sidemete loomisele, võrdõiguslikkuse edendamisele ning rassismi ja diskrimineerimise kõigi vormide tagasilükkamisele; arvestades, et ELi kodakondsus ei ole veel saavutanud oma täielikku potentsiaali;</w:t>
      </w:r>
    </w:p>
    <w:p w:rsidR="001D5A5A" w:rsidRPr="0084522C" w:rsidRDefault="001D5A5A" w:rsidP="001D5A5A">
      <w:pPr>
        <w:pStyle w:val="NormalHanging12a"/>
      </w:pPr>
      <w:r w:rsidRPr="0084522C">
        <w:rPr>
          <w:shd w:val="clear" w:color="auto" w:fill="FFFFFF"/>
        </w:rPr>
        <w:t>D.</w:t>
      </w:r>
      <w:r w:rsidRPr="0084522C">
        <w:rPr>
          <w:b/>
          <w:i/>
          <w:shd w:val="clear" w:color="auto" w:fill="FFFFFF"/>
        </w:rPr>
        <w:tab/>
      </w:r>
      <w:r w:rsidRPr="0084522C">
        <w:rPr>
          <w:shd w:val="clear" w:color="auto" w:fill="FFFFFF"/>
        </w:rPr>
        <w:t>arvestades, et liikumisvabadus on võimaldanud üle 15 miljonil ELi kodanikul</w:t>
      </w:r>
      <w:r w:rsidRPr="0084522C">
        <w:rPr>
          <w:rStyle w:val="FootnoteReference"/>
          <w:shd w:val="clear" w:color="auto" w:fill="FFFFFF"/>
        </w:rPr>
        <w:footnoteReference w:id="22"/>
      </w:r>
      <w:r w:rsidRPr="0084522C">
        <w:rPr>
          <w:shd w:val="clear" w:color="auto" w:fill="FFFFFF"/>
        </w:rPr>
        <w:t xml:space="preserve"> elada ja töötada mõnes teises liikmesriigis ning kõigil ELi kodanikel reisida vabalt kogu ELis, muutes ELi kodakondsuse tähtsamaks kui kunagi varem;</w:t>
      </w:r>
    </w:p>
    <w:p w:rsidR="001D5A5A" w:rsidRPr="0084522C" w:rsidRDefault="001D5A5A" w:rsidP="001D5A5A">
      <w:pPr>
        <w:pStyle w:val="NormalHanging12a"/>
      </w:pPr>
      <w:r w:rsidRPr="0084522C">
        <w:t>E.</w:t>
      </w:r>
      <w:r w:rsidRPr="0084522C">
        <w:tab/>
      </w:r>
      <w:r w:rsidRPr="0084522C">
        <w:rPr>
          <w:shd w:val="clear" w:color="auto" w:fill="FFFFFF"/>
        </w:rPr>
        <w:t>arvestades, et ELi kodanikel puudub liiga sageli piisav teadlikkus, teadmised ja arusaam ELi kodakondsusest tulenevatest õigustest, kodanikukohustustest ja vabadustest; arvestades, et ELi kodakondsuse praktilises kohaldamises ning sellest tulenevate õiguste ja vabaduste täielikus kasutamises on endiselt olulisi puudujääke, millest osa on tingitud ELi õigusaktide ebaühtlasest rakendamisest liikmesriikides;</w:t>
      </w:r>
    </w:p>
    <w:p w:rsidR="001D5A5A" w:rsidRPr="0084522C" w:rsidRDefault="001D5A5A" w:rsidP="001D5A5A">
      <w:pPr>
        <w:pStyle w:val="NormalHanging12a"/>
      </w:pPr>
      <w:r w:rsidRPr="0084522C">
        <w:lastRenderedPageBreak/>
        <w:t>F.</w:t>
      </w:r>
      <w:r w:rsidRPr="0084522C">
        <w:tab/>
        <w:t>arvestades, et ELi kodakondsust käsitleva 2020. aasta avaliku konsultatsiooni tulemused näitasid, et üle 60 % osalenutest ei pidanud end oma ELi kodakondsusega seotud õigustest hästi informeerituks</w:t>
      </w:r>
      <w:r w:rsidRPr="0084522C">
        <w:rPr>
          <w:rStyle w:val="FootnoteReference"/>
          <w:color w:val="000000"/>
          <w:szCs w:val="24"/>
        </w:rPr>
        <w:footnoteReference w:id="23"/>
      </w:r>
      <w:r w:rsidRPr="0084522C">
        <w:t>;</w:t>
      </w:r>
      <w:r w:rsidR="009C0F96" w:rsidRPr="0084522C">
        <w:t xml:space="preserve"> arvestades, et kodakondsust ja demokraatiat käsitleva Eurobaromeetri 2023. aasta kiiruuringu andmetel peavad pooled vastanutest end oma õigustest ELi kodanikena hästi informeerituks;</w:t>
      </w:r>
    </w:p>
    <w:p w:rsidR="001D5A5A" w:rsidRPr="0084522C" w:rsidRDefault="001D5A5A" w:rsidP="001D5A5A">
      <w:pPr>
        <w:pStyle w:val="NormalHanging12a"/>
      </w:pPr>
      <w:r w:rsidRPr="0084522C">
        <w:t>G.</w:t>
      </w:r>
      <w:r w:rsidRPr="0084522C">
        <w:tab/>
        <w:t>arvestades, et lisaks digitaalsele revolutsioonile ning sellega seotud sotsiaalsetele ja majanduslikele muutustele on ELi kodanikud seisnud silmitsi enneolematute probleem</w:t>
      </w:r>
      <w:r w:rsidR="007F02E3" w:rsidRPr="0084522C">
        <w:t>idega, mis on tingitud COVID</w:t>
      </w:r>
      <w:r w:rsidR="007F02E3" w:rsidRPr="0084522C">
        <w:noBreakHyphen/>
        <w:t xml:space="preserve">19 </w:t>
      </w:r>
      <w:r w:rsidRPr="0084522C">
        <w:t>pandeemiast;</w:t>
      </w:r>
    </w:p>
    <w:p w:rsidR="001D5A5A" w:rsidRPr="0084522C" w:rsidRDefault="001D5A5A" w:rsidP="001D5A5A">
      <w:pPr>
        <w:pStyle w:val="NormalHanging12a"/>
        <w:shd w:val="clear" w:color="auto" w:fill="FFFFFF" w:themeFill="background1"/>
      </w:pPr>
      <w:r w:rsidRPr="0084522C">
        <w:t>H.</w:t>
      </w:r>
      <w:r w:rsidRPr="0084522C">
        <w:tab/>
        <w:t>arvestades, et olemasolevate ja tulevaste õiguste kogumine ja konsolideerimine hõlbustaks ELi kodakondsusest tulenevate õiguste ja vabaduste paremat ja teadlikumat kasutamist;</w:t>
      </w:r>
    </w:p>
    <w:p w:rsidR="001D5A5A" w:rsidRPr="0084522C" w:rsidRDefault="001D5A5A" w:rsidP="001D5A5A">
      <w:pPr>
        <w:pStyle w:val="NormalHanging12a"/>
        <w:shd w:val="clear" w:color="auto" w:fill="FFFFFF" w:themeFill="background1"/>
      </w:pPr>
      <w:r w:rsidRPr="0084522C">
        <w:t>I.</w:t>
      </w:r>
      <w:r w:rsidRPr="0084522C">
        <w:tab/>
        <w:t>arvestades, et Euroopa tuleviku konverents on konkreetne näide kodanike osalemisest liidu demokraatias; arvestades, et selle järeldused sisaldavad ettepanekuid ja meetmeid, mis kajastavad Euroopa institutsioonide ja ELi kodanike vahelist kokkulepet ELi kodakondsuse tugevdamiseks;</w:t>
      </w:r>
    </w:p>
    <w:p w:rsidR="001D5A5A" w:rsidRPr="0084522C" w:rsidRDefault="001D5A5A" w:rsidP="001D5A5A">
      <w:pPr>
        <w:pStyle w:val="NormalHanging12a"/>
        <w:shd w:val="clear" w:color="auto" w:fill="FFFFFF" w:themeFill="background1"/>
      </w:pPr>
      <w:r w:rsidRPr="0084522C">
        <w:t>J.</w:t>
      </w:r>
      <w:r w:rsidRPr="0084522C">
        <w:tab/>
        <w:t xml:space="preserve">arvestades, et olemasolevad takistused ELi kodakondsusega seotud õiguste kasutamisel tekitavad ebavõrdsust ja diskrimineerimist ELi kodanike, eelkõige liikuvate ELi kodanike ja nende pereliikmete, eelkõige laste, ELi piiriülestes piirkondades ja maapiirkondades elavate inimeste ning </w:t>
      </w:r>
      <w:r w:rsidR="0014733F" w:rsidRPr="0084522C">
        <w:t xml:space="preserve">vähekaitstud </w:t>
      </w:r>
      <w:r w:rsidRPr="0084522C">
        <w:t>ja tõrjutud rühmade liikmete, näiteks vähemuste, madala sissetulekuga isikute, kodutute, eakate, puuetega inimeste ja digitaalse tõrjutuse ohus olevate inimeste vahel;</w:t>
      </w:r>
    </w:p>
    <w:p w:rsidR="001D5A5A" w:rsidRPr="0084522C" w:rsidRDefault="001D5A5A" w:rsidP="001D5A5A">
      <w:pPr>
        <w:pStyle w:val="NormalHanging12a"/>
        <w:rPr>
          <w:rStyle w:val="y2iqfc"/>
          <w:color w:val="000000"/>
          <w:shd w:val="clear" w:color="auto" w:fill="FFFFFF"/>
        </w:rPr>
      </w:pPr>
      <w:r w:rsidRPr="0084522C">
        <w:t>K.</w:t>
      </w:r>
      <w:r w:rsidRPr="0084522C">
        <w:tab/>
        <w:t>arvesta</w:t>
      </w:r>
      <w:r w:rsidR="007F02E3" w:rsidRPr="0084522C">
        <w:t>des, et peaaegu 87 miljoni</w:t>
      </w:r>
      <w:r w:rsidR="0014733F" w:rsidRPr="0084522C">
        <w:t>l</w:t>
      </w:r>
      <w:r w:rsidR="007F02E3" w:rsidRPr="0084522C">
        <w:t xml:space="preserve"> ELi </w:t>
      </w:r>
      <w:r w:rsidRPr="0084522C">
        <w:t>kodanik</w:t>
      </w:r>
      <w:r w:rsidR="0014733F" w:rsidRPr="0084522C">
        <w:t>ul</w:t>
      </w:r>
      <w:r w:rsidRPr="0084522C">
        <w:t xml:space="preserve"> on mingi</w:t>
      </w:r>
      <w:r w:rsidR="0014733F" w:rsidRPr="0084522C">
        <w:t>t liiki puue</w:t>
      </w:r>
      <w:r w:rsidRPr="0084522C">
        <w:rPr>
          <w:rStyle w:val="FootnoteReference"/>
          <w:color w:val="000000"/>
          <w:shd w:val="clear" w:color="auto" w:fill="FFFFFF"/>
        </w:rPr>
        <w:footnoteReference w:id="24"/>
      </w:r>
      <w:r w:rsidRPr="0084522C">
        <w:t>, neil on raskusi oma kodakondsusega seotud õiguste kasutamisega ning et sellised raskused toovad mõnikord kaasa nende vaba liikumise ja elukoha õiguse otsese äravõtmise ning poliitiliste õiguste kasutamise piirangud;</w:t>
      </w:r>
    </w:p>
    <w:p w:rsidR="001D5A5A" w:rsidRPr="0084522C" w:rsidRDefault="001D5A5A" w:rsidP="001D5A5A">
      <w:pPr>
        <w:pStyle w:val="NormalHanging12a"/>
      </w:pPr>
      <w:r w:rsidRPr="0084522C">
        <w:rPr>
          <w:rStyle w:val="y2iqfc"/>
          <w:color w:val="000000"/>
          <w:shd w:val="clear" w:color="auto" w:fill="FFFFFF"/>
        </w:rPr>
        <w:t>L.</w:t>
      </w:r>
      <w:r w:rsidRPr="0084522C">
        <w:rPr>
          <w:rStyle w:val="y2iqfc"/>
          <w:color w:val="000000"/>
          <w:shd w:val="clear" w:color="auto" w:fill="FFFFFF"/>
        </w:rPr>
        <w:tab/>
      </w:r>
      <w:r w:rsidRPr="0084522C">
        <w:t>arvestades, et mõned liikmesriigid pakuvad endiselt kuldseid viisasid ehk investoritele elamisloa andmise kavasid kodakondsuse ja seeläbi ELi kodakondsuse saamise vahendina;</w:t>
      </w:r>
    </w:p>
    <w:p w:rsidR="001D5A5A" w:rsidRPr="0084522C" w:rsidRDefault="001D5A5A" w:rsidP="007F02E3">
      <w:pPr>
        <w:pStyle w:val="NormalHanging12a"/>
        <w:keepNext/>
        <w:keepLines/>
        <w:ind w:left="0" w:firstLine="0"/>
        <w:rPr>
          <w:b/>
          <w:i/>
        </w:rPr>
      </w:pPr>
      <w:r w:rsidRPr="0084522C">
        <w:rPr>
          <w:b/>
          <w:i/>
        </w:rPr>
        <w:t>Sissejuhatus</w:t>
      </w:r>
    </w:p>
    <w:p w:rsidR="001D5A5A" w:rsidRPr="0084522C" w:rsidRDefault="001D5A5A" w:rsidP="001D5A5A">
      <w:pPr>
        <w:pStyle w:val="NormalHanging12a"/>
      </w:pPr>
      <w:r w:rsidRPr="0084522C">
        <w:t>1.</w:t>
      </w:r>
      <w:r w:rsidRPr="0084522C">
        <w:tab/>
        <w:t>on seisukohal, et ELi kodakondsus hõlmab jagatud ja ühist Euroopa demokraatlikku identiteeti ning sellega seotud konkreetseid õigusi, kodanikukohustusi ja vabadusi ning et selliste õiguste kasutamine nii internetis kui ka väljaspool seda tugevdab kodanike sidet ELiga ja selle demokraatlikku legitiimsust ning annab neile täiendavaid õigusi;</w:t>
      </w:r>
    </w:p>
    <w:p w:rsidR="001D5A5A" w:rsidRPr="0084522C" w:rsidRDefault="001D5A5A" w:rsidP="001D5A5A">
      <w:pPr>
        <w:pStyle w:val="NormalHanging12a"/>
      </w:pPr>
      <w:r w:rsidRPr="0084522C">
        <w:t>2.</w:t>
      </w:r>
      <w:r w:rsidRPr="0084522C">
        <w:tab/>
        <w:t xml:space="preserve">juhib tähelepanu sellele, et ELi kodakondsuse ülesehitamisel tuleb liikuda edasi, et </w:t>
      </w:r>
      <w:r w:rsidRPr="0084522C">
        <w:lastRenderedPageBreak/>
        <w:t xml:space="preserve">vastata ELi 21. sajandi vajadustele ning hakkama saada uute probleemidega, tunnistades digitaalse innovatsiooni potentsiaali ja vajadust tasakaalustatud lähenemise järele, et tegeleda üleilmastumisest ja uutest tehnoloogiatest tuleneva keerukusega; rõhutab, et demokraatlike protsesside </w:t>
      </w:r>
      <w:proofErr w:type="spellStart"/>
      <w:r w:rsidRPr="0084522C">
        <w:t>digiteerimine</w:t>
      </w:r>
      <w:proofErr w:type="spellEnd"/>
      <w:r w:rsidRPr="0084522C">
        <w:t xml:space="preserve"> koos ebapiisava digitaalse kirjaoskuse ning info- ja kommunikatsioonitehnoloogiale juurdepääsuga võib süvendada suurenevat digitaalsele lõhet kodanikuõiguste kasutamisel, jättes osa avalikkusest Euroopa projektist eemale;</w:t>
      </w:r>
    </w:p>
    <w:p w:rsidR="001D5A5A" w:rsidRPr="0084522C" w:rsidRDefault="001D5A5A" w:rsidP="001D5A5A">
      <w:pPr>
        <w:pStyle w:val="NormalHanging12a"/>
        <w:rPr>
          <w:rStyle w:val="doceo-font-family-base"/>
          <w:rFonts w:eastAsiaTheme="minorHAnsi"/>
          <w:b/>
          <w:i/>
        </w:rPr>
      </w:pPr>
      <w:r w:rsidRPr="0084522C">
        <w:rPr>
          <w:rStyle w:val="doceo-font-family-base"/>
        </w:rPr>
        <w:t>3.</w:t>
      </w:r>
      <w:r w:rsidRPr="0084522C">
        <w:rPr>
          <w:rStyle w:val="doceo-font-family-base"/>
        </w:rPr>
        <w:tab/>
        <w:t xml:space="preserve">on seisukohal, et </w:t>
      </w:r>
      <w:proofErr w:type="spellStart"/>
      <w:r w:rsidRPr="0084522C">
        <w:rPr>
          <w:rStyle w:val="doceo-font-family-base"/>
        </w:rPr>
        <w:t>mitmekeelsus</w:t>
      </w:r>
      <w:proofErr w:type="spellEnd"/>
      <w:r w:rsidRPr="0084522C">
        <w:rPr>
          <w:rStyle w:val="doceo-font-family-base"/>
        </w:rPr>
        <w:t xml:space="preserve"> institutsioonides ja nende suhtluses ELi kodanikega on ELi kodakondsuse mõiste tugevdamise oluline aspekt; rõhutab sellega seoses, et nõukogu 13. juuni 2005. aasta järeldustes nähti ette, et ELi kodanikud võivad kasutada ELi institutsioonidega suhtlemisel ELi mitteametlikke keeli, mida tunnustatakse liikmesriigis või selle territooriumi mõnes osas, samuti võivad nad kasutada neid ametlikult ELi institutsioonides või organites, sealhulgas Euroopa Parlamendis;</w:t>
      </w:r>
      <w:r w:rsidRPr="0084522C">
        <w:rPr>
          <w:rStyle w:val="doceo-font-family-base"/>
          <w:b/>
          <w:i/>
        </w:rPr>
        <w:t xml:space="preserve"> </w:t>
      </w:r>
    </w:p>
    <w:p w:rsidR="001D5A5A" w:rsidRPr="0084522C" w:rsidRDefault="001D5A5A" w:rsidP="001D5A5A">
      <w:pPr>
        <w:pStyle w:val="NormalHanging12a"/>
        <w:rPr>
          <w:rStyle w:val="doceo-font-family-base"/>
        </w:rPr>
      </w:pPr>
      <w:r w:rsidRPr="0084522C">
        <w:rPr>
          <w:rStyle w:val="doceo-font-family-base"/>
        </w:rPr>
        <w:t>4.</w:t>
      </w:r>
      <w:r w:rsidRPr="0084522C">
        <w:rPr>
          <w:rStyle w:val="doceo-font-family-base"/>
        </w:rPr>
        <w:tab/>
      </w:r>
      <w:r w:rsidR="007F02E3" w:rsidRPr="0084522C">
        <w:t xml:space="preserve">tuletab meelde, et Euroopa </w:t>
      </w:r>
      <w:r w:rsidRPr="0084522C">
        <w:t xml:space="preserve">Parlament nõudis ELi kodakondsuse põhikirja loomist oma 12. veebruari 2019. aasta resolutsioonis aluslepingute nende sätete rakendamise kohta, mis käsitlevad ELi kodakondsust, ja oma 10. märtsi 2022. aasta resolutsioon 2020. aasta ELi kodakondsuse ning kodanike </w:t>
      </w:r>
      <w:proofErr w:type="spellStart"/>
      <w:r w:rsidRPr="0084522C">
        <w:t>võimestamise</w:t>
      </w:r>
      <w:proofErr w:type="spellEnd"/>
      <w:r w:rsidRPr="0084522C">
        <w:t xml:space="preserve"> ja nende õiguste kaitsmise aruande kohta;</w:t>
      </w:r>
      <w:r w:rsidRPr="0084522C">
        <w:rPr>
          <w:rStyle w:val="doceo-font-family-base"/>
        </w:rPr>
        <w:t xml:space="preserve"> </w:t>
      </w:r>
      <w:r w:rsidRPr="0084522C">
        <w:t>tuletab meelde, et Euroopa tuleviku konverents on rõhutanud ELi kodakondsuse tugevdamise tähtsust, mainides oma järeldustes, et selline põhikiri oleks kasulik vahend ELi põhimõtete ja väärtuste konkreetsemaks muutmisel;</w:t>
      </w:r>
    </w:p>
    <w:p w:rsidR="001D5A5A" w:rsidRPr="0084522C" w:rsidRDefault="001D5A5A" w:rsidP="001D5A5A">
      <w:pPr>
        <w:pStyle w:val="NormalHanging12a"/>
      </w:pPr>
      <w:r w:rsidRPr="0084522C">
        <w:t>5.</w:t>
      </w:r>
      <w:r w:rsidRPr="0084522C">
        <w:tab/>
        <w:t>avaldab kahetsust, et komisjon ei maininud oma teatises, mis järgnes Euroopa tuleviku konverentsile, konkreetselt ELi kodakondsuse tugevdamist ja võimalikke viise selle saavutamiseks</w:t>
      </w:r>
      <w:r w:rsidRPr="0084522C">
        <w:rPr>
          <w:rStyle w:val="FootnoteReference"/>
          <w:bCs/>
        </w:rPr>
        <w:footnoteReference w:id="25"/>
      </w:r>
      <w:r w:rsidRPr="0084522C">
        <w:t>; tuletab meelde, et nõukogu näitas valmisolekut tugevdada kodakondsust oma tehnilises hinnangus, mille ta avaldas seoses Euroopa tuleviku konverentsiga, kuid ei ole välja pakkunud, võtnud ega rakendanud meetmeid selle eesmärgi saavutamiseks;</w:t>
      </w:r>
    </w:p>
    <w:p w:rsidR="001D5A5A" w:rsidRPr="0084522C" w:rsidRDefault="001D5A5A" w:rsidP="001D5A5A">
      <w:pPr>
        <w:pStyle w:val="NormalHanging12a"/>
      </w:pPr>
      <w:r w:rsidRPr="0084522C">
        <w:t>6.</w:t>
      </w:r>
      <w:r w:rsidRPr="0084522C">
        <w:tab/>
        <w:t>tuletab meelde, et komisjon avaldab enne aasta lõppu 2023. aasta ELi kodakondsuse aruande, ja eeldab, et selles tehakse ettepanekuid uute algatuste kohta ELi kodakondsuse tugevdamiseks ja selle rakendamisel esinevate puuduste kõrvaldamiseks; avaldab kahetsust, et seekord on komisjon otsustanud avaldada üleskutse tõendite esitamiseks, mitte avalikule konsultatsioonile nagu varasematel aastatel; tuletab meelde, et tõendite esitamise üleskutse tulemused ei sisalda põhjalikku ülevaadet viimastest arengusuundadest ja rakendamisel esinevatest puudustest; rõhutab, et aruanne tuleks koostada ajakohastatud andmete põhjal;</w:t>
      </w:r>
    </w:p>
    <w:p w:rsidR="001D5A5A" w:rsidRPr="0084522C" w:rsidRDefault="007F02E3" w:rsidP="007F02E3">
      <w:pPr>
        <w:pStyle w:val="NormalHanging12a"/>
        <w:keepNext/>
        <w:keepLines/>
        <w:ind w:left="0" w:firstLine="0"/>
        <w:rPr>
          <w:b/>
          <w:i/>
        </w:rPr>
      </w:pPr>
      <w:r w:rsidRPr="0084522C">
        <w:rPr>
          <w:b/>
          <w:i/>
        </w:rPr>
        <w:t xml:space="preserve">ELi </w:t>
      </w:r>
      <w:r w:rsidR="001D5A5A" w:rsidRPr="0084522C">
        <w:rPr>
          <w:b/>
          <w:i/>
        </w:rPr>
        <w:t>kodakondsusega seotud probleemid</w:t>
      </w:r>
    </w:p>
    <w:p w:rsidR="001D5A5A" w:rsidRPr="0084522C" w:rsidRDefault="001D5A5A" w:rsidP="001D5A5A">
      <w:pPr>
        <w:pStyle w:val="NormalHanging12a"/>
        <w:rPr>
          <w:bCs/>
        </w:rPr>
      </w:pPr>
      <w:r w:rsidRPr="0084522C">
        <w:t>7.</w:t>
      </w:r>
      <w:r w:rsidRPr="0084522C">
        <w:tab/>
        <w:t>tunneb muret konkreetsete raskuste pärast, mis takistavad ELi kodakondsusest tulenevate õiguste ja vabaduste täielikku kasutamist;</w:t>
      </w:r>
    </w:p>
    <w:p w:rsidR="001D5A5A" w:rsidRPr="0084522C" w:rsidRDefault="001D5A5A" w:rsidP="007F02E3">
      <w:pPr>
        <w:pStyle w:val="NormalHanging12a"/>
        <w:keepNext/>
        <w:keepLines/>
        <w:ind w:left="0" w:firstLine="0"/>
        <w:rPr>
          <w:b/>
          <w:i/>
        </w:rPr>
      </w:pPr>
      <w:r w:rsidRPr="0084522C">
        <w:rPr>
          <w:b/>
          <w:i/>
        </w:rPr>
        <w:t>Poliitilised õigused</w:t>
      </w:r>
    </w:p>
    <w:p w:rsidR="001D5A5A" w:rsidRPr="0084522C" w:rsidRDefault="001D5A5A" w:rsidP="001D5A5A">
      <w:pPr>
        <w:pStyle w:val="NormalHanging12a"/>
        <w:rPr>
          <w:rStyle w:val="y2iqfc"/>
        </w:rPr>
      </w:pPr>
      <w:r w:rsidRPr="0084522C">
        <w:rPr>
          <w:rStyle w:val="y2iqfc"/>
        </w:rPr>
        <w:t>8.</w:t>
      </w:r>
      <w:r w:rsidRPr="0084522C">
        <w:rPr>
          <w:rStyle w:val="y2iqfc"/>
        </w:rPr>
        <w:tab/>
        <w:t>peab kahetsusväärseks, et liikuvad kodanikud kasutavad oma elukohaliikmesriigis vähem oma õigust hä</w:t>
      </w:r>
      <w:r w:rsidR="007F02E3" w:rsidRPr="0084522C">
        <w:rPr>
          <w:rStyle w:val="y2iqfc"/>
        </w:rPr>
        <w:t xml:space="preserve">äletada ja kandideerida Euroopa </w:t>
      </w:r>
      <w:r w:rsidRPr="0084522C">
        <w:rPr>
          <w:rStyle w:val="y2iqfc"/>
        </w:rPr>
        <w:t xml:space="preserve">Parlamendi ja kohalike </w:t>
      </w:r>
      <w:r w:rsidRPr="0084522C">
        <w:rPr>
          <w:rStyle w:val="y2iqfc"/>
        </w:rPr>
        <w:lastRenderedPageBreak/>
        <w:t>omavalitsuste valimistel, mille põhjuseks on muu hulgas ebapiisav teave, keelebarjäärid, raskused valimisteks registreerimisel ja mittekodanikest kandidaatide vähene edukus;</w:t>
      </w:r>
    </w:p>
    <w:p w:rsidR="001D5A5A" w:rsidRPr="0084522C" w:rsidRDefault="001D5A5A" w:rsidP="001D5A5A">
      <w:pPr>
        <w:pStyle w:val="NormalHanging12a"/>
      </w:pPr>
      <w:r w:rsidRPr="0084522C">
        <w:t>9.</w:t>
      </w:r>
      <w:r w:rsidRPr="0084522C">
        <w:tab/>
        <w:t>on väga mures teatud liikmesriikide praktika pärast, millega jäetakse nende kodanikud, kes elavad alaliselt või ajutiselt välismaal, ilma õigusest hääletada riiklikel parlamendivalimistel, mis toob kaasa nende tõrjutuse poliitilisest elust nii nende päritoluriigis kui ka nende elukohariigis;</w:t>
      </w:r>
      <w:r w:rsidRPr="0084522C">
        <w:rPr>
          <w:b/>
          <w:i/>
        </w:rPr>
        <w:t xml:space="preserve"> </w:t>
      </w:r>
    </w:p>
    <w:p w:rsidR="001D5A5A" w:rsidRPr="0084522C" w:rsidRDefault="001D5A5A" w:rsidP="007F02E3">
      <w:pPr>
        <w:pStyle w:val="NormalHanging12a"/>
        <w:keepNext/>
        <w:keepLines/>
        <w:ind w:left="0" w:firstLine="0"/>
        <w:rPr>
          <w:b/>
          <w:i/>
        </w:rPr>
      </w:pPr>
      <w:r w:rsidRPr="0084522C">
        <w:rPr>
          <w:b/>
          <w:i/>
        </w:rPr>
        <w:t>Liikumis- ja elukohavabadus</w:t>
      </w:r>
    </w:p>
    <w:p w:rsidR="001D5A5A" w:rsidRPr="0084522C" w:rsidRDefault="001D5A5A" w:rsidP="001D5A5A">
      <w:pPr>
        <w:pStyle w:val="NormalHanging12a"/>
      </w:pPr>
      <w:r w:rsidRPr="0084522C">
        <w:t>10.</w:t>
      </w:r>
      <w:r w:rsidRPr="0084522C">
        <w:rPr>
          <w:b/>
          <w:i/>
        </w:rPr>
        <w:tab/>
      </w:r>
      <w:r w:rsidRPr="0084522C">
        <w:t>rõhutab, et Schengeni ala on üks ELi suurimaid saavutusi; rõhutab, et kõik liikumisvabaduse tõkked ELis tuleks kõrvaldada, et tagada kõigile Euroopa kodanikele võrdsed ELi kodakondsusega seotud õigused; nõuab Rumeenia ja Bulgaaria ühinemist Sc</w:t>
      </w:r>
      <w:r w:rsidR="007F02E3" w:rsidRPr="0084522C">
        <w:t xml:space="preserve">hengeni alaga kooskõlas Euroopa </w:t>
      </w:r>
      <w:r w:rsidRPr="0084522C">
        <w:t>Parlamendi resolutsioonidega;</w:t>
      </w:r>
    </w:p>
    <w:p w:rsidR="001D5A5A" w:rsidRPr="0084522C" w:rsidRDefault="001D5A5A" w:rsidP="001D5A5A">
      <w:pPr>
        <w:pStyle w:val="NormalHanging12a"/>
        <w:rPr>
          <w:b/>
          <w:i/>
        </w:rPr>
      </w:pPr>
      <w:r w:rsidRPr="0084522C">
        <w:t>11.</w:t>
      </w:r>
      <w:r w:rsidRPr="0084522C">
        <w:tab/>
        <w:t xml:space="preserve">on mures selle pärast, et liikuvaid ELi kodanikke, eriti neid, kes kuuluvad </w:t>
      </w:r>
      <w:r w:rsidR="0014733F" w:rsidRPr="0084522C">
        <w:t xml:space="preserve">vähekaitstud </w:t>
      </w:r>
      <w:r w:rsidRPr="0084522C">
        <w:t xml:space="preserve">rühmadesse, koheldakse nende elukohaliikmesriikides </w:t>
      </w:r>
      <w:r w:rsidRPr="0084522C">
        <w:rPr>
          <w:rStyle w:val="y2iqfc"/>
        </w:rPr>
        <w:t xml:space="preserve">hüvedele juurdepääsu andmisel erinevalt nende liikmesriikide kodanikest; </w:t>
      </w:r>
      <w:r w:rsidRPr="0084522C">
        <w:t>kutsub liikmesriike üles rakendama nõuetekohaselt Euroopa Liidu Kohtu praktikat, millega selline diskrimineerimine keelatakse;</w:t>
      </w:r>
      <w:r w:rsidRPr="0084522C">
        <w:rPr>
          <w:b/>
          <w:i/>
        </w:rPr>
        <w:t xml:space="preserve"> </w:t>
      </w:r>
    </w:p>
    <w:p w:rsidR="001D5A5A" w:rsidRPr="0084522C" w:rsidRDefault="001D5A5A" w:rsidP="001D5A5A">
      <w:pPr>
        <w:pStyle w:val="NormalHanging12a"/>
      </w:pPr>
      <w:r w:rsidRPr="0084522C">
        <w:t>12.</w:t>
      </w:r>
      <w:r w:rsidRPr="0084522C">
        <w:rPr>
          <w:b/>
          <w:i/>
        </w:rPr>
        <w:tab/>
      </w:r>
      <w:r w:rsidRPr="0084522C">
        <w:t>tunneb muret raskuste ja probleemide pärast, millega seisavad silmitsi ELi piiriülestes piirkondades elavad kodanikud, eriti piiride sulgemise korral kogu ELi hõlmavate või piirkondlike kriiside tõttu; kutsub sellistel juhtudel liikmesriike üles jätkama piiriülest koostööd ja vajaduse korral tihedat koostööd asjaomaste kohalike ja piirkondlike omavalitsustega;</w:t>
      </w:r>
    </w:p>
    <w:p w:rsidR="001D5A5A" w:rsidRPr="0084522C" w:rsidRDefault="001D5A5A" w:rsidP="007F02E3">
      <w:pPr>
        <w:pStyle w:val="NormalHanging12a"/>
        <w:keepNext/>
        <w:keepLines/>
        <w:ind w:left="0" w:firstLine="0"/>
        <w:rPr>
          <w:b/>
          <w:i/>
        </w:rPr>
      </w:pPr>
      <w:r w:rsidRPr="0084522C">
        <w:rPr>
          <w:b/>
          <w:i/>
        </w:rPr>
        <w:t>Konsulaarkaitse</w:t>
      </w:r>
    </w:p>
    <w:p w:rsidR="001D5A5A" w:rsidRPr="0084522C" w:rsidRDefault="001D5A5A" w:rsidP="001D5A5A">
      <w:pPr>
        <w:pStyle w:val="NormalHanging12a"/>
      </w:pPr>
      <w:r w:rsidRPr="0084522C">
        <w:t>13.</w:t>
      </w:r>
      <w:r w:rsidRPr="0084522C">
        <w:tab/>
        <w:t>on mures puuduste pärast konsulaarkaitse direktiivi rakendamisel ja liikmesriikide konsulaarvõrkude toimimises, märkides, et need on pärast Ühendkuningriigi EList lahkumist suurenenud; taunib sellega seoses asjaolu, et ELi kodanikel on piiratud juurdepääs konsulaarkaitsele ja -abile mõnes kolmandas riigis;</w:t>
      </w:r>
    </w:p>
    <w:p w:rsidR="001D5A5A" w:rsidRPr="0084522C" w:rsidRDefault="001D5A5A" w:rsidP="001D5A5A">
      <w:pPr>
        <w:pStyle w:val="NormalHanging12a"/>
      </w:pPr>
      <w:r w:rsidRPr="0084522C">
        <w:t>14.</w:t>
      </w:r>
      <w:r w:rsidRPr="0084522C">
        <w:tab/>
        <w:t>juhib tähelepanu sellele, et on esinenud juhtumeid, kus kaks inimest, kes on kahe eri liikmesriigi kodanikud, ei ole saanud täita teatud formaalsusi, näiteks abielluda ühe liikmesriigi konsulaaresinduses, isegi kui teisel liikmesriigil ei ole konsulaaresindust selles riigis;</w:t>
      </w:r>
    </w:p>
    <w:p w:rsidR="001D5A5A" w:rsidRPr="0084522C" w:rsidRDefault="001D5A5A" w:rsidP="007F02E3">
      <w:pPr>
        <w:pStyle w:val="NormalHanging12a"/>
        <w:keepNext/>
        <w:keepLines/>
        <w:ind w:left="0" w:firstLine="0"/>
        <w:rPr>
          <w:b/>
          <w:i/>
        </w:rPr>
      </w:pPr>
      <w:r w:rsidRPr="0084522C">
        <w:rPr>
          <w:b/>
          <w:i/>
        </w:rPr>
        <w:t>Diskrimineerimine</w:t>
      </w:r>
    </w:p>
    <w:p w:rsidR="001D5A5A" w:rsidRPr="0084522C" w:rsidRDefault="001D5A5A" w:rsidP="001D5A5A">
      <w:pPr>
        <w:pStyle w:val="NormalHanging12a"/>
      </w:pPr>
      <w:r w:rsidRPr="0084522C">
        <w:t>15.</w:t>
      </w:r>
      <w:r w:rsidRPr="0084522C">
        <w:tab/>
        <w:t xml:space="preserve">on seisukohal, et liikmesriikide kodakondsuse omandamist ja kaotamist käsitlevate </w:t>
      </w:r>
      <w:r w:rsidR="0014733F" w:rsidRPr="0084522C">
        <w:t xml:space="preserve">normide </w:t>
      </w:r>
      <w:r w:rsidRPr="0084522C">
        <w:t>ebaühtlus on põhjustanud erinevusi ELi kodakondsuse omandamise ja kaotamise küsimuses ning et need erinevused on mõnel juhul viinud ELi põhimõtete ja väärtuste rikkumiseni;</w:t>
      </w:r>
    </w:p>
    <w:p w:rsidR="001D5A5A" w:rsidRPr="0084522C" w:rsidRDefault="001D5A5A" w:rsidP="001D5A5A">
      <w:pPr>
        <w:pStyle w:val="NormalHanging12a"/>
      </w:pPr>
      <w:r w:rsidRPr="0084522C">
        <w:t>16.</w:t>
      </w:r>
      <w:r w:rsidRPr="0084522C">
        <w:tab/>
        <w:t xml:space="preserve">rõhutab, et endiselt on mitmeid juhtumeid, kus keeldutakse tuletatud elamisõiguse andmisest kolmandate riikide kodanikele, kelle alaealised ülalpeetavad on ELi kodanikud, hoolimata arengutendentsidest Euroopa Liidu Kohtu praktikas; </w:t>
      </w:r>
    </w:p>
    <w:p w:rsidR="001D5A5A" w:rsidRPr="0084522C" w:rsidRDefault="001D5A5A" w:rsidP="001D5A5A">
      <w:pPr>
        <w:pStyle w:val="NormalHanging12a"/>
      </w:pPr>
      <w:r w:rsidRPr="0084522C">
        <w:t>17.</w:t>
      </w:r>
      <w:r w:rsidRPr="0084522C">
        <w:rPr>
          <w:b/>
        </w:rPr>
        <w:tab/>
      </w:r>
      <w:r w:rsidRPr="0084522C">
        <w:t xml:space="preserve">kordab oma muret samasooliste paaride ja nende laste diskrimineerimise pärast, kui nad </w:t>
      </w:r>
      <w:r w:rsidRPr="0084522C">
        <w:lastRenderedPageBreak/>
        <w:t xml:space="preserve">kasutavad oma põhiõigust liikumisvabadusele ELis; </w:t>
      </w:r>
    </w:p>
    <w:p w:rsidR="001D5A5A" w:rsidRPr="0084522C" w:rsidRDefault="001D5A5A" w:rsidP="007F02E3">
      <w:pPr>
        <w:pStyle w:val="NormalHanging12a"/>
        <w:keepNext/>
        <w:keepLines/>
        <w:ind w:left="0" w:firstLine="0"/>
        <w:rPr>
          <w:b/>
          <w:i/>
        </w:rPr>
      </w:pPr>
      <w:r w:rsidRPr="0084522C">
        <w:rPr>
          <w:b/>
          <w:i/>
        </w:rPr>
        <w:t>Soovitused</w:t>
      </w:r>
    </w:p>
    <w:p w:rsidR="001D5A5A" w:rsidRPr="0084522C" w:rsidRDefault="001D5A5A" w:rsidP="001D5A5A">
      <w:pPr>
        <w:pStyle w:val="NormalHanging12a"/>
      </w:pPr>
      <w:r w:rsidRPr="0084522C">
        <w:t>18.</w:t>
      </w:r>
      <w:r w:rsidRPr="0084522C">
        <w:tab/>
        <w:t>kutsub liikmesriike ning piirkondlikke ja kohalikke omavalitsusi üles täielikult rakendama kehtivaid direktiive liikuvate kodanike õiguste kohta ning tegelema kiiresti erinevate olemasolevate puudujääkidega, pid</w:t>
      </w:r>
      <w:r w:rsidR="007F02E3" w:rsidRPr="0084522C">
        <w:t xml:space="preserve">ades silmas eelseisvaid Euroopa </w:t>
      </w:r>
      <w:r w:rsidRPr="0084522C">
        <w:t>Parlamendi valimisi; nõuab sihipäraste teadlikkuse suurendamise kampaaniate korraldamist elukohariigis, et teavitada liikuvaid ELi kodanikke nende õigusest hä</w:t>
      </w:r>
      <w:r w:rsidR="007F02E3" w:rsidRPr="0084522C">
        <w:t xml:space="preserve">äletada ja kandideerida Euroopa </w:t>
      </w:r>
      <w:r w:rsidRPr="0084522C">
        <w:t>Parlamendi ja kohalikel valimistel selles riigis; kordab oma üleskutset laiendada liikuvate kodanike õigusi riiklikele ja piirkondlikele valimistele;</w:t>
      </w:r>
    </w:p>
    <w:p w:rsidR="001D5A5A" w:rsidRPr="0084522C" w:rsidRDefault="001D5A5A" w:rsidP="001D5A5A">
      <w:pPr>
        <w:pStyle w:val="NormalHanging12a"/>
      </w:pPr>
      <w:r w:rsidRPr="0084522C">
        <w:t>19.</w:t>
      </w:r>
      <w:r w:rsidRPr="0084522C">
        <w:tab/>
        <w:t xml:space="preserve">kutsub liikmesriike üles tagama oma väljarännanud kodanike õigust hääletada oma päritoluriigis, kui seda õigust tunnistatakse, luues regulatiivsed tingimused, mis võimaldavad neil hääletada, ning kõrvaldades kõik bürokraatlikud takistused, mis takistavad selle õiguse kasutamist ja muudavad selle mõnikord võimatuks; kutsub eelkõige liikmesriike üles tagama võrdselt sellised õigused ja kaotama oma kodumaalt lahkunud kodanike vahel mis tahes erineva kohtlemise </w:t>
      </w:r>
      <w:proofErr w:type="spellStart"/>
      <w:r w:rsidRPr="0084522C">
        <w:t>kaughääletamise</w:t>
      </w:r>
      <w:proofErr w:type="spellEnd"/>
      <w:r w:rsidRPr="0084522C">
        <w:t>, eelkõige kirja teel hääletamise puhul, kui see on asjakohane; nõuab väljaspool ELi elavate ELi kodanike hääleõig</w:t>
      </w:r>
      <w:r w:rsidR="007F02E3" w:rsidRPr="0084522C">
        <w:t xml:space="preserve">use ühetaolist tagamist Euroopa </w:t>
      </w:r>
      <w:r w:rsidRPr="0084522C">
        <w:t>Parlamendi valimistel;</w:t>
      </w:r>
    </w:p>
    <w:p w:rsidR="001D5A5A" w:rsidRPr="0084522C" w:rsidRDefault="001D5A5A" w:rsidP="001D5A5A">
      <w:pPr>
        <w:pStyle w:val="NormalHanging12a"/>
      </w:pPr>
      <w:r w:rsidRPr="0084522C">
        <w:t>20.</w:t>
      </w:r>
      <w:r w:rsidRPr="0084522C">
        <w:tab/>
        <w:t>kutsub komisjoni üles võtma vastu uue teatise, et selgitada teatud põhimõisteid, mis sisalduvad direktiivis 2</w:t>
      </w:r>
      <w:r w:rsidR="007F02E3" w:rsidRPr="0084522C">
        <w:t xml:space="preserve">004/38/EÜ, mis käsitleb Euroopa </w:t>
      </w:r>
      <w:r w:rsidRPr="0084522C">
        <w:t>Liidu kodanike ja nende pereliikmete õigust liikuda ja elada vabalt liikmesriikide territooriumil, et anda liikmesriikidele ajakohastatud suunised, mis võiksid aidata kaasa direktiivi rakendamisele riiklikul tasandil, millest saaksid kasu ELi kodanikud ja nende pereliikmed;</w:t>
      </w:r>
    </w:p>
    <w:p w:rsidR="001D5A5A" w:rsidRPr="0084522C" w:rsidRDefault="001D5A5A" w:rsidP="001D5A5A">
      <w:pPr>
        <w:pStyle w:val="NormalHanging12a"/>
      </w:pPr>
      <w:r w:rsidRPr="0084522C">
        <w:t>21.</w:t>
      </w:r>
      <w:r w:rsidRPr="0084522C">
        <w:tab/>
        <w:t xml:space="preserve">kutsub ELi üles edendama siduva Euroopa digitaalõiguste harta, sealhulgas digitaalse kodakondsuse seotud õiguste vastuvõtmist, tuginedes Euroopa digitaalõiguste deklaratsioonile ja </w:t>
      </w:r>
      <w:proofErr w:type="spellStart"/>
      <w:r w:rsidRPr="0084522C">
        <w:t>digikümnendi</w:t>
      </w:r>
      <w:proofErr w:type="spellEnd"/>
      <w:r w:rsidRPr="0084522C">
        <w:t xml:space="preserve"> põhimõtetele;</w:t>
      </w:r>
    </w:p>
    <w:p w:rsidR="001D5A5A" w:rsidRPr="0084522C" w:rsidRDefault="001D5A5A" w:rsidP="001D5A5A">
      <w:pPr>
        <w:pStyle w:val="NormalHanging12a"/>
      </w:pPr>
      <w:r w:rsidRPr="0084522C">
        <w:t>22.</w:t>
      </w:r>
      <w:r w:rsidRPr="0084522C">
        <w:tab/>
      </w:r>
      <w:r w:rsidR="009C0F96" w:rsidRPr="0084522C">
        <w:t xml:space="preserve">väljendab heameelt </w:t>
      </w:r>
      <w:r w:rsidRPr="0084522C">
        <w:t>komisjoni ettepaneku</w:t>
      </w:r>
      <w:r w:rsidR="009C0F96" w:rsidRPr="0084522C">
        <w:t xml:space="preserve"> üle ajakohastada ja parandada</w:t>
      </w:r>
      <w:r w:rsidRPr="0084522C">
        <w:t xml:space="preserve"> konsulaarkaitse direktiivi</w:t>
      </w:r>
      <w:r w:rsidR="009C0F96" w:rsidRPr="0084522C">
        <w:t>, et tugevdada ELi kodanike õigust konsulaarkaitsele, eelkõige kriisiolukordades,</w:t>
      </w:r>
      <w:r w:rsidRPr="0084522C">
        <w:t xml:space="preserve"> sealhulgas andes ELi delegatsioonidele aktiivsema rolli alaesindatud ELi kodanike abistamisel;</w:t>
      </w:r>
    </w:p>
    <w:p w:rsidR="001D5A5A" w:rsidRPr="0084522C" w:rsidRDefault="001D5A5A" w:rsidP="001D5A5A">
      <w:pPr>
        <w:pStyle w:val="NormalHanging12a"/>
      </w:pPr>
      <w:r w:rsidRPr="0084522C">
        <w:t>23.</w:t>
      </w:r>
      <w:r w:rsidRPr="0084522C">
        <w:tab/>
        <w:t>kutsub liikmesriike üles lõpetama investoritele elamisloa andmise kava programmid ja investeerimiskavad ning muud sarnased riiklikud kavad, mis viivad kodakondsuse omandamiseni ja hõlmavad ELi kodakondsuse otsest või kaudset müüki ja kuritarvitamist, kuna need õõnestavad ELi kodakondsuse kontseptsiooni ning rikuvad ELi põhimõtteid ja väärtusi; nõuab tungivalt, et liikmesriigid kaitseksid ELi kodakondsuse terviklikkust ja väärtust; kutsub komisjoni üles võtma mis tahes vajalikke meetmeid, näiteks suunama asjaomased liikmesriigid Euroopa Liidu Kohtusse;</w:t>
      </w:r>
    </w:p>
    <w:p w:rsidR="001D5A5A" w:rsidRPr="0084522C" w:rsidRDefault="001D5A5A" w:rsidP="001D5A5A">
      <w:pPr>
        <w:pStyle w:val="NormalHanging12a"/>
      </w:pPr>
      <w:r w:rsidRPr="0084522C">
        <w:t>24.</w:t>
      </w:r>
      <w:r w:rsidRPr="0084522C">
        <w:rPr>
          <w:b/>
          <w:i/>
        </w:rPr>
        <w:tab/>
      </w:r>
      <w:r w:rsidRPr="0084522C">
        <w:t>nõuab aluslepingute järgmise l</w:t>
      </w:r>
      <w:r w:rsidR="007F02E3" w:rsidRPr="0084522C">
        <w:t xml:space="preserve">äbivaatamise raames, et Euroopa </w:t>
      </w:r>
      <w:r w:rsidRPr="0084522C">
        <w:t xml:space="preserve">Parlament ja nõukogu saaksid seadusandliku tavamenetluse kohaselt vastu võtta </w:t>
      </w:r>
      <w:proofErr w:type="spellStart"/>
      <w:r w:rsidRPr="0084522C">
        <w:t>ühissätted</w:t>
      </w:r>
      <w:proofErr w:type="spellEnd"/>
      <w:r w:rsidRPr="0084522C">
        <w:t xml:space="preserve"> passide müügi või kolmandate riikide kodanike poolt ELi kodakondsuse omandamise ja kaotamisega seotud muude kuritarvituste vältimise kohta, et ühtlustada kodakondsuse saamise tingimusi;</w:t>
      </w:r>
    </w:p>
    <w:p w:rsidR="001D5A5A" w:rsidRPr="0084522C" w:rsidRDefault="001D5A5A" w:rsidP="001D5A5A">
      <w:pPr>
        <w:pStyle w:val="NormalHanging12a"/>
      </w:pPr>
      <w:r w:rsidRPr="0084522C">
        <w:lastRenderedPageBreak/>
        <w:t>25.</w:t>
      </w:r>
      <w:r w:rsidRPr="0084522C">
        <w:tab/>
        <w:t>kutsub liikmesriike ja asjaomaseid ametiasutusi üles kohandama olemasolevaid koolide õppekavasid või looma uusi õppekavasid</w:t>
      </w:r>
      <w:r w:rsidR="007F02E3" w:rsidRPr="0084522C">
        <w:t xml:space="preserve">, et õpetada Euroopa ja Euroopa </w:t>
      </w:r>
      <w:r w:rsidRPr="0084522C">
        <w:t xml:space="preserve">Liidu ajalugu ja toimimist, edendamaks kodanikuaktiivsust ja ühiseid Euroopa väärtusi ning suurendamaks teadlikkust eurooplaseks ja ELi kodanikuks olemise lisaväärtusest; rõhutab, et kodanikuhariduse Euroopa mõõtme tugevdamine ja kõigile võrdse juurdepääsu tagamine, sealhulgas kõiki meie käsutuses olevaid </w:t>
      </w:r>
      <w:proofErr w:type="spellStart"/>
      <w:r w:rsidRPr="0084522C">
        <w:t>digivahendeid</w:t>
      </w:r>
      <w:proofErr w:type="spellEnd"/>
      <w:r w:rsidRPr="0084522C">
        <w:t xml:space="preserve"> kasutades, võimaldab ELi kodanikel tegutseda teadlike kodanikena ning osaleda täiel määral kodaniku-, poliitilises ja ühiskondlikus elus nii Euroopa kui ka riiklikul tasandil; rõhutab, et programmil „</w:t>
      </w:r>
      <w:proofErr w:type="spellStart"/>
      <w:r w:rsidRPr="0084522C">
        <w:t>Erasmus</w:t>
      </w:r>
      <w:proofErr w:type="spellEnd"/>
      <w:r w:rsidRPr="0084522C">
        <w:t>+“ võib olla oluline roll ELi kodanikuhariduse edendamisel õpirände kaudu kõigile, olenemata vanusest, soost, tööhõivest või haridustasemest;</w:t>
      </w:r>
    </w:p>
    <w:p w:rsidR="001D5A5A" w:rsidRPr="0084522C" w:rsidRDefault="001D5A5A" w:rsidP="001D5A5A">
      <w:pPr>
        <w:pStyle w:val="NormalHanging12a"/>
      </w:pPr>
      <w:r w:rsidRPr="0084522C">
        <w:t>26.</w:t>
      </w:r>
      <w:r w:rsidRPr="0084522C">
        <w:tab/>
        <w:t>kutsub komisjoni üles töötama välja ELi kodanikele, eeskätt noortele suunatud avalikke konsultatsioone, et suurendada ELi kodanike osalust; nõuab tungivalt, et komisjon ajakohastaks avalike konsultatsioonide läbiviimise viisi, et suurendada suurema hulga Euroopa kodanike kodanikuaktiivsust ja osalust, kooskõlas Euroopa tuleviku konverentsi eduka näitega; kutsub sellega seoses komisjoni üles para</w:t>
      </w:r>
      <w:r w:rsidR="007F02E3" w:rsidRPr="0084522C">
        <w:t xml:space="preserve">ndama veelgi portaali „Avaldage </w:t>
      </w:r>
      <w:r w:rsidRPr="0084522C">
        <w:t xml:space="preserve">arvamust!“, kasutades ära uusi tehnoloogiaid, ja teavitama sellest, kuidas kodanike tagasiside eri algatustele kaasa aitab; </w:t>
      </w:r>
    </w:p>
    <w:p w:rsidR="001D5A5A" w:rsidRPr="0084522C" w:rsidRDefault="001D5A5A" w:rsidP="001D5A5A">
      <w:pPr>
        <w:pStyle w:val="NormalHanging12a"/>
        <w:shd w:val="clear" w:color="auto" w:fill="FFFFFF" w:themeFill="background1"/>
      </w:pPr>
      <w:r w:rsidRPr="0084522C">
        <w:t>27.</w:t>
      </w:r>
      <w:r w:rsidRPr="0084522C">
        <w:tab/>
        <w:t xml:space="preserve">kutsub üles looma kõigi ELi osalusvahendite, nagu Euroopa kodanikualgatus, Euroopa Parlamendile esitatavad petitsioonid, Euroopa Ombudsmanile esitatavad kaebused, avalikud konsultatsioonid ja kodanikega peetavad dialoogid, jaoks ühtset kontaktpunkti ja selliste vahendite tõhususe suurendamist, eelkõige tagades, et need aitavad kaasa Euroopa tegevuskava koostamisele ning et otsustusprotsessiga tugevdatakse ka esindusdemokraatiat; kutsub komisjoni, liikmesriike ning piirkondlikke ja kohalikke omavalitsusi üles suurendama oma jõupingutusi, et teavitada avalikkust olemasolevatest osalusvahenditest; </w:t>
      </w:r>
    </w:p>
    <w:p w:rsidR="001D5A5A" w:rsidRPr="0084522C" w:rsidRDefault="001D5A5A" w:rsidP="001D5A5A">
      <w:pPr>
        <w:pStyle w:val="NormalHanging12a"/>
        <w:shd w:val="clear" w:color="auto" w:fill="FFFFFF" w:themeFill="background1"/>
      </w:pPr>
      <w:r w:rsidRPr="0084522C">
        <w:t>28.</w:t>
      </w:r>
      <w:r w:rsidRPr="0084522C">
        <w:tab/>
        <w:t>kordab oma ettepanekut luua alaline kodanikega konsulteerimise mehhanism, mis võimaldaks kodanikel, eeskätt noortel, arutleda ELi prioriteetide ja poliitika üle, aidates muu hulgas kaasa „</w:t>
      </w:r>
      <w:proofErr w:type="spellStart"/>
      <w:r w:rsidRPr="0084522C">
        <w:t>noortekontrolli</w:t>
      </w:r>
      <w:proofErr w:type="spellEnd"/>
      <w:r w:rsidRPr="0084522C">
        <w:t>“ kohaldamisele õigusaktides, et täiendada, mitte asendada esinduslikku parlamentaarset demokraatiat; teeb ettepaneku, et Euroopa</w:t>
      </w:r>
      <w:r w:rsidR="00D0332A" w:rsidRPr="0084522C">
        <w:t xml:space="preserve"> </w:t>
      </w:r>
      <w:r w:rsidRPr="0084522C">
        <w:t xml:space="preserve">Parlamendi esindajaid tuleks nendest aruteludest teavitada, et nad saaksid hinnata, kas võtta vajaduse korral </w:t>
      </w:r>
      <w:proofErr w:type="spellStart"/>
      <w:r w:rsidRPr="0084522C">
        <w:t>järelmeetmeid</w:t>
      </w:r>
      <w:proofErr w:type="spellEnd"/>
      <w:r w:rsidRPr="0084522C">
        <w:t>;</w:t>
      </w:r>
    </w:p>
    <w:p w:rsidR="001D5A5A" w:rsidRPr="0084522C" w:rsidRDefault="001D5A5A" w:rsidP="001D5A5A">
      <w:pPr>
        <w:pStyle w:val="NormalHanging12a"/>
      </w:pPr>
      <w:r w:rsidRPr="0084522C">
        <w:t>29.</w:t>
      </w:r>
      <w:r w:rsidRPr="0084522C">
        <w:tab/>
        <w:t>teeb ettepaneku kaaluda Euroopa kodanikukaardi kasutuselevõttu, mis võiks näiteks hõlbustada kodanikuõiguste ka</w:t>
      </w:r>
      <w:r w:rsidR="007F02E3" w:rsidRPr="0084522C">
        <w:t xml:space="preserve">sutamist ja hääletamist Euroopa </w:t>
      </w:r>
      <w:r w:rsidRPr="0084522C">
        <w:t>Parlamendi valimistel ning osalusvahendite kasutamist;</w:t>
      </w:r>
    </w:p>
    <w:p w:rsidR="001D5A5A" w:rsidRPr="0084522C" w:rsidRDefault="001D5A5A" w:rsidP="001D5A5A">
      <w:pPr>
        <w:pStyle w:val="NormalHanging12a"/>
        <w:shd w:val="clear" w:color="auto" w:fill="FFFFFF" w:themeFill="background1"/>
      </w:pPr>
      <w:r w:rsidRPr="0084522C">
        <w:t>30.</w:t>
      </w:r>
      <w:r w:rsidRPr="0084522C">
        <w:rPr>
          <w:b/>
          <w:i/>
        </w:rPr>
        <w:tab/>
      </w:r>
      <w:r w:rsidR="007F02E3" w:rsidRPr="0084522C">
        <w:t xml:space="preserve">rõhutab </w:t>
      </w:r>
      <w:proofErr w:type="spellStart"/>
      <w:r w:rsidR="007F02E3" w:rsidRPr="0084522C">
        <w:t>Europe</w:t>
      </w:r>
      <w:proofErr w:type="spellEnd"/>
      <w:r w:rsidR="007F02E3" w:rsidRPr="0084522C">
        <w:t xml:space="preserve"> </w:t>
      </w:r>
      <w:proofErr w:type="spellStart"/>
      <w:r w:rsidRPr="0084522C">
        <w:t>Directi</w:t>
      </w:r>
      <w:proofErr w:type="spellEnd"/>
      <w:r w:rsidRPr="0084522C">
        <w:t xml:space="preserve"> büroode olulist rolli kodanike kohaliku tasandi osaluse suurendamisel Euroopa Liidu demokraatlikus elus; julgustab liikmesriike ning piirkondliku ja kohaliku tasandi üksusi suurendama koostööd nende büroodega;</w:t>
      </w:r>
    </w:p>
    <w:p w:rsidR="001D5A5A" w:rsidRPr="0084522C" w:rsidRDefault="001D5A5A" w:rsidP="001D5A5A">
      <w:pPr>
        <w:pStyle w:val="NormalHanging12a"/>
      </w:pPr>
      <w:r w:rsidRPr="0084522C">
        <w:t>31.</w:t>
      </w:r>
      <w:r w:rsidRPr="0084522C">
        <w:rPr>
          <w:b/>
          <w:i/>
        </w:rPr>
        <w:tab/>
      </w:r>
      <w:r w:rsidRPr="0084522C">
        <w:t xml:space="preserve">kutsub komisjoni üles suurendama sotsiaalmeedia ja </w:t>
      </w:r>
      <w:proofErr w:type="spellStart"/>
      <w:r w:rsidRPr="0084522C">
        <w:t>digivahendite</w:t>
      </w:r>
      <w:proofErr w:type="spellEnd"/>
      <w:r w:rsidRPr="0084522C">
        <w:t xml:space="preserve"> kasutamist, pöörates erilist tähelepanu noorte ja puuetega inimeste </w:t>
      </w:r>
      <w:proofErr w:type="spellStart"/>
      <w:r w:rsidRPr="0084522C">
        <w:t>kaasatuse</w:t>
      </w:r>
      <w:proofErr w:type="spellEnd"/>
      <w:r w:rsidRPr="0084522C">
        <w:t xml:space="preserve"> suurendamisele demokraatlikus protsessis, edendades seeläbi nende osalemist, tu</w:t>
      </w:r>
      <w:r w:rsidR="007F02E3" w:rsidRPr="0084522C">
        <w:t xml:space="preserve">nnustades samal ajal ka Euroopa </w:t>
      </w:r>
      <w:r w:rsidRPr="0084522C">
        <w:t xml:space="preserve">Parlamendi valimiste alandatud valimisõiguslikku vanust liikmesriikides; kutsub sellega seoses komisjoni üles toetama demokraatliku osalemise edendamist, suurendades dialoogi kodanikega ja suurendades kodanike teadlikkust ELi õigusaktide mõjust nende igapäevaelule; </w:t>
      </w:r>
    </w:p>
    <w:p w:rsidR="001D5A5A" w:rsidRPr="0084522C" w:rsidRDefault="001D5A5A" w:rsidP="001D5A5A">
      <w:pPr>
        <w:pStyle w:val="NormalHanging12a"/>
      </w:pPr>
      <w:r w:rsidRPr="0084522C">
        <w:lastRenderedPageBreak/>
        <w:t>32.</w:t>
      </w:r>
      <w:r w:rsidRPr="0084522C">
        <w:rPr>
          <w:b/>
          <w:i/>
        </w:rPr>
        <w:tab/>
      </w:r>
      <w:r w:rsidRPr="0084522C">
        <w:t xml:space="preserve">on seisukohal, et arvestades digitaalsfääri kasvavat mõju kodanike elule, eelkõige sotsiaalmeediale ja tehisintellektile, on endiselt oluline, et liikmesriigid ja Euroopa institutsioonid keskenduksid jätkuvalt uue avaliku poliitika loomisele ja </w:t>
      </w:r>
      <w:r w:rsidR="0014733F" w:rsidRPr="0084522C">
        <w:t xml:space="preserve">toimivate </w:t>
      </w:r>
      <w:r w:rsidRPr="0084522C">
        <w:t xml:space="preserve">mehhanismide rakendamisele, mille eesmärk on kaitsta põhiõigusi internetis ning võidelda </w:t>
      </w:r>
      <w:proofErr w:type="spellStart"/>
      <w:r w:rsidRPr="0084522C">
        <w:t>välissekkumise</w:t>
      </w:r>
      <w:proofErr w:type="spellEnd"/>
      <w:r w:rsidRPr="0084522C">
        <w:t xml:space="preserve"> ja desinformatsiooni vastu, kuna need kujutavad endast eksistentsiaalset ohtu demokraatiale ja kodanike õiguste kasutamisele; </w:t>
      </w:r>
    </w:p>
    <w:p w:rsidR="001D5A5A" w:rsidRPr="0084522C" w:rsidRDefault="001D5A5A" w:rsidP="001D5A5A">
      <w:pPr>
        <w:spacing w:after="240"/>
        <w:ind w:left="567" w:hanging="567"/>
        <w:rPr>
          <w:rFonts w:eastAsiaTheme="minorHAnsi" w:cstheme="minorBidi"/>
          <w:szCs w:val="22"/>
        </w:rPr>
      </w:pPr>
      <w:r w:rsidRPr="0084522C">
        <w:t>33.</w:t>
      </w:r>
      <w:r w:rsidRPr="0084522C">
        <w:tab/>
        <w:t>nõuab tungivalt, et nõukogu ja komisjon jätka</w:t>
      </w:r>
      <w:r w:rsidR="007F02E3" w:rsidRPr="0084522C">
        <w:t xml:space="preserve">ksid läbirääkimisi määruse (EÜ) </w:t>
      </w:r>
      <w:r w:rsidRPr="0084522C">
        <w:t>nr 1049/2001</w:t>
      </w:r>
      <w:r w:rsidRPr="0084522C">
        <w:rPr>
          <w:rFonts w:eastAsiaTheme="minorHAnsi" w:cstheme="minorBidi"/>
          <w:szCs w:val="22"/>
          <w:vertAlign w:val="superscript"/>
          <w:lang w:eastAsia="en-US"/>
        </w:rPr>
        <w:footnoteReference w:id="26"/>
      </w:r>
      <w:r w:rsidRPr="0084522C">
        <w:t xml:space="preserve"> läbivaatamise üle, et tagada ELi kodanikele võimalus kasutada täielikult oma õigust pääseda juurde dokumentidele ning kontrollida ELi institutsioonide, organite ja asutuste tegevust;</w:t>
      </w:r>
    </w:p>
    <w:p w:rsidR="001D5A5A" w:rsidRPr="0084522C" w:rsidRDefault="001D5A5A" w:rsidP="007F02E3">
      <w:pPr>
        <w:pStyle w:val="AMNumberTabs"/>
        <w:keepNext/>
        <w:spacing w:before="0" w:after="240"/>
        <w:ind w:left="567" w:hanging="567"/>
        <w:rPr>
          <w:rStyle w:val="doceo-font-family-base"/>
          <w:rFonts w:eastAsiaTheme="minorHAnsi"/>
          <w:b w:val="0"/>
          <w:color w:val="000000"/>
          <w:szCs w:val="24"/>
        </w:rPr>
      </w:pPr>
      <w:r w:rsidRPr="0084522C">
        <w:rPr>
          <w:rStyle w:val="doceo-font-family-base"/>
          <w:b w:val="0"/>
          <w:color w:val="000000"/>
        </w:rPr>
        <w:t>34.</w:t>
      </w:r>
      <w:r w:rsidRPr="0084522C">
        <w:rPr>
          <w:rStyle w:val="doceo-font-family-base"/>
          <w:color w:val="000000"/>
        </w:rPr>
        <w:tab/>
      </w:r>
      <w:r w:rsidRPr="0084522C">
        <w:rPr>
          <w:b w:val="0"/>
        </w:rPr>
        <w:t>kordab vajadust koostada ELi toimimise lepingu artikli 25 alusel ELi kodakondsuse põhikiri, mis koondaks olemasolevaid ja tulevasi kodakondsusega seotud õiguseid, et suurendada kodanikuõiguste jõustatavust ja tagada kodanike võrdõiguslikkus, parandada ühtekuuluvust ja reageerida sotsiaalsetele, majanduslikele, poliitilistele ja digitaalsetele muutustele; tuletab meelde, et seda tuleks teha aluslepingute raames;</w:t>
      </w:r>
      <w:r w:rsidRPr="0084522C">
        <w:rPr>
          <w:rStyle w:val="doceo-font-family-base"/>
          <w:b w:val="0"/>
          <w:color w:val="000000"/>
        </w:rPr>
        <w:t xml:space="preserve"> </w:t>
      </w:r>
    </w:p>
    <w:p w:rsidR="001D5A5A" w:rsidRPr="0084522C" w:rsidRDefault="001D5A5A" w:rsidP="007F02E3">
      <w:pPr>
        <w:pStyle w:val="AMNumberTabs"/>
        <w:keepNext/>
        <w:spacing w:before="0" w:after="240"/>
        <w:ind w:left="567" w:hanging="567"/>
        <w:rPr>
          <w:b w:val="0"/>
        </w:rPr>
      </w:pPr>
      <w:r w:rsidRPr="0084522C">
        <w:rPr>
          <w:b w:val="0"/>
        </w:rPr>
        <w:t>35.</w:t>
      </w:r>
      <w:r w:rsidRPr="0084522C">
        <w:rPr>
          <w:b w:val="0"/>
        </w:rPr>
        <w:tab/>
        <w:t xml:space="preserve">teeb ettepaneku, et osalemise ja poliitiliste õiguste, liikumisvabaduse ja digitaalse kodakondsuse valdkonnas ning kooskõlas kehtivate ja tulevaste ELi õigusaktidega peaks kodanikel olema õigus eelkõige järgmisele: </w:t>
      </w:r>
    </w:p>
    <w:p w:rsidR="001D5A5A" w:rsidRPr="0084522C" w:rsidRDefault="001D5A5A" w:rsidP="007F02E3">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84522C">
        <w:rPr>
          <w:b w:val="0"/>
        </w:rPr>
        <w:t>–</w:t>
      </w:r>
      <w:r w:rsidR="007F02E3" w:rsidRPr="0084522C">
        <w:rPr>
          <w:b w:val="0"/>
        </w:rPr>
        <w:tab/>
      </w:r>
      <w:r w:rsidRPr="0084522C">
        <w:rPr>
          <w:b w:val="0"/>
        </w:rPr>
        <w:t xml:space="preserve">sooliselt tasakaalustatud demokraatlik esindatus valimisnimekirjades; </w:t>
      </w:r>
    </w:p>
    <w:p w:rsidR="001D5A5A" w:rsidRPr="0084522C" w:rsidRDefault="001D5A5A" w:rsidP="007F02E3">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84522C">
        <w:rPr>
          <w:b w:val="0"/>
        </w:rPr>
        <w:t>–</w:t>
      </w:r>
      <w:r w:rsidR="007F02E3" w:rsidRPr="0084522C">
        <w:rPr>
          <w:b w:val="0"/>
        </w:rPr>
        <w:tab/>
      </w:r>
      <w:r w:rsidRPr="0084522C">
        <w:rPr>
          <w:b w:val="0"/>
        </w:rPr>
        <w:t xml:space="preserve">alaline interaktiivne </w:t>
      </w:r>
      <w:proofErr w:type="spellStart"/>
      <w:r w:rsidRPr="0084522C">
        <w:rPr>
          <w:b w:val="0"/>
        </w:rPr>
        <w:t>digiplatvorm</w:t>
      </w:r>
      <w:proofErr w:type="spellEnd"/>
      <w:r w:rsidRPr="0084522C">
        <w:rPr>
          <w:b w:val="0"/>
        </w:rPr>
        <w:t xml:space="preserve">, mille kaudu kodanikud saavad esitada oma ettepanekuid ja ideid kõigis ELi ametlikes keeltes; </w:t>
      </w:r>
    </w:p>
    <w:p w:rsidR="001D5A5A" w:rsidRPr="0084522C" w:rsidRDefault="001D5A5A" w:rsidP="007F02E3">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84522C">
        <w:rPr>
          <w:b w:val="0"/>
        </w:rPr>
        <w:t>–</w:t>
      </w:r>
      <w:r w:rsidR="007F02E3" w:rsidRPr="0084522C">
        <w:rPr>
          <w:b w:val="0"/>
        </w:rPr>
        <w:tab/>
      </w:r>
      <w:r w:rsidRPr="0084522C">
        <w:rPr>
          <w:b w:val="0"/>
        </w:rPr>
        <w:t xml:space="preserve">õppeperioodide, mitte ainult kvalifikatsiooni ja ametialase pädevuse tunnustamine võrdväärsena teises liikmesriigis töötamiseks; </w:t>
      </w:r>
    </w:p>
    <w:p w:rsidR="001D5A5A" w:rsidRPr="0084522C" w:rsidRDefault="001D5A5A" w:rsidP="007F02E3">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84522C">
        <w:rPr>
          <w:b w:val="0"/>
        </w:rPr>
        <w:t>–</w:t>
      </w:r>
      <w:r w:rsidR="007F02E3" w:rsidRPr="0084522C">
        <w:rPr>
          <w:b w:val="0"/>
        </w:rPr>
        <w:tab/>
      </w:r>
      <w:r w:rsidRPr="0084522C">
        <w:rPr>
          <w:b w:val="0"/>
        </w:rPr>
        <w:t xml:space="preserve">üldine juurdepääs internetile, et tagada kodanike kaasamine ja võrdne ligipääs </w:t>
      </w:r>
      <w:proofErr w:type="spellStart"/>
      <w:r w:rsidRPr="0084522C">
        <w:rPr>
          <w:b w:val="0"/>
        </w:rPr>
        <w:t>digikeskkonnale</w:t>
      </w:r>
      <w:proofErr w:type="spellEnd"/>
      <w:r w:rsidRPr="0084522C">
        <w:rPr>
          <w:b w:val="0"/>
        </w:rPr>
        <w:t xml:space="preserve">; </w:t>
      </w:r>
    </w:p>
    <w:p w:rsidR="001D5A5A" w:rsidRPr="0084522C" w:rsidRDefault="001D5A5A" w:rsidP="007F02E3">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84522C">
        <w:rPr>
          <w:b w:val="0"/>
        </w:rPr>
        <w:t>–</w:t>
      </w:r>
      <w:r w:rsidR="007F02E3" w:rsidRPr="0084522C">
        <w:rPr>
          <w:b w:val="0"/>
        </w:rPr>
        <w:tab/>
      </w:r>
      <w:r w:rsidRPr="0084522C">
        <w:rPr>
          <w:b w:val="0"/>
        </w:rPr>
        <w:t xml:space="preserve">oma digitaalse identiteedi haldamine, minnes kaugemale kaitsest, mis on juba olemas seoses isikuandmete kaitsega </w:t>
      </w:r>
      <w:proofErr w:type="spellStart"/>
      <w:r w:rsidRPr="0084522C">
        <w:rPr>
          <w:b w:val="0"/>
        </w:rPr>
        <w:t>digikeskkonnas</w:t>
      </w:r>
      <w:proofErr w:type="spellEnd"/>
      <w:r w:rsidRPr="0084522C">
        <w:rPr>
          <w:b w:val="0"/>
        </w:rPr>
        <w:t xml:space="preserve">; </w:t>
      </w:r>
    </w:p>
    <w:p w:rsidR="001D5A5A" w:rsidRPr="0084522C" w:rsidRDefault="001D5A5A" w:rsidP="007F02E3">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84522C">
        <w:rPr>
          <w:b w:val="0"/>
        </w:rPr>
        <w:t>–</w:t>
      </w:r>
      <w:r w:rsidR="007F02E3" w:rsidRPr="0084522C">
        <w:rPr>
          <w:b w:val="0"/>
        </w:rPr>
        <w:tab/>
      </w:r>
      <w:r w:rsidRPr="0084522C">
        <w:rPr>
          <w:b w:val="0"/>
        </w:rPr>
        <w:t xml:space="preserve">surnud isiku digitaalsete andmete digitaalne pärimine; </w:t>
      </w:r>
    </w:p>
    <w:p w:rsidR="001D5A5A" w:rsidRPr="0084522C" w:rsidRDefault="001D5A5A" w:rsidP="007F02E3">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84522C">
        <w:rPr>
          <w:b w:val="0"/>
        </w:rPr>
        <w:t>–</w:t>
      </w:r>
      <w:r w:rsidR="007F02E3" w:rsidRPr="0084522C">
        <w:rPr>
          <w:b w:val="0"/>
        </w:rPr>
        <w:tab/>
      </w:r>
      <w:r w:rsidRPr="0084522C">
        <w:rPr>
          <w:b w:val="0"/>
        </w:rPr>
        <w:t>turvaliste, läbipaistvate, jälgitavate ning inimeste ja reguleerivate asutuste poolt kontrollitavate tehisintellekti süsteemide väljatöötamine;</w:t>
      </w:r>
    </w:p>
    <w:p w:rsidR="001D5A5A" w:rsidRPr="0084522C" w:rsidRDefault="001D5A5A" w:rsidP="007F02E3">
      <w:pPr>
        <w:pStyle w:val="NormalHanging12a"/>
        <w:rPr>
          <w:rStyle w:val="doceo-font-family-base"/>
          <w:color w:val="000000"/>
          <w:u w:val="single"/>
        </w:rPr>
      </w:pPr>
      <w:r w:rsidRPr="0084522C">
        <w:rPr>
          <w:rStyle w:val="doceo-font-family-base"/>
          <w:color w:val="000000"/>
        </w:rPr>
        <w:t>36.</w:t>
      </w:r>
      <w:r w:rsidRPr="0084522C">
        <w:rPr>
          <w:rStyle w:val="doceo-font-family-base"/>
          <w:color w:val="000000"/>
        </w:rPr>
        <w:tab/>
      </w:r>
      <w:r w:rsidRPr="0084522C">
        <w:t xml:space="preserve">nõuab, et ELi kodakondsuse põhikirja lisataks horisontaalne mittediskrimineerimise klausel, mis tagaks võrdsuse täiendava kaitse kodakondsusega seotud õiguste kasutamisel, et võidelda diskrimineerimisega ja kaitsta kodanikke, eelkõige </w:t>
      </w:r>
      <w:r w:rsidR="0014733F" w:rsidRPr="0084522C">
        <w:t xml:space="preserve">vähekaitstud </w:t>
      </w:r>
      <w:r w:rsidRPr="0084522C">
        <w:t>ja tõrjutud rühmade liikmeid ning ELi piiriülestes piirkondades elavaid isikuid;</w:t>
      </w:r>
    </w:p>
    <w:p w:rsidR="001D5A5A" w:rsidRPr="0084522C" w:rsidRDefault="001D5A5A" w:rsidP="007F02E3">
      <w:pPr>
        <w:pStyle w:val="NormalHanging12a"/>
        <w:rPr>
          <w:rStyle w:val="doceo-font-family-base"/>
          <w:color w:val="000000"/>
          <w:szCs w:val="24"/>
        </w:rPr>
      </w:pPr>
      <w:r w:rsidRPr="0084522C">
        <w:rPr>
          <w:rStyle w:val="doceo-font-family-base"/>
          <w:color w:val="000000"/>
        </w:rPr>
        <w:t>37.</w:t>
      </w:r>
      <w:r w:rsidRPr="0084522C">
        <w:rPr>
          <w:rStyle w:val="doceo-font-family-base"/>
          <w:color w:val="000000"/>
        </w:rPr>
        <w:tab/>
      </w:r>
      <w:r w:rsidRPr="0084522C">
        <w:t xml:space="preserve">kutsub komisjoni üles korraldama sihipäraseid teadlikkuse suurendamise kampaaniaid </w:t>
      </w:r>
      <w:r w:rsidRPr="0084522C">
        <w:lastRenderedPageBreak/>
        <w:t>ELi kodakondsusest ja põhikirjast tulenevate õiguste ja kodanikukohustuste kohta, sealhulgas kehtestades ELi kodakondsust käsitleva teabepaketi, ning eraldama ELi kodakondsusele rohkem ressursse;</w:t>
      </w:r>
      <w:r w:rsidRPr="0084522C">
        <w:rPr>
          <w:rStyle w:val="doceo-font-family-base"/>
          <w:color w:val="000000"/>
        </w:rPr>
        <w:t xml:space="preserve"> rõhutab, et tänu digitaalsele ja tehnoloogilisele revolutsioonile on kodanikest saanud meie demokraatlike süsteemide tõelised tugisambad ja kaitsjad; </w:t>
      </w:r>
    </w:p>
    <w:p w:rsidR="001D5A5A" w:rsidRPr="0084522C" w:rsidRDefault="001D5A5A" w:rsidP="007F02E3">
      <w:pPr>
        <w:pStyle w:val="NormalHanging12a"/>
        <w:rPr>
          <w:rStyle w:val="doceo-font-family-base"/>
          <w:color w:val="000000"/>
          <w:szCs w:val="24"/>
        </w:rPr>
      </w:pPr>
      <w:r w:rsidRPr="0084522C">
        <w:rPr>
          <w:rStyle w:val="doceo-font-family-base"/>
          <w:color w:val="000000"/>
        </w:rPr>
        <w:t>38.</w:t>
      </w:r>
      <w:r w:rsidRPr="0084522C">
        <w:rPr>
          <w:rStyle w:val="doceo-font-family-base"/>
          <w:color w:val="000000"/>
        </w:rPr>
        <w:tab/>
      </w:r>
      <w:r w:rsidR="009C0F96" w:rsidRPr="0084522C">
        <w:rPr>
          <w:rStyle w:val="doceo-font-family-base"/>
          <w:color w:val="000000"/>
        </w:rPr>
        <w:t xml:space="preserve">võtab teadmiseks kodakondsuspaketi, sealhulgas 6. detsembril 2023. aastal komisjoni poolt avaldatud 2023. aasta aruande ELi kodakondsuse kohta, mille eesmärk on ELi kodakondsust veelgi edendada ja muuta see liidu kodanike jaoks konkreetsemaks; </w:t>
      </w:r>
      <w:r w:rsidRPr="0084522C">
        <w:t xml:space="preserve">kutsub komisjoni üles võtma </w:t>
      </w:r>
      <w:r w:rsidR="009C0F96" w:rsidRPr="0084522C">
        <w:t xml:space="preserve">selles </w:t>
      </w:r>
      <w:r w:rsidRPr="0084522C">
        <w:t xml:space="preserve">aruandes </w:t>
      </w:r>
      <w:r w:rsidR="009C0F96" w:rsidRPr="0084522C">
        <w:t xml:space="preserve">esitatud soovitusi arvesse </w:t>
      </w:r>
      <w:r w:rsidRPr="0084522C">
        <w:t xml:space="preserve">ja võtma vajalikke meetmeid nende rakendamiseks aluslepingute kohase menetluse </w:t>
      </w:r>
      <w:r w:rsidRPr="0084522C">
        <w:rPr>
          <w:rStyle w:val="doceo-font-family-base"/>
          <w:color w:val="000000"/>
        </w:rPr>
        <w:t>alusel;</w:t>
      </w:r>
    </w:p>
    <w:p w:rsidR="001D5A5A" w:rsidRPr="0084522C" w:rsidRDefault="001D5A5A" w:rsidP="007F02E3">
      <w:pPr>
        <w:pStyle w:val="NormalHanging12a"/>
      </w:pPr>
      <w:r w:rsidRPr="0084522C">
        <w:rPr>
          <w:rStyle w:val="doceo-font-family-base"/>
          <w:color w:val="000000"/>
        </w:rPr>
        <w:t>39.</w:t>
      </w:r>
      <w:r w:rsidRPr="0084522C">
        <w:rPr>
          <w:rStyle w:val="doceo-font-family-base"/>
          <w:color w:val="000000"/>
        </w:rPr>
        <w:tab/>
      </w:r>
      <w:r w:rsidRPr="0084522C">
        <w:t>kordab oma üleskutset kutsuda kokku konventsioon aluslepingute läbivaatamis</w:t>
      </w:r>
      <w:r w:rsidR="007F02E3" w:rsidRPr="0084522C">
        <w:t>eks, nagu on sätestatud ELi</w:t>
      </w:r>
      <w:r w:rsidRPr="0084522C">
        <w:t xml:space="preserve"> lepingu artiklis 48; on veendunud, et konventsiooniga tuleks hoolikalt hinnata, kuidas tugevdada ELi kodakondsust veelgi;</w:t>
      </w:r>
    </w:p>
    <w:p w:rsidR="007F02E3" w:rsidRPr="0084522C" w:rsidRDefault="007F02E3" w:rsidP="007F02E3">
      <w:pPr>
        <w:keepLines/>
        <w:spacing w:before="100" w:beforeAutospacing="1" w:after="100" w:afterAutospacing="1"/>
        <w:jc w:val="center"/>
      </w:pPr>
      <w:r w:rsidRPr="0084522C">
        <w:rPr>
          <w:noProof/>
        </w:rPr>
        <w:t>o</w:t>
      </w:r>
      <w:r w:rsidRPr="0084522C">
        <w:rPr>
          <w:noProof/>
        </w:rPr>
        <w:br/>
        <w:t>o   o</w:t>
      </w:r>
    </w:p>
    <w:p w:rsidR="001D5A5A" w:rsidRPr="0084522C" w:rsidRDefault="001D5A5A" w:rsidP="001D5A5A">
      <w:pPr>
        <w:pStyle w:val="NormalHanging12a"/>
        <w:rPr>
          <w:rFonts w:eastAsiaTheme="minorHAnsi"/>
        </w:rPr>
      </w:pPr>
      <w:r w:rsidRPr="0084522C">
        <w:t>40.</w:t>
      </w:r>
      <w:r w:rsidRPr="0084522C">
        <w:tab/>
        <w:t>teeb presidendile ülesandeks edastada käesolev resolutsioon nõukogule ja komisjonile.</w:t>
      </w:r>
    </w:p>
    <w:p w:rsidR="001D5A5A" w:rsidRPr="0084522C" w:rsidRDefault="001D5A5A" w:rsidP="001D5A5A"/>
    <w:p w:rsidR="00E365E1" w:rsidRPr="0084522C" w:rsidRDefault="00E365E1" w:rsidP="00C60339">
      <w:bookmarkStart w:id="9" w:name="TextBodyEnd"/>
      <w:bookmarkEnd w:id="9"/>
    </w:p>
    <w:sectPr w:rsidR="00E365E1" w:rsidRPr="0084522C" w:rsidSect="004072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339" w:rsidRPr="00407228" w:rsidRDefault="00C60339">
      <w:r w:rsidRPr="00407228">
        <w:separator/>
      </w:r>
    </w:p>
  </w:endnote>
  <w:endnote w:type="continuationSeparator" w:id="0">
    <w:p w:rsidR="00C60339" w:rsidRPr="00407228" w:rsidRDefault="00C60339">
      <w:r w:rsidRPr="004072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72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72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72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339" w:rsidRPr="00407228" w:rsidRDefault="00C60339">
      <w:r w:rsidRPr="00407228">
        <w:separator/>
      </w:r>
    </w:p>
  </w:footnote>
  <w:footnote w:type="continuationSeparator" w:id="0">
    <w:p w:rsidR="00C60339" w:rsidRPr="00407228" w:rsidRDefault="00C60339">
      <w:r w:rsidRPr="00407228">
        <w:continuationSeparator/>
      </w:r>
    </w:p>
  </w:footnote>
  <w:footnote w:id="1">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158, 30.4.2004, lk 77.</w:t>
      </w:r>
    </w:p>
  </w:footnote>
  <w:footnote w:id="2">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156, 5.5.2021, lk 1.</w:t>
      </w:r>
    </w:p>
  </w:footnote>
  <w:footnote w:id="3">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141, 27.5.2011, lk 1.</w:t>
      </w:r>
    </w:p>
  </w:footnote>
  <w:footnote w:id="4">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186, 11.7.2019, lk 21.</w:t>
      </w:r>
    </w:p>
  </w:footnote>
  <w:footnote w:id="5">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173, 9.7.2018, lk 16.</w:t>
      </w:r>
    </w:p>
  </w:footnote>
  <w:footnote w:id="6">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107, 22.4.2016, lk 1.</w:t>
      </w:r>
    </w:p>
  </w:footnote>
  <w:footnote w:id="7">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354, 28.12.2013, lk 132.</w:t>
      </w:r>
    </w:p>
  </w:footnote>
  <w:footnote w:id="8">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106, 24.4.2015, lk 1.</w:t>
      </w:r>
    </w:p>
  </w:footnote>
  <w:footnote w:id="9">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163, 20.6.2019, lk 1.</w:t>
      </w:r>
    </w:p>
  </w:footnote>
  <w:footnote w:id="10">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130, 17.5.2019, lk 55.</w:t>
      </w:r>
    </w:p>
  </w:footnote>
  <w:footnote w:id="11">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L 231, 17.7.2020, lk 7.</w:t>
      </w:r>
    </w:p>
  </w:footnote>
  <w:footnote w:id="12">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C 283, 11.8.2023, lk 76.</w:t>
      </w:r>
    </w:p>
  </w:footnote>
  <w:footnote w:id="13">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C 283, 11.8.2023, lk 100.</w:t>
      </w:r>
    </w:p>
  </w:footnote>
  <w:footnote w:id="14">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C 449, 23.12.2020, lk 6.</w:t>
      </w:r>
    </w:p>
  </w:footnote>
  <w:footnote w:id="15">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C 347, 9.9.2022, lk 97.</w:t>
      </w:r>
    </w:p>
  </w:footnote>
  <w:footnote w:id="16">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C 347, 9.9.2022, lk 202.</w:t>
      </w:r>
    </w:p>
  </w:footnote>
  <w:footnote w:id="17">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Vastuvõetud tekstid, P9_TA(2023)0230.</w:t>
      </w:r>
    </w:p>
  </w:footnote>
  <w:footnote w:id="18">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Vastuvõetud tekstid, P9_TA(2023)0330.</w:t>
      </w:r>
    </w:p>
  </w:footnote>
  <w:footnote w:id="19">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C 99, 1.3.2022, lk 96.</w:t>
      </w:r>
    </w:p>
  </w:footnote>
  <w:footnote w:id="20">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C 347, 9.9.2022, lk 110.</w:t>
      </w:r>
    </w:p>
  </w:footnote>
  <w:footnote w:id="21">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ELT C 263, 25.7.2018, lk 98.</w:t>
      </w:r>
    </w:p>
  </w:footnote>
  <w:footnote w:id="22">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proofErr w:type="spellStart"/>
      <w:r w:rsidRPr="00407228">
        <w:rPr>
          <w:sz w:val="24"/>
          <w:lang w:val="et-EE"/>
        </w:rPr>
        <w:t>Eurostat</w:t>
      </w:r>
      <w:proofErr w:type="spellEnd"/>
      <w:r w:rsidRPr="00407228">
        <w:rPr>
          <w:sz w:val="24"/>
          <w:lang w:val="et-EE"/>
        </w:rPr>
        <w:t>, „</w:t>
      </w:r>
      <w:proofErr w:type="spellStart"/>
      <w:r w:rsidRPr="00407228">
        <w:fldChar w:fldCharType="begin"/>
      </w:r>
      <w:r w:rsidRPr="00407228">
        <w:rPr>
          <w:sz w:val="24"/>
          <w:lang w:val="et-EE"/>
        </w:rPr>
        <w:instrText xml:space="preserve"> HYPERLINK "https://ec.europa.eu/eurostat/statistics-explained/index.php?title=Archive:EU_citizens_living_in_another_Member_State_-_statistical_overview" </w:instrText>
      </w:r>
      <w:r w:rsidRPr="00407228">
        <w:fldChar w:fldCharType="separate"/>
      </w:r>
      <w:r w:rsidRPr="00407228">
        <w:rPr>
          <w:rStyle w:val="Hyperlink"/>
          <w:sz w:val="24"/>
          <w:lang w:val="et-EE"/>
        </w:rPr>
        <w:t>Archive</w:t>
      </w:r>
      <w:proofErr w:type="spellEnd"/>
      <w:r w:rsidRPr="00407228">
        <w:rPr>
          <w:rStyle w:val="Hyperlink"/>
          <w:sz w:val="24"/>
          <w:lang w:val="et-EE"/>
        </w:rPr>
        <w:t xml:space="preserve">: </w:t>
      </w:r>
      <w:r w:rsidRPr="00407228">
        <w:rPr>
          <w:rStyle w:val="Hyperlink"/>
          <w:sz w:val="24"/>
          <w:lang w:val="et-EE"/>
        </w:rPr>
        <w:fldChar w:fldCharType="end"/>
      </w:r>
      <w:hyperlink r:id="rId1" w:history="1">
        <w:r w:rsidRPr="00407228">
          <w:rPr>
            <w:rStyle w:val="Hyperlink"/>
            <w:sz w:val="24"/>
            <w:lang w:val="et-EE"/>
          </w:rPr>
          <w:t xml:space="preserve">EU </w:t>
        </w:r>
        <w:proofErr w:type="spellStart"/>
        <w:r w:rsidRPr="00407228">
          <w:rPr>
            <w:rStyle w:val="Hyperlink"/>
            <w:sz w:val="24"/>
            <w:lang w:val="et-EE"/>
          </w:rPr>
          <w:t>citizens</w:t>
        </w:r>
        <w:proofErr w:type="spellEnd"/>
        <w:r w:rsidRPr="00407228">
          <w:rPr>
            <w:rStyle w:val="Hyperlink"/>
            <w:sz w:val="24"/>
            <w:lang w:val="et-EE"/>
          </w:rPr>
          <w:t xml:space="preserve"> </w:t>
        </w:r>
        <w:proofErr w:type="spellStart"/>
        <w:r w:rsidRPr="00407228">
          <w:rPr>
            <w:rStyle w:val="Hyperlink"/>
            <w:sz w:val="24"/>
            <w:lang w:val="et-EE"/>
          </w:rPr>
          <w:t>living</w:t>
        </w:r>
        <w:proofErr w:type="spellEnd"/>
        <w:r w:rsidRPr="00407228">
          <w:rPr>
            <w:rStyle w:val="Hyperlink"/>
            <w:sz w:val="24"/>
            <w:lang w:val="et-EE"/>
          </w:rPr>
          <w:t xml:space="preserve"> in </w:t>
        </w:r>
        <w:proofErr w:type="spellStart"/>
        <w:r w:rsidRPr="00407228">
          <w:rPr>
            <w:rStyle w:val="Hyperlink"/>
            <w:sz w:val="24"/>
            <w:lang w:val="et-EE"/>
          </w:rPr>
          <w:t>another</w:t>
        </w:r>
        <w:proofErr w:type="spellEnd"/>
        <w:r w:rsidRPr="00407228">
          <w:rPr>
            <w:rStyle w:val="Hyperlink"/>
            <w:sz w:val="24"/>
            <w:lang w:val="et-EE"/>
          </w:rPr>
          <w:t xml:space="preserve"> </w:t>
        </w:r>
        <w:proofErr w:type="spellStart"/>
        <w:r w:rsidRPr="00407228">
          <w:rPr>
            <w:rStyle w:val="Hyperlink"/>
            <w:sz w:val="24"/>
            <w:lang w:val="et-EE"/>
          </w:rPr>
          <w:t>Member</w:t>
        </w:r>
        <w:proofErr w:type="spellEnd"/>
        <w:r w:rsidRPr="00407228">
          <w:rPr>
            <w:rStyle w:val="Hyperlink"/>
            <w:sz w:val="24"/>
            <w:lang w:val="et-EE"/>
          </w:rPr>
          <w:t xml:space="preserve"> </w:t>
        </w:r>
        <w:proofErr w:type="spellStart"/>
        <w:r w:rsidRPr="00407228">
          <w:rPr>
            <w:rStyle w:val="Hyperlink"/>
            <w:sz w:val="24"/>
            <w:lang w:val="et-EE"/>
          </w:rPr>
          <w:t>State</w:t>
        </w:r>
        <w:proofErr w:type="spellEnd"/>
        <w:r w:rsidRPr="00407228">
          <w:rPr>
            <w:rStyle w:val="Hyperlink"/>
            <w:sz w:val="24"/>
            <w:lang w:val="et-EE"/>
          </w:rPr>
          <w:t xml:space="preserve"> - </w:t>
        </w:r>
        <w:proofErr w:type="spellStart"/>
        <w:r w:rsidRPr="00407228">
          <w:rPr>
            <w:rStyle w:val="Hyperlink"/>
            <w:sz w:val="24"/>
            <w:lang w:val="et-EE"/>
          </w:rPr>
          <w:t>statistical</w:t>
        </w:r>
        <w:proofErr w:type="spellEnd"/>
        <w:r w:rsidRPr="00407228">
          <w:rPr>
            <w:rStyle w:val="Hyperlink"/>
            <w:sz w:val="24"/>
            <w:lang w:val="et-EE"/>
          </w:rPr>
          <w:t xml:space="preserve"> </w:t>
        </w:r>
        <w:proofErr w:type="spellStart"/>
        <w:r w:rsidRPr="00407228">
          <w:rPr>
            <w:rStyle w:val="Hyperlink"/>
            <w:sz w:val="24"/>
            <w:lang w:val="et-EE"/>
          </w:rPr>
          <w:t>overview</w:t>
        </w:r>
        <w:proofErr w:type="spellEnd"/>
      </w:hyperlink>
      <w:r w:rsidRPr="00407228">
        <w:rPr>
          <w:sz w:val="24"/>
          <w:lang w:val="et-EE"/>
        </w:rPr>
        <w:t>“ (Arhiiv: ELi kodanikud, kes elavad teises liikmesriigis – statistiline ülevaade).</w:t>
      </w:r>
    </w:p>
  </w:footnote>
  <w:footnote w:id="23">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Eu</w:t>
      </w:r>
      <w:r w:rsidR="007F02E3">
        <w:rPr>
          <w:sz w:val="24"/>
          <w:lang w:val="et-EE"/>
        </w:rPr>
        <w:t xml:space="preserve">roopa Komisjon, „EU </w:t>
      </w:r>
      <w:proofErr w:type="spellStart"/>
      <w:r w:rsidR="007F02E3">
        <w:rPr>
          <w:sz w:val="24"/>
          <w:lang w:val="et-EE"/>
        </w:rPr>
        <w:t>Citizenship</w:t>
      </w:r>
      <w:proofErr w:type="spellEnd"/>
      <w:r w:rsidR="007F02E3">
        <w:rPr>
          <w:sz w:val="24"/>
          <w:lang w:val="et-EE"/>
        </w:rPr>
        <w:t> </w:t>
      </w:r>
      <w:r w:rsidRPr="00407228">
        <w:rPr>
          <w:sz w:val="24"/>
          <w:lang w:val="et-EE"/>
        </w:rPr>
        <w:t xml:space="preserve">2020 – </w:t>
      </w:r>
      <w:proofErr w:type="spellStart"/>
      <w:r w:rsidRPr="00407228">
        <w:rPr>
          <w:sz w:val="24"/>
          <w:lang w:val="et-EE"/>
        </w:rPr>
        <w:t>Final</w:t>
      </w:r>
      <w:proofErr w:type="spellEnd"/>
      <w:r w:rsidRPr="00407228">
        <w:rPr>
          <w:sz w:val="24"/>
          <w:lang w:val="et-EE"/>
        </w:rPr>
        <w:t xml:space="preserve"> </w:t>
      </w:r>
      <w:proofErr w:type="spellStart"/>
      <w:r w:rsidRPr="00407228">
        <w:rPr>
          <w:sz w:val="24"/>
          <w:lang w:val="et-EE"/>
        </w:rPr>
        <w:t>Report</w:t>
      </w:r>
      <w:proofErr w:type="spellEnd"/>
      <w:r w:rsidRPr="00407228">
        <w:rPr>
          <w:sz w:val="24"/>
          <w:lang w:val="et-EE"/>
        </w:rPr>
        <w:t xml:space="preserve">: </w:t>
      </w:r>
      <w:proofErr w:type="spellStart"/>
      <w:r w:rsidRPr="00407228">
        <w:rPr>
          <w:sz w:val="24"/>
          <w:lang w:val="et-EE"/>
        </w:rPr>
        <w:t>Results</w:t>
      </w:r>
      <w:proofErr w:type="spellEnd"/>
      <w:r w:rsidRPr="00407228">
        <w:rPr>
          <w:sz w:val="24"/>
          <w:lang w:val="et-EE"/>
        </w:rPr>
        <w:t xml:space="preserve"> of </w:t>
      </w:r>
      <w:proofErr w:type="spellStart"/>
      <w:r w:rsidRPr="00407228">
        <w:rPr>
          <w:sz w:val="24"/>
          <w:lang w:val="et-EE"/>
        </w:rPr>
        <w:t>the</w:t>
      </w:r>
      <w:proofErr w:type="spellEnd"/>
      <w:r w:rsidRPr="00407228">
        <w:rPr>
          <w:sz w:val="24"/>
          <w:lang w:val="et-EE"/>
        </w:rPr>
        <w:t xml:space="preserve"> </w:t>
      </w:r>
      <w:proofErr w:type="spellStart"/>
      <w:r w:rsidRPr="00407228">
        <w:rPr>
          <w:sz w:val="24"/>
          <w:lang w:val="et-EE"/>
        </w:rPr>
        <w:t>Public</w:t>
      </w:r>
      <w:proofErr w:type="spellEnd"/>
      <w:r w:rsidRPr="00407228">
        <w:rPr>
          <w:sz w:val="24"/>
          <w:lang w:val="et-EE"/>
        </w:rPr>
        <w:t xml:space="preserve"> </w:t>
      </w:r>
      <w:proofErr w:type="spellStart"/>
      <w:r w:rsidRPr="00407228">
        <w:rPr>
          <w:sz w:val="24"/>
          <w:lang w:val="et-EE"/>
        </w:rPr>
        <w:t>Consul</w:t>
      </w:r>
      <w:r w:rsidR="007F02E3">
        <w:rPr>
          <w:sz w:val="24"/>
          <w:lang w:val="et-EE"/>
        </w:rPr>
        <w:t>tation</w:t>
      </w:r>
      <w:proofErr w:type="spellEnd"/>
      <w:r w:rsidR="007F02E3">
        <w:rPr>
          <w:sz w:val="24"/>
          <w:lang w:val="et-EE"/>
        </w:rPr>
        <w:t xml:space="preserve"> on EU </w:t>
      </w:r>
      <w:proofErr w:type="spellStart"/>
      <w:r w:rsidR="007F02E3">
        <w:rPr>
          <w:sz w:val="24"/>
          <w:lang w:val="et-EE"/>
        </w:rPr>
        <w:t>Citizenship</w:t>
      </w:r>
      <w:proofErr w:type="spellEnd"/>
      <w:r w:rsidR="007F02E3">
        <w:rPr>
          <w:sz w:val="24"/>
          <w:lang w:val="et-EE"/>
        </w:rPr>
        <w:t xml:space="preserve"> </w:t>
      </w:r>
      <w:proofErr w:type="spellStart"/>
      <w:r w:rsidR="007F02E3">
        <w:rPr>
          <w:sz w:val="24"/>
          <w:lang w:val="et-EE"/>
        </w:rPr>
        <w:t>Rights</w:t>
      </w:r>
      <w:proofErr w:type="spellEnd"/>
      <w:r w:rsidR="007F02E3">
        <w:rPr>
          <w:sz w:val="24"/>
          <w:lang w:val="et-EE"/>
        </w:rPr>
        <w:t> </w:t>
      </w:r>
      <w:r w:rsidRPr="00407228">
        <w:rPr>
          <w:sz w:val="24"/>
          <w:lang w:val="et-EE"/>
        </w:rPr>
        <w:t>2020“ (ELi kodakondsust käsitlev 2020. aasta lõpparuanne: ELi kodakondsusega seotud õigusi käsitleva 2020. aasta avaliku konsultatsiooni tulemused), detsember 2020.</w:t>
      </w:r>
    </w:p>
  </w:footnote>
  <w:footnote w:id="24">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 xml:space="preserve">Andmed: sissetulekuid ja elamistingimusi käsitlev ELi statistika ja ELi tööjõu uuring; </w:t>
      </w:r>
      <w:proofErr w:type="spellStart"/>
      <w:r w:rsidRPr="00407228">
        <w:rPr>
          <w:sz w:val="24"/>
          <w:lang w:val="et-EE"/>
        </w:rPr>
        <w:t>Grammenos</w:t>
      </w:r>
      <w:proofErr w:type="spellEnd"/>
      <w:r w:rsidRPr="00407228">
        <w:rPr>
          <w:sz w:val="24"/>
          <w:lang w:val="et-EE"/>
        </w:rPr>
        <w:t xml:space="preserve">, S. ja </w:t>
      </w:r>
      <w:proofErr w:type="spellStart"/>
      <w:r w:rsidRPr="00407228">
        <w:rPr>
          <w:sz w:val="24"/>
          <w:lang w:val="et-EE"/>
        </w:rPr>
        <w:t>Priestley</w:t>
      </w:r>
      <w:proofErr w:type="spellEnd"/>
      <w:r w:rsidRPr="00407228">
        <w:rPr>
          <w:sz w:val="24"/>
          <w:lang w:val="et-EE"/>
        </w:rPr>
        <w:t>, M., „</w:t>
      </w:r>
      <w:proofErr w:type="spellStart"/>
      <w:r w:rsidRPr="00407228">
        <w:rPr>
          <w:sz w:val="24"/>
          <w:lang w:val="et-EE"/>
        </w:rPr>
        <w:t>Europe</w:t>
      </w:r>
      <w:proofErr w:type="spellEnd"/>
      <w:r w:rsidRPr="00407228">
        <w:rPr>
          <w:sz w:val="24"/>
          <w:lang w:val="et-EE"/>
        </w:rPr>
        <w:t xml:space="preserve"> 2020 </w:t>
      </w:r>
      <w:proofErr w:type="spellStart"/>
      <w:r w:rsidRPr="00407228">
        <w:rPr>
          <w:sz w:val="24"/>
          <w:lang w:val="et-EE"/>
        </w:rPr>
        <w:t>data</w:t>
      </w:r>
      <w:proofErr w:type="spellEnd"/>
      <w:r w:rsidRPr="00407228">
        <w:rPr>
          <w:sz w:val="24"/>
          <w:lang w:val="et-EE"/>
        </w:rPr>
        <w:t xml:space="preserve"> and </w:t>
      </w:r>
      <w:proofErr w:type="spellStart"/>
      <w:r w:rsidRPr="00407228">
        <w:rPr>
          <w:sz w:val="24"/>
          <w:lang w:val="et-EE"/>
        </w:rPr>
        <w:t>people</w:t>
      </w:r>
      <w:proofErr w:type="spellEnd"/>
      <w:r w:rsidRPr="00407228">
        <w:rPr>
          <w:sz w:val="24"/>
          <w:lang w:val="et-EE"/>
        </w:rPr>
        <w:t xml:space="preserve"> </w:t>
      </w:r>
      <w:proofErr w:type="spellStart"/>
      <w:r w:rsidRPr="00407228">
        <w:rPr>
          <w:sz w:val="24"/>
          <w:lang w:val="et-EE"/>
        </w:rPr>
        <w:t>with</w:t>
      </w:r>
      <w:proofErr w:type="spellEnd"/>
      <w:r w:rsidRPr="00407228">
        <w:rPr>
          <w:sz w:val="24"/>
          <w:lang w:val="et-EE"/>
        </w:rPr>
        <w:t xml:space="preserve"> </w:t>
      </w:r>
      <w:proofErr w:type="spellStart"/>
      <w:r w:rsidRPr="00407228">
        <w:rPr>
          <w:sz w:val="24"/>
          <w:lang w:val="et-EE"/>
        </w:rPr>
        <w:t>disabilities</w:t>
      </w:r>
      <w:proofErr w:type="spellEnd"/>
      <w:r w:rsidRPr="00407228">
        <w:rPr>
          <w:sz w:val="24"/>
          <w:lang w:val="et-EE"/>
        </w:rPr>
        <w:t xml:space="preserve"> – </w:t>
      </w:r>
      <w:proofErr w:type="spellStart"/>
      <w:r w:rsidRPr="00407228">
        <w:rPr>
          <w:sz w:val="24"/>
          <w:lang w:val="et-EE"/>
        </w:rPr>
        <w:t>tables</w:t>
      </w:r>
      <w:proofErr w:type="spellEnd"/>
      <w:r w:rsidRPr="00407228">
        <w:rPr>
          <w:sz w:val="24"/>
          <w:lang w:val="et-EE"/>
        </w:rPr>
        <w:t xml:space="preserve">“ (Strateegia „Euroopa 2020“ andmed ja puuetega inimesed – tabelid). </w:t>
      </w:r>
      <w:proofErr w:type="spellStart"/>
      <w:r w:rsidRPr="00407228">
        <w:rPr>
          <w:sz w:val="24"/>
          <w:lang w:val="et-EE"/>
        </w:rPr>
        <w:t>Eurostat</w:t>
      </w:r>
      <w:proofErr w:type="spellEnd"/>
      <w:r w:rsidRPr="00407228">
        <w:rPr>
          <w:sz w:val="24"/>
          <w:lang w:val="et-EE"/>
        </w:rPr>
        <w:t>, 2020.</w:t>
      </w:r>
    </w:p>
  </w:footnote>
  <w:footnote w:id="25">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Pr="00407228">
        <w:rPr>
          <w:sz w:val="24"/>
          <w:lang w:val="et-EE"/>
        </w:rPr>
        <w:t>Komisjoni 17. juuni 2022. aasta teatis „Euroopa tuleviku konverents. Visioonist reaalsuseks“ (COM(2022)0404).</w:t>
      </w:r>
    </w:p>
  </w:footnote>
  <w:footnote w:id="26">
    <w:p w:rsidR="001D5A5A" w:rsidRPr="00407228" w:rsidRDefault="001D5A5A" w:rsidP="00407228">
      <w:pPr>
        <w:pStyle w:val="FootnoteText"/>
        <w:ind w:left="567" w:hanging="567"/>
        <w:rPr>
          <w:sz w:val="24"/>
          <w:lang w:val="et-EE"/>
        </w:rPr>
      </w:pPr>
      <w:r w:rsidRPr="00407228">
        <w:rPr>
          <w:rStyle w:val="FootnoteReference"/>
          <w:sz w:val="24"/>
          <w:lang w:val="et-EE"/>
        </w:rPr>
        <w:footnoteRef/>
      </w:r>
      <w:r w:rsidR="00407228" w:rsidRPr="00407228">
        <w:rPr>
          <w:sz w:val="24"/>
          <w:lang w:val="et-EE"/>
        </w:rPr>
        <w:t xml:space="preserve"> </w:t>
      </w:r>
      <w:r w:rsidR="00407228" w:rsidRPr="00407228">
        <w:rPr>
          <w:sz w:val="24"/>
          <w:lang w:val="et-EE"/>
        </w:rPr>
        <w:tab/>
      </w:r>
      <w:r w:rsidR="0014733F">
        <w:rPr>
          <w:sz w:val="24"/>
          <w:lang w:val="et-EE"/>
        </w:rPr>
        <w:t xml:space="preserve">Euroopa </w:t>
      </w:r>
      <w:r w:rsidRPr="00407228">
        <w:rPr>
          <w:sz w:val="24"/>
          <w:lang w:val="et-EE"/>
        </w:rPr>
        <w:t xml:space="preserve">Parlamendi ja nõukogu </w:t>
      </w:r>
      <w:r w:rsidR="007F02E3">
        <w:rPr>
          <w:sz w:val="24"/>
          <w:lang w:val="et-EE"/>
        </w:rPr>
        <w:t xml:space="preserve">30. mai 2001. aasta määrus (EÜ) </w:t>
      </w:r>
      <w:r w:rsidRPr="00407228">
        <w:rPr>
          <w:sz w:val="24"/>
          <w:lang w:val="et-EE"/>
        </w:rPr>
        <w:t>nr 1049/2001 üldsuse juurdepääsu kohta Euroopa Parlamendi, nõukogu ja komisjoni dokumentidele (EÜT L 145, 31.5.2001, lk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72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72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72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ET"/>
    <w:docVar w:name="dvnumam" w:val="0"/>
    <w:docVar w:name="dvpe" w:val="754.647"/>
    <w:docVar w:name="dvrapporteur" w:val="Raportöör: "/>
    <w:docVar w:name="dvtitre" w:val="Euroopa Parlamendi .... 2024. aasta resolutsioon ELi kodakondsust käsitlevate aluslepingu sätete rakendamise kohta(2023/2085(INI))"/>
  </w:docVars>
  <w:rsids>
    <w:rsidRoot w:val="00C60339"/>
    <w:rsid w:val="00002272"/>
    <w:rsid w:val="00064002"/>
    <w:rsid w:val="000677B9"/>
    <w:rsid w:val="000831BA"/>
    <w:rsid w:val="000A42CC"/>
    <w:rsid w:val="000E7DD9"/>
    <w:rsid w:val="0010095E"/>
    <w:rsid w:val="00125B37"/>
    <w:rsid w:val="0014733F"/>
    <w:rsid w:val="00187494"/>
    <w:rsid w:val="001D5A5A"/>
    <w:rsid w:val="001F32AE"/>
    <w:rsid w:val="002767FF"/>
    <w:rsid w:val="002B18FE"/>
    <w:rsid w:val="002B5493"/>
    <w:rsid w:val="00343214"/>
    <w:rsid w:val="00361C00"/>
    <w:rsid w:val="00395FA1"/>
    <w:rsid w:val="003E15D4"/>
    <w:rsid w:val="0040722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02E3"/>
    <w:rsid w:val="00817416"/>
    <w:rsid w:val="00842779"/>
    <w:rsid w:val="0084522C"/>
    <w:rsid w:val="00865F67"/>
    <w:rsid w:val="00881A7B"/>
    <w:rsid w:val="008840E5"/>
    <w:rsid w:val="00887B3E"/>
    <w:rsid w:val="008C2AC6"/>
    <w:rsid w:val="008F6F0A"/>
    <w:rsid w:val="00930C23"/>
    <w:rsid w:val="0093193B"/>
    <w:rsid w:val="009509D8"/>
    <w:rsid w:val="00950B64"/>
    <w:rsid w:val="00981893"/>
    <w:rsid w:val="009C0F9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339"/>
    <w:rsid w:val="00C61C0C"/>
    <w:rsid w:val="00C941CB"/>
    <w:rsid w:val="00CC2357"/>
    <w:rsid w:val="00CF071A"/>
    <w:rsid w:val="00D0332A"/>
    <w:rsid w:val="00D058B8"/>
    <w:rsid w:val="00D56C11"/>
    <w:rsid w:val="00D63BE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A9ED2"/>
  <w15:chartTrackingRefBased/>
  <w15:docId w15:val="{25BB0E3D-A837-48B3-8340-B5AE0EF5A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D5A5A"/>
    <w:pPr>
      <w:spacing w:after="240"/>
      <w:ind w:left="567" w:hanging="567"/>
    </w:pPr>
  </w:style>
  <w:style w:type="character" w:styleId="Hyperlink">
    <w:name w:val="Hyperlink"/>
    <w:basedOn w:val="DefaultParagraphFont"/>
    <w:uiPriority w:val="99"/>
    <w:unhideWhenUsed/>
    <w:rsid w:val="001D5A5A"/>
    <w:rPr>
      <w:color w:val="0563C1" w:themeColor="hyperlink"/>
      <w:u w:val="single"/>
    </w:rPr>
  </w:style>
  <w:style w:type="paragraph" w:customStyle="1" w:styleId="Normal12">
    <w:name w:val="Normal12"/>
    <w:basedOn w:val="Normal"/>
    <w:rsid w:val="001D5A5A"/>
    <w:pPr>
      <w:spacing w:after="240"/>
    </w:pPr>
  </w:style>
  <w:style w:type="character" w:customStyle="1" w:styleId="doceo-font-family-base">
    <w:name w:val="doceo-font-family-base"/>
    <w:basedOn w:val="DefaultParagraphFont"/>
    <w:rsid w:val="001D5A5A"/>
  </w:style>
  <w:style w:type="character" w:customStyle="1" w:styleId="y2iqfc">
    <w:name w:val="y2iqfc"/>
    <w:basedOn w:val="DefaultParagraphFont"/>
    <w:rsid w:val="001D5A5A"/>
  </w:style>
  <w:style w:type="paragraph" w:customStyle="1" w:styleId="AMNumberTabs">
    <w:name w:val="AMNumberTabs"/>
    <w:basedOn w:val="Normal"/>
    <w:rsid w:val="001D5A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1D5A5A"/>
    <w:rPr>
      <w:sz w:val="24"/>
      <w:lang w:val="et-EE"/>
    </w:rPr>
  </w:style>
  <w:style w:type="paragraph" w:styleId="BalloonText">
    <w:name w:val="Balloon Text"/>
    <w:basedOn w:val="Normal"/>
    <w:link w:val="BalloonTextChar"/>
    <w:rsid w:val="007F02E3"/>
    <w:rPr>
      <w:rFonts w:ascii="Segoe UI" w:hAnsi="Segoe UI" w:cs="Segoe UI"/>
      <w:sz w:val="18"/>
      <w:szCs w:val="18"/>
    </w:rPr>
  </w:style>
  <w:style w:type="character" w:customStyle="1" w:styleId="BalloonTextChar">
    <w:name w:val="Balloon Text Char"/>
    <w:basedOn w:val="DefaultParagraphFont"/>
    <w:link w:val="BalloonText"/>
    <w:rsid w:val="007F02E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DA5A3-6FCD-4F08-B5F9-350899DD7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3203</Words>
  <Characters>23828</Characters>
  <Application>Microsoft Office Word</Application>
  <DocSecurity>0</DocSecurity>
  <Lines>198</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2024-02-14T08:19:00Z</dcterms:created>
  <dcterms:modified xsi:type="dcterms:W3CDTF">2024-02-14T08:19:00Z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A9-0436/2023</vt:lpwstr>
  </property>
  <property fmtid="{D5CDD505-2E9C-101B-9397-08002B2CF9AE}" pid="4" name="&lt;Type&gt;">
    <vt:lpwstr>RR</vt:lpwstr>
  </property>
</Properties>
</file>