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7B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7B7E" w:rsidRDefault="008646B7" w:rsidP="0010095E">
            <w:pPr>
              <w:pStyle w:val="EPName"/>
            </w:pPr>
            <w:r w:rsidRPr="00BF7B7E">
              <w:t>Europski parlament</w:t>
            </w:r>
          </w:p>
          <w:p w:rsidR="00751A4A" w:rsidRPr="00BF7B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7B7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F7B7E" w:rsidRDefault="00187494" w:rsidP="0010095E">
            <w:pPr>
              <w:pStyle w:val="EPLogo"/>
            </w:pPr>
            <w:r w:rsidRPr="00BF7B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7B7E" w:rsidRDefault="00D058B8" w:rsidP="004C5D52">
      <w:pPr>
        <w:pStyle w:val="LineTop"/>
      </w:pPr>
    </w:p>
    <w:p w:rsidR="00680577" w:rsidRPr="00BF7B7E" w:rsidRDefault="008646B7" w:rsidP="00680577">
      <w:pPr>
        <w:pStyle w:val="EPBodyTA1"/>
      </w:pPr>
      <w:r w:rsidRPr="00BF7B7E">
        <w:t>USVOJENI TEKSTOVI</w:t>
      </w:r>
    </w:p>
    <w:p w:rsidR="00D058B8" w:rsidRPr="00BF7B7E" w:rsidRDefault="00D058B8" w:rsidP="00D058B8">
      <w:pPr>
        <w:pStyle w:val="LineBottom"/>
      </w:pPr>
    </w:p>
    <w:p w:rsidR="008646B7" w:rsidRPr="00BF7B7E" w:rsidRDefault="008646B7" w:rsidP="008646B7">
      <w:pPr>
        <w:pStyle w:val="ATHeading1"/>
      </w:pPr>
      <w:bookmarkStart w:id="0" w:name="TANumber"/>
      <w:r w:rsidRPr="00BF7B7E">
        <w:t>P9_TA(2024)00</w:t>
      </w:r>
      <w:bookmarkEnd w:id="0"/>
      <w:r w:rsidR="008B5F30" w:rsidRPr="00BF7B7E">
        <w:t>24</w:t>
      </w:r>
    </w:p>
    <w:p w:rsidR="008646B7" w:rsidRPr="00BF7B7E" w:rsidRDefault="008646B7" w:rsidP="008646B7">
      <w:pPr>
        <w:pStyle w:val="ATHeading2"/>
      </w:pPr>
      <w:bookmarkStart w:id="1" w:name="title"/>
      <w:r w:rsidRPr="00BF7B7E">
        <w:t>Provedba odredbi Ugovora o građanstvu EU-a</w:t>
      </w:r>
      <w:bookmarkEnd w:id="1"/>
    </w:p>
    <w:p w:rsidR="008646B7" w:rsidRPr="00BF7B7E" w:rsidRDefault="008646B7" w:rsidP="008646B7">
      <w:pPr>
        <w:rPr>
          <w:i/>
          <w:vanish/>
        </w:rPr>
      </w:pPr>
      <w:r w:rsidRPr="00BF7B7E">
        <w:rPr>
          <w:i/>
        </w:rPr>
        <w:fldChar w:fldCharType="begin"/>
      </w:r>
      <w:r w:rsidRPr="00BF7B7E">
        <w:rPr>
          <w:i/>
        </w:rPr>
        <w:instrText xml:space="preserve"> TC"(</w:instrText>
      </w:r>
      <w:bookmarkStart w:id="2" w:name="DocNumber"/>
      <w:r w:rsidRPr="00BF7B7E">
        <w:rPr>
          <w:i/>
        </w:rPr>
        <w:instrText>A9-0436/2023</w:instrText>
      </w:r>
      <w:bookmarkEnd w:id="2"/>
      <w:r w:rsidRPr="00BF7B7E">
        <w:rPr>
          <w:i/>
        </w:rPr>
        <w:instrText xml:space="preserve"> - Izvjestiteljica: </w:instrText>
      </w:r>
      <w:proofErr w:type="spellStart"/>
      <w:r w:rsidRPr="00BF7B7E">
        <w:rPr>
          <w:i/>
        </w:rPr>
        <w:instrText>Maite</w:instrText>
      </w:r>
      <w:proofErr w:type="spellEnd"/>
      <w:r w:rsidRPr="00BF7B7E">
        <w:rPr>
          <w:i/>
        </w:rPr>
        <w:instrText xml:space="preserve"> </w:instrText>
      </w:r>
      <w:proofErr w:type="spellStart"/>
      <w:r w:rsidRPr="00BF7B7E">
        <w:rPr>
          <w:i/>
        </w:rPr>
        <w:instrText>Pagazaurtundúa</w:instrText>
      </w:r>
      <w:proofErr w:type="spellEnd"/>
      <w:r w:rsidRPr="00BF7B7E">
        <w:rPr>
          <w:i/>
        </w:rPr>
        <w:instrText xml:space="preserve">)"\l3 \n&gt; \* MERGEFORMAT </w:instrText>
      </w:r>
      <w:r w:rsidRPr="00BF7B7E">
        <w:rPr>
          <w:i/>
        </w:rPr>
        <w:fldChar w:fldCharType="end"/>
      </w:r>
    </w:p>
    <w:p w:rsidR="008646B7" w:rsidRPr="00BF7B7E" w:rsidRDefault="008646B7" w:rsidP="008646B7">
      <w:pPr>
        <w:rPr>
          <w:vanish/>
        </w:rPr>
      </w:pPr>
      <w:bookmarkStart w:id="3" w:name="Commission"/>
      <w:r w:rsidRPr="00BF7B7E">
        <w:rPr>
          <w:vanish/>
        </w:rPr>
        <w:t>Odbor za ustavna pitanja</w:t>
      </w:r>
      <w:bookmarkEnd w:id="3"/>
    </w:p>
    <w:p w:rsidR="008646B7" w:rsidRPr="00BF7B7E" w:rsidRDefault="008646B7" w:rsidP="008646B7">
      <w:pPr>
        <w:rPr>
          <w:vanish/>
        </w:rPr>
      </w:pPr>
      <w:bookmarkStart w:id="4" w:name="PE"/>
      <w:r w:rsidRPr="00BF7B7E">
        <w:rPr>
          <w:vanish/>
        </w:rPr>
        <w:t>PE754.647</w:t>
      </w:r>
      <w:bookmarkEnd w:id="4"/>
    </w:p>
    <w:p w:rsidR="008646B7" w:rsidRPr="00BF7B7E" w:rsidRDefault="008646B7" w:rsidP="008646B7">
      <w:pPr>
        <w:pStyle w:val="ATHeading3"/>
      </w:pPr>
      <w:bookmarkStart w:id="5" w:name="Sujet"/>
      <w:r w:rsidRPr="00BF7B7E">
        <w:t>Rezoluc</w:t>
      </w:r>
      <w:r w:rsidR="00995952" w:rsidRPr="00BF7B7E">
        <w:t>ija Europskog parlamenta od 17. siječnja</w:t>
      </w:r>
      <w:r w:rsidRPr="00BF7B7E">
        <w:t xml:space="preserve"> 2024. o provedbi odredbi Ugovora o građanstvu EU-a</w:t>
      </w:r>
      <w:bookmarkEnd w:id="5"/>
      <w:r w:rsidRPr="00BF7B7E">
        <w:t xml:space="preserve"> </w:t>
      </w:r>
      <w:bookmarkStart w:id="6" w:name="References"/>
      <w:r w:rsidRPr="00BF7B7E">
        <w:t>(2023/2085(INI))</w:t>
      </w:r>
      <w:bookmarkEnd w:id="6"/>
    </w:p>
    <w:p w:rsidR="008646B7" w:rsidRPr="00BF7B7E" w:rsidRDefault="008646B7" w:rsidP="008646B7"/>
    <w:p w:rsidR="00F742FC" w:rsidRPr="00BF7B7E" w:rsidRDefault="00F742FC" w:rsidP="00F742FC">
      <w:pPr>
        <w:pStyle w:val="NormalBold"/>
        <w:spacing w:after="240"/>
        <w:rPr>
          <w:b w:val="0"/>
        </w:rPr>
      </w:pPr>
      <w:bookmarkStart w:id="7" w:name="TextBodyBegin"/>
      <w:bookmarkEnd w:id="7"/>
      <w:r w:rsidRPr="00BF7B7E">
        <w:rPr>
          <w:b w:val="0"/>
          <w:i/>
        </w:rPr>
        <w:t>Europski parlament</w:t>
      </w:r>
      <w:r w:rsidRPr="00BF7B7E">
        <w:rPr>
          <w:b w:val="0"/>
        </w:rPr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članke 2., 3., 6., 9., 10., 11., 12., 21. i 23. Ugovora o Europskoj uniji (UEU),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članke 15., 20., 21., 22., 24., 26., 45., 46., 47., 48., 153. i 165. Ugovora o funkcioniranju Europske unije (UFEU),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Povelju Europske unije o temeljnim pravima,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Direktivu 2004/38/EZ Europskog parlamenta i Vijeća od 29. travnja 2004. o pravu građana Unije i članova njihovih obitelji na slobodno kretanje i boravište na području države članice, kojom se izmjenjuje Uredba (EEZ) br. 1612/68 i stavljaju izvan snage direktive 64/221/EEZ, 68/360/EEZ, 72/194/EEZ, 73/148/EEZ, 75/34/EEZ, 75/35/EEZ, 90/364/EEZ, 90/365/EEZ i 93/96/EEZ</w:t>
      </w:r>
      <w:r w:rsidRPr="00BF7B7E">
        <w:rPr>
          <w:rStyle w:val="FootnoteReference"/>
          <w:color w:val="000000"/>
        </w:rPr>
        <w:footnoteReference w:id="1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Uredbu (EU) 2021/692 Europskog parlamenta i Vijeća od 28. travnja 2021. o uspostavi programa Građani, jednakost, prava i vrijednosti te o stavljanju izvan snage Uredbe (EU) br. 1381/2013 Europskog parlamenta i Vijeća i Uredbe Vijeća (EU) br. 390/2014</w:t>
      </w:r>
      <w:r w:rsidRPr="00BF7B7E">
        <w:rPr>
          <w:rStyle w:val="FootnoteReference"/>
          <w:color w:val="000000"/>
        </w:rPr>
        <w:footnoteReference w:id="2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Uredbu (EU) br. 492/2011 Europskog parlamenta i Vijeća od 5. travnja 2011. o slobodi kretanja radnika u Uniji</w:t>
      </w:r>
      <w:r w:rsidRPr="00BF7B7E">
        <w:rPr>
          <w:rStyle w:val="FootnoteReference"/>
          <w:color w:val="000000"/>
        </w:rPr>
        <w:footnoteReference w:id="3"/>
      </w:r>
      <w:r w:rsidRPr="00BF7B7E">
        <w:t>,</w:t>
      </w:r>
    </w:p>
    <w:p w:rsidR="00F742FC" w:rsidRPr="00BF7B7E" w:rsidRDefault="00427399" w:rsidP="00F742FC">
      <w:pPr>
        <w:pStyle w:val="NormalHanging12a"/>
      </w:pPr>
      <w:r>
        <w:t>–</w:t>
      </w:r>
      <w:r>
        <w:tab/>
        <w:t>uzimajući u obzir Uredbu (EU) br. </w:t>
      </w:r>
      <w:r w:rsidR="00F742FC" w:rsidRPr="00BF7B7E">
        <w:t xml:space="preserve">2019/1149 Europskog parlamenta i Vijeća od 20. lipnja 2019. o osnivanju Europskoga nadzornog tijela za rad, izmjeni uredaba (EZ) br. 883/2004, (EU) br. 492/2011 i (EU) 2016/589 i stavljanju izvan snage Odluke </w:t>
      </w:r>
      <w:r w:rsidR="00F742FC" w:rsidRPr="00BF7B7E">
        <w:lastRenderedPageBreak/>
        <w:t>(EU) 2016/344</w:t>
      </w:r>
      <w:r w:rsidR="00F742FC" w:rsidRPr="00BF7B7E">
        <w:rPr>
          <w:rStyle w:val="FootnoteReference"/>
          <w:color w:val="000000"/>
        </w:rPr>
        <w:footnoteReference w:id="4"/>
      </w:r>
      <w:r w:rsidR="00F742FC"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Direktivu (EU) 2018/957 Europskog parlamenta i Vijeća od 28. lipnja 2018. o izmjeni Direktive 96/71/EZ o upućivanju radnika u okviru pružanja usluga</w:t>
      </w:r>
      <w:r w:rsidRPr="00BF7B7E">
        <w:rPr>
          <w:rStyle w:val="FootnoteReference"/>
          <w:color w:val="000000"/>
        </w:rPr>
        <w:footnoteReference w:id="5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Uredbu (EU) 2016/589 Europskog parlamenta i Vijeća od 13. travnja 2016. o Europskoj mreži službi za zapošljavanje (EURES), pristupu radnika uslugama mobilnosti i daljnjoj integraciji tržišta rada i izmjeni uredaba (EU) br. 492/2011 i (EU) br. 1296/2013</w:t>
      </w:r>
      <w:r w:rsidRPr="00BF7B7E">
        <w:rPr>
          <w:rStyle w:val="FootnoteReference"/>
          <w:color w:val="000000"/>
        </w:rPr>
        <w:footnoteReference w:id="6"/>
      </w:r>
      <w:r w:rsidRPr="00BF7B7E">
        <w:t>;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Direktivu 2013/55/EU Europskog parlamenta i Vijeća od 20. studenoga 2013. o izmjeni Direktive 2005/36/EZ o priznavanju stručnih kvalifikacija i Uredbe (EU) br. 1024/2012 o administrativnoj suradnji putem Informacijskog sustava unutarnjeg tržišta</w:t>
      </w:r>
      <w:r w:rsidRPr="00BF7B7E">
        <w:rPr>
          <w:rStyle w:val="FootnoteReference"/>
          <w:color w:val="000000"/>
        </w:rPr>
        <w:footnoteReference w:id="7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Direktivu Vijeća (EU) 2015/637 od 20. travnja 2015. o mjerama koordinacije i suradnje za olakšavanje pružanja konzularne zaštite građanima Unije bez predstavništva u trećim zemljama te o stavljanju izvan snage Odluke 95/553/EZ</w:t>
      </w:r>
      <w:r w:rsidRPr="00BF7B7E">
        <w:rPr>
          <w:rStyle w:val="FootnoteReference"/>
        </w:rPr>
        <w:footnoteReference w:id="8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Direktivu Vijeća (EU) 2019/997 od 18. lipnja 2019. o uspostavljanju privremene putne isprave EU-a i stavljanju izvan snage Odluke 96/409/ZVSP</w:t>
      </w:r>
      <w:r w:rsidRPr="00BF7B7E">
        <w:rPr>
          <w:rStyle w:val="FootnoteReference"/>
          <w:color w:val="000000"/>
        </w:rPr>
        <w:footnoteReference w:id="9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Komunikaciju Komisije od 2. srpnja 2009. o smjernicama za bolji prijenos i primjenu Direktive 2004/38/EZ o pravu građana Unije i članova njihovih obitelji na slobodno kretanje i boravište na području države članice (COM(2009)0313),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Uredbu (EU) 2019/788 Europskog parlamenta i Vijeća od 17. travnja 2019. o europskoj građanskoj inicijativi</w:t>
      </w:r>
      <w:r w:rsidRPr="00BF7B7E">
        <w:rPr>
          <w:vertAlign w:val="superscript"/>
        </w:rPr>
        <w:footnoteReference w:id="10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Uredbu (EU) 2020/1042 Europskog parlamenta i Vijeća od 15. srpnja 2020. o utvrđivanju privremenih mjera koje se odnose na rokove za faze prikupljanja, provjere i ispitivanja predviđene u Uredbi (EU) 2019/788 o europskoj građanskoj inicijativi s obzirom na izbijanje bolesti COVID-19</w:t>
      </w:r>
      <w:r w:rsidRPr="00BF7B7E">
        <w:rPr>
          <w:rStyle w:val="FootnoteReference"/>
          <w:color w:val="000000"/>
        </w:rPr>
        <w:footnoteReference w:id="11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komunikaciju Komisije od 2. prosinca 2020. naslovljenu „Strategija za jačanje primjene Povelje o temeljnim pravima u EU-u” (COM(2020)0711),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komunikaciju Komisije od 3. prosinca 2020. naslovljenu „Akcijski plan za europsku demokraciju (COM(2020)0790),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 xml:space="preserve">uzimajući u obzir komunikaciju Komisije od </w:t>
      </w:r>
      <w:r w:rsidRPr="00BF7B7E">
        <w:rPr>
          <w:shd w:val="clear" w:color="auto" w:fill="FFFFFF"/>
        </w:rPr>
        <w:t>25. studenoga 2021.</w:t>
      </w:r>
      <w:r w:rsidRPr="00BF7B7E">
        <w:t xml:space="preserve"> naslovljenu „Zaštita </w:t>
      </w:r>
      <w:r w:rsidRPr="00BF7B7E">
        <w:lastRenderedPageBreak/>
        <w:t>integriteta izbora i promicanje demokratskog sudjelovanja” (COM(2021)0730),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izvješće Komisije od 15. prosinca 2020. naslovljeno „Izvješće o građanstvu EU-a za 2020.: Jačanje položaja građana i zaštita njihovih prava” (COM(2020)0730),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izvješće Komisije od 15. prosinca 2020. u skladu s člankom 25. UFEU-a o napretku prema uspostavljanju građanstva EU-a u praksi u razdoblju 2016. – 2020. (COM(2020)0731),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svoje stajalište od 14. veljače 2023. o Prijedlogu direktive Vijeća o detaljnim aranžmanima za ostvarivanje aktivnog i pasivnog biračkog prava na izborima za Europski parlament za građane Unije koji borave u državi članici čiji nis</w:t>
      </w:r>
      <w:r w:rsidRPr="00BF7B7E">
        <w:rPr>
          <w:rStyle w:val="Bold"/>
          <w:color w:val="000000"/>
        </w:rPr>
        <w:t>u</w:t>
      </w:r>
      <w:r w:rsidRPr="00BF7B7E">
        <w:t xml:space="preserve"> državljani</w:t>
      </w:r>
      <w:r w:rsidRPr="00BF7B7E">
        <w:rPr>
          <w:rStyle w:val="FootnoteReference"/>
          <w:color w:val="000000"/>
        </w:rPr>
        <w:footnoteReference w:id="12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svoje stajalište od 14. veljače 2023. o Prijedlogu direktive Vijeća o utvrđivanju detaljnih aranžmana za ostvarivanje aktivnog i pasivnog biračkog prava na lokalnim izborima za građane Unije koji borave u državi članici čiji nisu državljani</w:t>
      </w:r>
      <w:r w:rsidRPr="00BF7B7E">
        <w:rPr>
          <w:rStyle w:val="FootnoteReference"/>
          <w:color w:val="000000"/>
        </w:rPr>
        <w:footnoteReference w:id="13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svoju Rezoluciju od 12. veljače 2019. o provedbi Ugovora u vezi s građanstvom EU-a</w:t>
      </w:r>
      <w:r w:rsidRPr="00BF7B7E">
        <w:rPr>
          <w:rStyle w:val="FootnoteReference"/>
          <w:color w:val="000000"/>
        </w:rPr>
        <w:footnoteReference w:id="14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svoju Rezoluciju od 9. ožujka 2022. s preporukama Komisiji o programima stjecanja državljanstva i boravišta ulaganjem</w:t>
      </w:r>
      <w:r w:rsidRPr="00BF7B7E">
        <w:rPr>
          <w:rStyle w:val="FootnoteReference"/>
          <w:color w:val="000000"/>
        </w:rPr>
        <w:footnoteReference w:id="15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svoju Rezoluciju od 10. ožujka 2022. o Izvješću o građanstvu EU-a za 2020.: Jačanje položaja građana i zaštita njihovih prava</w:t>
      </w:r>
      <w:r w:rsidRPr="00BF7B7E">
        <w:rPr>
          <w:rStyle w:val="FootnoteReference"/>
          <w:color w:val="000000"/>
        </w:rPr>
        <w:footnoteReference w:id="16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svoju Rezoluciju od 13. lipnja 2023. o provedbi uredbi o europskoj građanskoj inicijativi</w:t>
      </w:r>
      <w:r w:rsidRPr="00BF7B7E">
        <w:rPr>
          <w:rStyle w:val="FootnoteReference"/>
          <w:color w:val="000000"/>
        </w:rPr>
        <w:footnoteReference w:id="17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svoju Rezoluciju od 14. rujna 2023. o parlamentarizmu, europskom građanstvu i demokraciji</w:t>
      </w:r>
      <w:r w:rsidRPr="00BF7B7E">
        <w:rPr>
          <w:rStyle w:val="FootnoteReference"/>
          <w:color w:val="000000"/>
        </w:rPr>
        <w:footnoteReference w:id="18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svoju Rezoluciju od 7. srpnja 2021. o dijalozima s građanima i sudjelovanju građana u donošenju odluka EU-a</w:t>
      </w:r>
      <w:r w:rsidRPr="00BF7B7E">
        <w:rPr>
          <w:rStyle w:val="FootnoteReference"/>
          <w:color w:val="000000"/>
        </w:rPr>
        <w:footnoteReference w:id="19"/>
      </w:r>
      <w:r w:rsidRPr="00BF7B7E">
        <w:t>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 xml:space="preserve">uzimajući u obzir svoju Rezoluciju od 9. ožujka 2022. o suradnji s građanima: pravo na podnošenje predstavki, pravo na obraćanje Europskom </w:t>
      </w:r>
      <w:proofErr w:type="spellStart"/>
      <w:r w:rsidRPr="00BF7B7E">
        <w:t>ombudsmanu</w:t>
      </w:r>
      <w:proofErr w:type="spellEnd"/>
      <w:r w:rsidRPr="00BF7B7E">
        <w:t xml:space="preserve"> i europska građanska inicijativa</w:t>
      </w:r>
      <w:r w:rsidRPr="00BF7B7E">
        <w:rPr>
          <w:rStyle w:val="FootnoteReference"/>
          <w:color w:val="000000"/>
        </w:rPr>
        <w:footnoteReference w:id="20"/>
      </w:r>
      <w:r w:rsidRPr="00BF7B7E">
        <w:t>,</w:t>
      </w:r>
    </w:p>
    <w:p w:rsidR="00F742FC" w:rsidRPr="00BF7B7E" w:rsidRDefault="00F742FC" w:rsidP="00F742FC">
      <w:pPr>
        <w:pStyle w:val="NormalHanging12a"/>
        <w:rPr>
          <w:szCs w:val="23"/>
        </w:rPr>
      </w:pPr>
      <w:r w:rsidRPr="00BF7B7E">
        <w:t>–</w:t>
      </w:r>
      <w:r w:rsidRPr="00BF7B7E">
        <w:tab/>
        <w:t xml:space="preserve">uzimajući u obzir svoju Rezoluciju od 15. ožujka 2017. o preprekama slobodnom </w:t>
      </w:r>
      <w:r w:rsidRPr="00BF7B7E">
        <w:lastRenderedPageBreak/>
        <w:t>kretanju i radu građana EU-a na unutarnjem tržištu</w:t>
      </w:r>
      <w:r w:rsidRPr="00BF7B7E">
        <w:rPr>
          <w:rStyle w:val="FootnoteReference"/>
          <w:color w:val="000000"/>
          <w:szCs w:val="23"/>
        </w:rPr>
        <w:footnoteReference w:id="21"/>
      </w:r>
      <w:r w:rsidRPr="00BF7B7E">
        <w:t>,</w:t>
      </w:r>
    </w:p>
    <w:p w:rsidR="00F742FC" w:rsidRPr="00BF7B7E" w:rsidRDefault="00F742FC" w:rsidP="00F742FC">
      <w:pPr>
        <w:pStyle w:val="NormalHanging12a"/>
        <w:rPr>
          <w:szCs w:val="23"/>
        </w:rPr>
      </w:pPr>
      <w:r w:rsidRPr="00BF7B7E">
        <w:t>–</w:t>
      </w:r>
      <w:r w:rsidRPr="00BF7B7E">
        <w:tab/>
        <w:t>uzimajući u obzir izvješće Agencije Europske unije za temeljna prava o temeljnim pravima za 2023.,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izvješće o konačnom ishodu Konferencije o budućnosti Europe,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 xml:space="preserve">uzimajući u obzir rezultate istraživanja Flash </w:t>
      </w:r>
      <w:proofErr w:type="spellStart"/>
      <w:r w:rsidRPr="00BF7B7E">
        <w:t>Eurobarometra</w:t>
      </w:r>
      <w:proofErr w:type="spellEnd"/>
      <w:r w:rsidRPr="00BF7B7E">
        <w:t xml:space="preserve"> br. 485 iz 2020. i standardnog istraživanja </w:t>
      </w:r>
      <w:proofErr w:type="spellStart"/>
      <w:r w:rsidRPr="00BF7B7E">
        <w:t>Eurobarometra</w:t>
      </w:r>
      <w:proofErr w:type="spellEnd"/>
      <w:r w:rsidRPr="00BF7B7E">
        <w:t xml:space="preserve"> br. 99 iz 2023.,</w:t>
      </w:r>
    </w:p>
    <w:p w:rsidR="008B5F30" w:rsidRPr="00BF7B7E" w:rsidRDefault="008B5F30" w:rsidP="00F742FC">
      <w:pPr>
        <w:pStyle w:val="NormalHanging12a"/>
      </w:pPr>
      <w:r w:rsidRPr="00BF7B7E">
        <w:t>–</w:t>
      </w:r>
      <w:r w:rsidRPr="00BF7B7E">
        <w:tab/>
        <w:t>uzimajući u obzir izvješće Komisije u skladu s člankom 25. UFEU-a od 6. prosinca 2023. o napretku prema uspostavljanju građanstva EU-a u praksi u razdoblju 2020. – 2023. (COM(2023)0931) (Izvješće o građanstvu EU-a za 2023.),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članak 54. Poslovnika, kao i članak 1. stavak 1. točku (e) te Prilog III. Odluci Konferencije predsjednika od 12. prosinca 2002. o postupku odobrenja izrade izvješća o vlastitoj inicijativi,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mišljenje Odbora za građanske slobode, pravosuđe i unutarnje poslove,</w:t>
      </w:r>
    </w:p>
    <w:p w:rsidR="00F742FC" w:rsidRPr="00BF7B7E" w:rsidRDefault="00F742FC" w:rsidP="00F742FC">
      <w:pPr>
        <w:pStyle w:val="NormalHanging12a"/>
      </w:pPr>
      <w:r w:rsidRPr="00BF7B7E">
        <w:t>–</w:t>
      </w:r>
      <w:r w:rsidRPr="00BF7B7E">
        <w:tab/>
        <w:t>uzimajući u obzir izvješće Odbora za ustavna pitanja (A9</w:t>
      </w:r>
      <w:r w:rsidRPr="00BF7B7E">
        <w:noBreakHyphen/>
        <w:t>0436/2023),</w:t>
      </w:r>
    </w:p>
    <w:p w:rsidR="00F742FC" w:rsidRPr="00BF7B7E" w:rsidRDefault="00F742FC" w:rsidP="00F742FC">
      <w:pPr>
        <w:pStyle w:val="NormalHanging12a"/>
      </w:pPr>
      <w:r w:rsidRPr="00BF7B7E">
        <w:t>A.</w:t>
      </w:r>
      <w:r w:rsidRPr="00BF7B7E">
        <w:tab/>
        <w:t xml:space="preserve">budući da je građanstvo EU-a uspostavljeno stupanjem na snagu Ugovora iz </w:t>
      </w:r>
      <w:proofErr w:type="spellStart"/>
      <w:r w:rsidRPr="00BF7B7E">
        <w:t>Maastrichta</w:t>
      </w:r>
      <w:proofErr w:type="spellEnd"/>
      <w:r w:rsidRPr="00BF7B7E">
        <w:t xml:space="preserve"> 1993. te je dodatno ojačano Ugovorom iz Lisabona iz 2009.; budući da je od njegove uspostave prošlo trideset godina te da su se dogodile velike društvene, digitalne, gospodarske i političke promjene;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t>B.</w:t>
      </w:r>
      <w:r w:rsidRPr="00BF7B7E">
        <w:rPr>
          <w:b/>
          <w:i/>
        </w:rPr>
        <w:tab/>
      </w:r>
      <w:r w:rsidRPr="00BF7B7E">
        <w:t xml:space="preserve">budući da je u skladu s člankom 20. stavkom 1. UFEU-a građanstvo EU-a dodatak nacionalnom državljanstvu te da ga ono ne </w:t>
      </w:r>
      <w:r w:rsidRPr="00BF7B7E">
        <w:rPr>
          <w:color w:val="333333"/>
          <w:sz w:val="27"/>
          <w:shd w:val="clear" w:color="auto" w:fill="FFFFFF"/>
        </w:rPr>
        <w:t>zamjenjuje</w:t>
      </w:r>
      <w:r w:rsidRPr="00BF7B7E">
        <w:t>; budući da građanstvo EU-a još uvijek ne podrazumijeva nikakve obveze za građane Unije;</w:t>
      </w:r>
    </w:p>
    <w:p w:rsidR="00F742FC" w:rsidRPr="00BF7B7E" w:rsidRDefault="00F742FC" w:rsidP="00F742FC">
      <w:pPr>
        <w:pStyle w:val="NormalHanging12a"/>
        <w:rPr>
          <w:shd w:val="clear" w:color="auto" w:fill="FFFFFF"/>
        </w:rPr>
      </w:pPr>
      <w:r w:rsidRPr="00BF7B7E">
        <w:t>C.</w:t>
      </w:r>
      <w:r w:rsidRPr="00BF7B7E">
        <w:tab/>
      </w:r>
      <w:r w:rsidRPr="00BF7B7E">
        <w:rPr>
          <w:shd w:val="clear" w:color="auto" w:fill="FFFFFF"/>
        </w:rPr>
        <w:t>budući da je građanstvo EU-a jedinstven konstrukt koji odražava zajednički demokratski identitet i zajedničke vrijednosti građana EU-a te da je doprinijelo stvaranju veza, promicanju jednakosti i odbacivanju svih oblika rasizma i diskriminacije; budući da građanstvo EU-a još uvijek nije ostvarilo svoj puni potencijal;</w:t>
      </w:r>
    </w:p>
    <w:p w:rsidR="00F742FC" w:rsidRPr="00BF7B7E" w:rsidRDefault="00F742FC" w:rsidP="00F742FC">
      <w:pPr>
        <w:pStyle w:val="NormalHanging12a"/>
      </w:pPr>
      <w:r w:rsidRPr="00BF7B7E">
        <w:rPr>
          <w:shd w:val="clear" w:color="auto" w:fill="FFFFFF"/>
        </w:rPr>
        <w:t>D.</w:t>
      </w:r>
      <w:r w:rsidRPr="00BF7B7E">
        <w:rPr>
          <w:b/>
          <w:i/>
          <w:shd w:val="clear" w:color="auto" w:fill="FFFFFF"/>
        </w:rPr>
        <w:tab/>
      </w:r>
      <w:r w:rsidRPr="00BF7B7E">
        <w:rPr>
          <w:shd w:val="clear" w:color="auto" w:fill="FFFFFF"/>
        </w:rPr>
        <w:t>budući da je sloboda kretanja omogućila više od 15 milijuna građana EU-a</w:t>
      </w:r>
      <w:r w:rsidRPr="00BF7B7E">
        <w:rPr>
          <w:rStyle w:val="FootnoteReference"/>
          <w:shd w:val="clear" w:color="auto" w:fill="FFFFFF"/>
        </w:rPr>
        <w:footnoteReference w:id="22"/>
      </w:r>
      <w:r w:rsidRPr="00BF7B7E">
        <w:rPr>
          <w:shd w:val="clear" w:color="auto" w:fill="FFFFFF"/>
        </w:rPr>
        <w:t xml:space="preserve"> da žive i rade u drugoj državi članici, a svim građanima EU-a da slobodno putuju diljem Unije, zbog čega je građanstvo EU-a važnije nego ikad prije;</w:t>
      </w:r>
    </w:p>
    <w:p w:rsidR="00F742FC" w:rsidRPr="00BF7B7E" w:rsidRDefault="00F742FC" w:rsidP="00F742FC">
      <w:pPr>
        <w:pStyle w:val="NormalHanging12a"/>
      </w:pPr>
      <w:r w:rsidRPr="00BF7B7E">
        <w:t>E.</w:t>
      </w:r>
      <w:r w:rsidRPr="00BF7B7E">
        <w:tab/>
      </w:r>
      <w:r w:rsidRPr="00BF7B7E">
        <w:rPr>
          <w:shd w:val="clear" w:color="auto" w:fill="FFFFFF"/>
        </w:rPr>
        <w:t>budući da građani EU-a prečesto nemaju dovoljnu razinu osviještenosti, znanja i razumijevanja prava, građanskih dužnosti i sloboda koje proizlaze iz njihova građanstva EU-a; budući da i dalje postoje znatni nedostaci u praktičnoj primjeni građanstva EU-a i u punom ostvarivanju prava i sloboda koje iz njega proizlaze te da su neki od tih nedostataka uzrokovani neujednačenom provedbom zakonodavstva EU-a u državama članicama;</w:t>
      </w:r>
    </w:p>
    <w:p w:rsidR="00F742FC" w:rsidRPr="00BF7B7E" w:rsidRDefault="00F742FC" w:rsidP="00F742FC">
      <w:pPr>
        <w:pStyle w:val="NormalHanging12a"/>
      </w:pPr>
      <w:r w:rsidRPr="00BF7B7E">
        <w:lastRenderedPageBreak/>
        <w:t>F.</w:t>
      </w:r>
      <w:r w:rsidRPr="00BF7B7E">
        <w:tab/>
        <w:t>budući da su rezultati javnog savjetovanja o građanstvu EU-a 2020. pokazali da više od 60 % sudionika ne smatra da je dobro informirano o svojim pravima koja proizlaze iz građanstva EU-a</w:t>
      </w:r>
      <w:r w:rsidRPr="00BF7B7E">
        <w:rPr>
          <w:rStyle w:val="FootnoteReference"/>
          <w:color w:val="000000"/>
          <w:szCs w:val="24"/>
        </w:rPr>
        <w:footnoteReference w:id="23"/>
      </w:r>
      <w:r w:rsidRPr="00BF7B7E">
        <w:t>;</w:t>
      </w:r>
      <w:r w:rsidR="008B5F30" w:rsidRPr="00BF7B7E">
        <w:t xml:space="preserve"> budući da istraživanje Flash </w:t>
      </w:r>
      <w:proofErr w:type="spellStart"/>
      <w:r w:rsidR="008B5F30" w:rsidRPr="00BF7B7E">
        <w:t>Eurobarometra</w:t>
      </w:r>
      <w:proofErr w:type="spellEnd"/>
      <w:r w:rsidR="008B5F30" w:rsidRPr="00BF7B7E">
        <w:t xml:space="preserve"> o građanstvu i demokraciji iz 2023. pokazuje da polovica ispitanika smatra da je dobro informirana o pravima koja imaju kao građani EU-a;</w:t>
      </w:r>
    </w:p>
    <w:p w:rsidR="00F742FC" w:rsidRPr="00BF7B7E" w:rsidRDefault="00F742FC" w:rsidP="00F742FC">
      <w:pPr>
        <w:pStyle w:val="NormalHanging12a"/>
      </w:pPr>
      <w:r w:rsidRPr="00BF7B7E">
        <w:t>G.</w:t>
      </w:r>
      <w:r w:rsidRPr="00BF7B7E">
        <w:tab/>
        <w:t xml:space="preserve">budući da se građani EU-a suočavaju s dosad nezabilježenim izazovima zbog </w:t>
      </w:r>
      <w:proofErr w:type="spellStart"/>
      <w:r w:rsidRPr="00BF7B7E">
        <w:t>pandemije</w:t>
      </w:r>
      <w:proofErr w:type="spellEnd"/>
      <w:r w:rsidRPr="00BF7B7E">
        <w:t xml:space="preserve"> bolesti COVID-19, zajedno s digitalnom revolucijom te s njome povezanim društvenim i gospodarskim preobrazbama;</w:t>
      </w:r>
    </w:p>
    <w:p w:rsidR="00F742FC" w:rsidRPr="00BF7B7E" w:rsidRDefault="00F742FC" w:rsidP="00F742FC">
      <w:pPr>
        <w:pStyle w:val="NormalHanging12a"/>
        <w:shd w:val="clear" w:color="auto" w:fill="FFFFFF" w:themeFill="background1"/>
      </w:pPr>
      <w:r w:rsidRPr="00BF7B7E">
        <w:t>H.</w:t>
      </w:r>
      <w:r w:rsidRPr="00BF7B7E">
        <w:tab/>
        <w:t>budući da bi sastavljanje i konsolidacija postojećih i budućih prava olakšali bolje i informiranije ostvarivanje prava i sloboda koje proizlaze iz građanstva EU-a;</w:t>
      </w:r>
    </w:p>
    <w:p w:rsidR="00F742FC" w:rsidRPr="00BF7B7E" w:rsidRDefault="00F742FC" w:rsidP="00F742FC">
      <w:pPr>
        <w:pStyle w:val="NormalHanging12a"/>
        <w:shd w:val="clear" w:color="auto" w:fill="FFFFFF" w:themeFill="background1"/>
      </w:pPr>
      <w:r w:rsidRPr="00BF7B7E">
        <w:t>I.</w:t>
      </w:r>
      <w:r w:rsidRPr="00BF7B7E">
        <w:tab/>
        <w:t>budući da je Konferencija o budućnosti Europe konkretan primjer sudjelovanja građana u demokratskom životu Unije; budući da njezini zaključci obuhvaćaju prijedloge i mjere koji odražavaju suglasnost između europskih institucija i građana EU-a o potrebi jačanja građanstva EU-a;</w:t>
      </w:r>
    </w:p>
    <w:p w:rsidR="00F742FC" w:rsidRPr="00BF7B7E" w:rsidRDefault="00F742FC" w:rsidP="00F742FC">
      <w:pPr>
        <w:pStyle w:val="NormalHanging12a"/>
        <w:shd w:val="clear" w:color="auto" w:fill="FFFFFF" w:themeFill="background1"/>
      </w:pPr>
      <w:r w:rsidRPr="00BF7B7E">
        <w:t>J.</w:t>
      </w:r>
      <w:r w:rsidRPr="00BF7B7E">
        <w:tab/>
        <w:t>budući da postojeće prepreke ostvarivanju prava koja proizlaze iz građanstva EU-a stvaraju nejednakost i diskriminaciju među građanima EU-a, a posebno među mobilnim građanima EU-a i članovima njihovih obitelji, osobito djecom, osobama koje žive u prekograničnim regijama i ruralnim područjima EU-a te članovima ranjivih i marginaliziranih skupina kao što su manjine, pojedinci s niskim prihodima, beskućnici, starije osobe, osobe s invaliditetom i osobe kojima prijeti digitalna isključenost;</w:t>
      </w:r>
    </w:p>
    <w:p w:rsidR="00F742FC" w:rsidRPr="00BF7B7E" w:rsidRDefault="00F742FC" w:rsidP="00F742FC">
      <w:pPr>
        <w:pStyle w:val="NormalHanging12a"/>
        <w:rPr>
          <w:rStyle w:val="y2iqfc"/>
          <w:color w:val="000000"/>
          <w:shd w:val="clear" w:color="auto" w:fill="FFFFFF"/>
        </w:rPr>
      </w:pPr>
      <w:r w:rsidRPr="00BF7B7E">
        <w:t>K.</w:t>
      </w:r>
      <w:r w:rsidRPr="00BF7B7E">
        <w:tab/>
        <w:t>budući da gotovo 87 milijuna građana EU-a živi s nekim oblikom invaliditeta</w:t>
      </w:r>
      <w:r w:rsidRPr="00BF7B7E">
        <w:rPr>
          <w:rStyle w:val="FootnoteReference"/>
          <w:color w:val="000000"/>
          <w:shd w:val="clear" w:color="auto" w:fill="FFFFFF"/>
        </w:rPr>
        <w:footnoteReference w:id="24"/>
      </w:r>
      <w:r w:rsidRPr="00BF7B7E">
        <w:t xml:space="preserve"> i suočava se s poteškoćama u ostvarivanju svojih građanskih prava, pri čemu te poteškoće ponekad podrazumijevaju izravno uskraćivanje njihovih prava na slobodno kretanje i boravak te ograničenja u ostvarivanju njihovih političkih prava;</w:t>
      </w:r>
    </w:p>
    <w:p w:rsidR="00F742FC" w:rsidRPr="00BF7B7E" w:rsidRDefault="00F742FC" w:rsidP="00F742FC">
      <w:pPr>
        <w:pStyle w:val="NormalHanging12a"/>
      </w:pPr>
      <w:r w:rsidRPr="00BF7B7E">
        <w:rPr>
          <w:rStyle w:val="y2iqfc"/>
          <w:color w:val="000000"/>
          <w:shd w:val="clear" w:color="auto" w:fill="FFFFFF"/>
        </w:rPr>
        <w:t>L</w:t>
      </w:r>
      <w:r w:rsidRPr="00BF7B7E">
        <w:rPr>
          <w:rStyle w:val="y2iqfc"/>
          <w:b/>
          <w:color w:val="000000"/>
          <w:shd w:val="clear" w:color="auto" w:fill="FFFFFF"/>
        </w:rPr>
        <w:t>.</w:t>
      </w:r>
      <w:r w:rsidRPr="00BF7B7E">
        <w:rPr>
          <w:rStyle w:val="y2iqfc"/>
          <w:color w:val="000000"/>
          <w:shd w:val="clear" w:color="auto" w:fill="FFFFFF"/>
        </w:rPr>
        <w:tab/>
      </w:r>
      <w:r w:rsidRPr="00BF7B7E">
        <w:t xml:space="preserve">budući da neke države članice i dalje nude programe takozvanih „zlatnih viza” i programe za </w:t>
      </w:r>
      <w:proofErr w:type="spellStart"/>
      <w:r w:rsidRPr="00BF7B7E">
        <w:t>ulagatelje</w:t>
      </w:r>
      <w:proofErr w:type="spellEnd"/>
      <w:r w:rsidRPr="00BF7B7E">
        <w:t xml:space="preserve"> kao način za stjecanje državljanstva, a time i građanstva EU-a;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Uvod</w:t>
      </w:r>
    </w:p>
    <w:p w:rsidR="00F742FC" w:rsidRPr="00BF7B7E" w:rsidRDefault="00F742FC" w:rsidP="00F742FC">
      <w:pPr>
        <w:pStyle w:val="NormalHanging12a"/>
      </w:pPr>
      <w:r w:rsidRPr="00BF7B7E">
        <w:t>1.</w:t>
      </w:r>
      <w:r w:rsidRPr="00BF7B7E">
        <w:tab/>
        <w:t>smatra da građanstvo EU-a obuhvaća zajednički europski demokratski identitet i s njime povezana posebna prava, građanske dužnosti i slobode te da se ostvarivanjem tih prava, i na internetu i izvan njega, jača povezanost građana s EU-om i njegov demokratski legitimitet te se građanima nude dodatna prava;</w:t>
      </w:r>
    </w:p>
    <w:p w:rsidR="00F742FC" w:rsidRPr="00BF7B7E" w:rsidRDefault="00F742FC" w:rsidP="00F742FC">
      <w:pPr>
        <w:pStyle w:val="NormalHanging12a"/>
      </w:pPr>
      <w:r w:rsidRPr="00BF7B7E">
        <w:t>2.</w:t>
      </w:r>
      <w:r w:rsidRPr="00BF7B7E">
        <w:tab/>
        <w:t xml:space="preserve">ističe da se izgradnja građanstva EU-a mora kretati naprijed kako bi se odgovorilo na potrebe i izazove 21. stoljeća u EU-u, pri čemu je potrebno prepoznati potencijal digitalnih inovacija i potrebu za uravnoteženim pristupom te na taj način odgovoriti na složenost koja proizlazi iz globalizacije i novih tehnologija; naglašava da digitalizacija demokratskih procesa, u kombinaciji s nedovoljnom digitalnom pismenošću i pristupom informacijskoj i komunikacijskoj tehnologiji, može doprinijeti sve većem digitalnom </w:t>
      </w:r>
      <w:r w:rsidRPr="00BF7B7E">
        <w:lastRenderedPageBreak/>
        <w:t>jazu u ostvarivanju građanskih prava, zbog čega dio javnosti može ostati otuđen od europskog projekta;</w:t>
      </w:r>
    </w:p>
    <w:p w:rsidR="00F742FC" w:rsidRPr="00BF7B7E" w:rsidRDefault="00F742FC" w:rsidP="00F742FC">
      <w:pPr>
        <w:pStyle w:val="NormalHanging12a"/>
        <w:rPr>
          <w:rStyle w:val="doceo-font-family-base"/>
          <w:rFonts w:eastAsiaTheme="minorHAnsi"/>
          <w:b/>
          <w:i/>
        </w:rPr>
      </w:pPr>
      <w:r w:rsidRPr="00BF7B7E">
        <w:rPr>
          <w:rStyle w:val="doceo-font-family-base"/>
        </w:rPr>
        <w:t>3.</w:t>
      </w:r>
      <w:r w:rsidRPr="00BF7B7E">
        <w:rPr>
          <w:rStyle w:val="doceo-font-family-base"/>
        </w:rPr>
        <w:tab/>
        <w:t>smatra da su višejezičnost u institucijama EU-a i u njihovoj interakciji s građanima ključan aspekt jačanja pojma građanstva Unije; u tom pogledu ističe da je u zaključku Vijeća od 13. lipnja 2005. predviđeno da bi građani EU-a u interakciji s institucijama EU-a mogli upotrebljavati neslužbene jezike EU-a priznate u nekoj državi članici ili na dijelu njezina državnog područja te da bi se oni mogli službeno koristiti u institucijama ili tijelima EU-a, uključujući Europski parlament;</w:t>
      </w:r>
      <w:r w:rsidRPr="00BF7B7E">
        <w:rPr>
          <w:rStyle w:val="doceo-font-family-base"/>
          <w:b/>
          <w:i/>
        </w:rPr>
        <w:t xml:space="preserve"> </w:t>
      </w:r>
    </w:p>
    <w:p w:rsidR="00F742FC" w:rsidRPr="00BF7B7E" w:rsidRDefault="00F742FC" w:rsidP="00F742FC">
      <w:pPr>
        <w:pStyle w:val="NormalHanging12a"/>
        <w:rPr>
          <w:rStyle w:val="doceo-font-family-base"/>
        </w:rPr>
      </w:pPr>
      <w:r w:rsidRPr="00BF7B7E">
        <w:rPr>
          <w:rStyle w:val="doceo-font-family-base"/>
        </w:rPr>
        <w:t>4.</w:t>
      </w:r>
      <w:r w:rsidRPr="00BF7B7E">
        <w:rPr>
          <w:rStyle w:val="doceo-font-family-base"/>
        </w:rPr>
        <w:tab/>
        <w:t>ističe da je Parlament pozvao</w:t>
      </w:r>
      <w:r w:rsidRPr="00BF7B7E">
        <w:t xml:space="preserve"> na izradu Statuta EU-a o građanstvu u svojoj Rezoluciji od 12. veljače 2019. o provedbi odredbi Ugovora u vezi s građanstvom EU-a i u svojoj Rezoluciji od 10. ožujka 2022. o </w:t>
      </w:r>
      <w:r w:rsidRPr="00BF7B7E">
        <w:rPr>
          <w:rStyle w:val="doceo-font-family-base"/>
        </w:rPr>
        <w:t>Izvješću</w:t>
      </w:r>
      <w:r w:rsidRPr="00BF7B7E">
        <w:t xml:space="preserve"> o građanstvu EU-a za 2020.: Jačanje položaja građana i zaštita njihovih prava;</w:t>
      </w:r>
      <w:r w:rsidRPr="00BF7B7E">
        <w:rPr>
          <w:rStyle w:val="doceo-font-family-base"/>
        </w:rPr>
        <w:t xml:space="preserve"> podsjeća</w:t>
      </w:r>
      <w:r w:rsidRPr="00BF7B7E">
        <w:t xml:space="preserve"> da je u okviru Konferencije o budućnosti Europe naglašena važnost jačanja građanstva EU-a te je u njezinim zaključcima navedeno da bi Statut EU-a o građanstvu bio koristan alat za </w:t>
      </w:r>
      <w:r w:rsidRPr="00BF7B7E">
        <w:rPr>
          <w:rStyle w:val="doceo-font-family-base"/>
        </w:rPr>
        <w:t>postizanje</w:t>
      </w:r>
      <w:r w:rsidRPr="00BF7B7E">
        <w:t xml:space="preserve"> konkretnijih načela i vrijednosti EU-a;</w:t>
      </w:r>
    </w:p>
    <w:p w:rsidR="00F742FC" w:rsidRPr="00BF7B7E" w:rsidRDefault="00F742FC" w:rsidP="00F742FC">
      <w:pPr>
        <w:pStyle w:val="NormalHanging12a"/>
      </w:pPr>
      <w:r w:rsidRPr="00BF7B7E">
        <w:t>5.</w:t>
      </w:r>
      <w:r w:rsidRPr="00BF7B7E">
        <w:tab/>
        <w:t>žali zbog činjenice da Komisija u svojoj komunikaciji slijedom Konferencije o budućnosti Europe nije izričito spomenula jačanje građanstva EU-a i moguće načine da se to postigne</w:t>
      </w:r>
      <w:r w:rsidRPr="00BF7B7E">
        <w:rPr>
          <w:rStyle w:val="FootnoteReference"/>
          <w:bCs/>
        </w:rPr>
        <w:footnoteReference w:id="25"/>
      </w:r>
      <w:r w:rsidRPr="00BF7B7E">
        <w:t>; podsjeća da je Vijeće pokazalo spremnost na jačanje građanstva u tehničkoj procjeni koju je objavilo u vezi s Konferencijom o budućnosti Europe, ali još nije predložilo, poduzelo niti provelo mjere za postizanje tog cilja;</w:t>
      </w:r>
    </w:p>
    <w:p w:rsidR="00F742FC" w:rsidRPr="00BF7B7E" w:rsidRDefault="00F742FC" w:rsidP="00F742FC">
      <w:pPr>
        <w:pStyle w:val="NormalHanging12a"/>
      </w:pPr>
      <w:r w:rsidRPr="00BF7B7E">
        <w:t>6.</w:t>
      </w:r>
      <w:r w:rsidRPr="00BF7B7E">
        <w:tab/>
        <w:t>podsjeća da će Komisija prije kraja godine objaviti svoje Izvješće o građanstvu EU-a za 2023. te očekuje da će u njemu predložiti nove inicijative za jačanje građanstva EU-a i uhvatiti se u koštac s nedostacima u njegovoj primjeni;  žali zbog toga što je ovaj put Komisija odlučila objaviti poziv na očitovanje, a ne javno savjetovanje, kao što je to činila prethodnih godina; podsjeća da rezultati poziva na očitovanje ne sadržavaju sveobuhvatan pregled najnovijih zbivanja i nedostataka u provedbi; naglašava da bi se izvješće trebalo pripremiti na temelju ažuriranih podataka;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Problemi povezani s građanstvom EU-a</w:t>
      </w:r>
    </w:p>
    <w:p w:rsidR="00F742FC" w:rsidRPr="00BF7B7E" w:rsidRDefault="00F742FC" w:rsidP="00F742FC">
      <w:pPr>
        <w:pStyle w:val="NormalHanging12a"/>
        <w:rPr>
          <w:bCs/>
        </w:rPr>
      </w:pPr>
      <w:r w:rsidRPr="00BF7B7E">
        <w:t>7.</w:t>
      </w:r>
      <w:r w:rsidRPr="00BF7B7E">
        <w:tab/>
        <w:t>zabrinut je zbog specifičnih poteškoća koje ometaju potpuno ostvarivanje prava i sloboda koje proizlaze iz građanstva EU-a;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Politička prava</w:t>
      </w:r>
    </w:p>
    <w:p w:rsidR="00F742FC" w:rsidRPr="00BF7B7E" w:rsidRDefault="00F742FC" w:rsidP="00F742FC">
      <w:pPr>
        <w:pStyle w:val="NormalHanging12a"/>
        <w:rPr>
          <w:rStyle w:val="y2iqfc"/>
        </w:rPr>
      </w:pPr>
      <w:r w:rsidRPr="00BF7B7E">
        <w:rPr>
          <w:rStyle w:val="y2iqfc"/>
        </w:rPr>
        <w:t>8.</w:t>
      </w:r>
      <w:r w:rsidRPr="00BF7B7E">
        <w:rPr>
          <w:rStyle w:val="y2iqfc"/>
        </w:rPr>
        <w:tab/>
        <w:t>žali zbog činjenice da je manje vjerojatno da će mobilni građani ostvarivati svoje biračko pravo i kandidirati se na europskim i lokalnim izborima u svojim državama članicama boravišta, te da je to posljedica nedovoljne informiranosti, jezičnih prepreka, poteškoća u prijavi za glasovanje i niske stope uspješnosti kandidata koji nisu državljani predmetne države članice;</w:t>
      </w:r>
    </w:p>
    <w:p w:rsidR="00F742FC" w:rsidRPr="00BF7B7E" w:rsidRDefault="00F742FC" w:rsidP="00F742FC">
      <w:pPr>
        <w:pStyle w:val="NormalHanging12a"/>
      </w:pPr>
      <w:r w:rsidRPr="00BF7B7E">
        <w:t>9.</w:t>
      </w:r>
      <w:r w:rsidRPr="00BF7B7E">
        <w:tab/>
        <w:t xml:space="preserve">vrlo je zabrinut zbog prakse određenih država članica da pravo glasovanja na nacionalnim parlamentarnim izborima uskraćuju svojim građanima koji privremeno ili stalno žive u inozemstvu, što dovodi do njihova isključivanja iz političkog života i u </w:t>
      </w:r>
      <w:r w:rsidRPr="00BF7B7E">
        <w:lastRenderedPageBreak/>
        <w:t>njihovoj zemlji podrijetla i u zemlji boravišta;</w:t>
      </w:r>
      <w:r w:rsidRPr="00BF7B7E">
        <w:rPr>
          <w:b/>
          <w:i/>
        </w:rPr>
        <w:t xml:space="preserve"> 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Sloboda kretanja i boravka</w:t>
      </w:r>
    </w:p>
    <w:p w:rsidR="00F742FC" w:rsidRPr="00BF7B7E" w:rsidRDefault="00F742FC" w:rsidP="00F742FC">
      <w:pPr>
        <w:pStyle w:val="NormalHanging12a"/>
      </w:pPr>
      <w:r w:rsidRPr="00BF7B7E">
        <w:t>10.</w:t>
      </w:r>
      <w:r w:rsidRPr="00BF7B7E">
        <w:rPr>
          <w:b/>
          <w:i/>
        </w:rPr>
        <w:tab/>
      </w:r>
      <w:r w:rsidRPr="00BF7B7E">
        <w:t xml:space="preserve">ističe da je </w:t>
      </w:r>
      <w:proofErr w:type="spellStart"/>
      <w:r w:rsidRPr="00BF7B7E">
        <w:t>schengensko</w:t>
      </w:r>
      <w:proofErr w:type="spellEnd"/>
      <w:r w:rsidRPr="00BF7B7E">
        <w:t xml:space="preserve"> područje jedno od najvećih postignuća EU-a; naglašava da bi trebalo ukloniti sve prepreke slobodi kretanja unutar EU-a kako bi svi europski građani mogli ostvarivati jednaka prava koja proizlaze iz građanstva EU-a; poziva na pristupanje Rumunjske i Bugarske </w:t>
      </w:r>
      <w:proofErr w:type="spellStart"/>
      <w:r w:rsidRPr="00BF7B7E">
        <w:t>schengenskom</w:t>
      </w:r>
      <w:proofErr w:type="spellEnd"/>
      <w:r w:rsidRPr="00BF7B7E">
        <w:t xml:space="preserve"> području, u skladu s rezolucijama Parlamenta;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t>11.</w:t>
      </w:r>
      <w:r w:rsidRPr="00BF7B7E">
        <w:tab/>
      </w:r>
      <w:r w:rsidRPr="00BF7B7E">
        <w:rPr>
          <w:rStyle w:val="y2iqfc"/>
        </w:rPr>
        <w:t>zabrinut je zbog činjenice da se prema mobilnim građanima EU-a</w:t>
      </w:r>
      <w:r w:rsidRPr="00BF7B7E">
        <w:t xml:space="preserve">, posebno onima koji pripadaju ranjivim skupinama, </w:t>
      </w:r>
      <w:r w:rsidRPr="00BF7B7E">
        <w:rPr>
          <w:rStyle w:val="y2iqfc"/>
        </w:rPr>
        <w:t>postupa drugačije nego prema državljanima njihovih država članica boravišta u pogledu pristupa naknadama; poziva države članice da pravilno primjenjuju sudsku</w:t>
      </w:r>
      <w:r w:rsidRPr="00BF7B7E">
        <w:t xml:space="preserve"> praksu Suda Europske unije kojom se zabranjuje takva diskriminacija;</w:t>
      </w:r>
      <w:r w:rsidRPr="00BF7B7E">
        <w:rPr>
          <w:b/>
          <w:i/>
        </w:rPr>
        <w:t xml:space="preserve"> </w:t>
      </w:r>
    </w:p>
    <w:p w:rsidR="00F742FC" w:rsidRPr="00BF7B7E" w:rsidRDefault="00F742FC" w:rsidP="00F742FC">
      <w:pPr>
        <w:pStyle w:val="NormalHanging12a"/>
      </w:pPr>
      <w:r w:rsidRPr="00BF7B7E">
        <w:t>12.</w:t>
      </w:r>
      <w:r w:rsidRPr="00BF7B7E">
        <w:rPr>
          <w:b/>
          <w:i/>
        </w:rPr>
        <w:tab/>
      </w:r>
      <w:r w:rsidRPr="00BF7B7E">
        <w:t>zabrinut je zbog poteškoća i izazova s kojima se suočavaju građani koji žive u prekograničnim regijama EU-a, posebno u slučaju zatvaranja granica zbog kriza na razini EU-a ili regionalnih kriza; u takvim slučajevima poziva države članice da održavaju prekograničnu suradnju i, prema potrebi, blisku interakciju s relevantnim lokalnim i regionalnim vlastima;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Konzularna zaštita</w:t>
      </w:r>
    </w:p>
    <w:p w:rsidR="00F742FC" w:rsidRPr="00BF7B7E" w:rsidRDefault="00F742FC" w:rsidP="00F742FC">
      <w:pPr>
        <w:pStyle w:val="NormalHanging12a"/>
      </w:pPr>
      <w:r w:rsidRPr="00BF7B7E">
        <w:t>13.</w:t>
      </w:r>
      <w:r w:rsidRPr="00BF7B7E">
        <w:tab/>
        <w:t>zabrinut je zbog nedostataka u provedbi Direktive o konzularnoj zaštiti i nedostataka u funkcioniranju konzularnih mreža država članica te napominje da su se ti nedostaci povećali nakon izlaska Ujedinjene Kraljevine iz EU-a; u tom pogledu žali zbog činjenice da građani EU-a imaju ograničen pristup konzularnoj zaštiti i pomoći u nekim zemljama koje nisu članice EU-a;</w:t>
      </w:r>
    </w:p>
    <w:p w:rsidR="00F742FC" w:rsidRPr="00BF7B7E" w:rsidRDefault="00F742FC" w:rsidP="00F742FC">
      <w:pPr>
        <w:pStyle w:val="NormalHanging12a"/>
      </w:pPr>
      <w:r w:rsidRPr="00BF7B7E">
        <w:t>14.</w:t>
      </w:r>
      <w:r w:rsidRPr="00BF7B7E">
        <w:tab/>
        <w:t>ističe da je bilo slučajeva u kojima dvije osobe koje su državljani dviju različitih država članica u konzularnom predstavništvu jedne od država članica nisu mogle ispuniti određene formalnosti, kao što je sklapanje braka, čak i ako druga država članica nema dostupno konzularno predstavništvo u toj zemlji;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Diskriminacija</w:t>
      </w:r>
    </w:p>
    <w:p w:rsidR="00F742FC" w:rsidRPr="00BF7B7E" w:rsidRDefault="00F742FC" w:rsidP="00F742FC">
      <w:pPr>
        <w:pStyle w:val="NormalHanging12a"/>
      </w:pPr>
      <w:r w:rsidRPr="00BF7B7E">
        <w:t>15.</w:t>
      </w:r>
      <w:r w:rsidRPr="00BF7B7E">
        <w:tab/>
        <w:t>smatra da je nedostatak ujednačenosti među pravilima država članica o stjecanju i gubitku nacionalnog državljanstva doveo do razlika u pogledu stjecanja i gubitka građanstva EU-a te da su te razlike u nekim slučajevima dovele do kršenja načela i vrijednosti EU-a;</w:t>
      </w:r>
    </w:p>
    <w:p w:rsidR="00F742FC" w:rsidRPr="00BF7B7E" w:rsidRDefault="00F742FC" w:rsidP="00F742FC">
      <w:pPr>
        <w:pStyle w:val="NormalHanging12a"/>
      </w:pPr>
      <w:r w:rsidRPr="00BF7B7E">
        <w:t>16.</w:t>
      </w:r>
      <w:r w:rsidRPr="00BF7B7E">
        <w:tab/>
        <w:t xml:space="preserve">naglašava da i dalje postoji nekoliko slučajeva u kojima se državljanima trećih zemalja čiji su maloljetni </w:t>
      </w:r>
      <w:proofErr w:type="spellStart"/>
      <w:r w:rsidRPr="00BF7B7E">
        <w:t>uzdržavanici</w:t>
      </w:r>
      <w:proofErr w:type="spellEnd"/>
      <w:r w:rsidRPr="00BF7B7E">
        <w:t xml:space="preserve"> građani EU-a odbija stjecanje izvedenog prava na boravak, unatoč sudskoj praksi Suda EU-a; </w:t>
      </w:r>
    </w:p>
    <w:p w:rsidR="00F742FC" w:rsidRPr="00BF7B7E" w:rsidRDefault="00F742FC" w:rsidP="00F742FC">
      <w:pPr>
        <w:pStyle w:val="NormalHanging12a"/>
      </w:pPr>
      <w:r w:rsidRPr="00BF7B7E">
        <w:t>17.</w:t>
      </w:r>
      <w:r w:rsidRPr="00BF7B7E">
        <w:rPr>
          <w:b/>
        </w:rPr>
        <w:tab/>
      </w:r>
      <w:r w:rsidRPr="00BF7B7E">
        <w:t xml:space="preserve">ponavlja svoju zabrinutost zbog diskriminacije </w:t>
      </w:r>
      <w:proofErr w:type="spellStart"/>
      <w:r w:rsidRPr="00BF7B7E">
        <w:t>istospolnih</w:t>
      </w:r>
      <w:proofErr w:type="spellEnd"/>
      <w:r w:rsidRPr="00BF7B7E">
        <w:t xml:space="preserve"> parova i njihove djece pri ostvarivanju temeljnog prava na slobodu kretanja unutar EU-a; </w:t>
      </w:r>
    </w:p>
    <w:p w:rsidR="00F742FC" w:rsidRPr="00BF7B7E" w:rsidRDefault="00F742FC" w:rsidP="00F742FC">
      <w:pPr>
        <w:pStyle w:val="NormalHanging12a"/>
        <w:rPr>
          <w:b/>
          <w:i/>
        </w:rPr>
      </w:pPr>
      <w:r w:rsidRPr="00BF7B7E">
        <w:rPr>
          <w:b/>
          <w:i/>
        </w:rPr>
        <w:t>Preporuke</w:t>
      </w:r>
    </w:p>
    <w:p w:rsidR="00F742FC" w:rsidRPr="00BF7B7E" w:rsidRDefault="00F742FC" w:rsidP="00F742FC">
      <w:pPr>
        <w:pStyle w:val="NormalHanging12a"/>
      </w:pPr>
      <w:r w:rsidRPr="00BF7B7E">
        <w:t>18.</w:t>
      </w:r>
      <w:r w:rsidRPr="00BF7B7E">
        <w:tab/>
        <w:t xml:space="preserve">poziva države članice te regionalne i lokalne vlasti da u potpunosti provedu postojeće </w:t>
      </w:r>
      <w:r w:rsidRPr="00BF7B7E">
        <w:lastRenderedPageBreak/>
        <w:t>direktive o pravima mobilnih građana te da hitno riješe različite postojeće nedostatke u svjetlu predstojećih europskih izbora; poziva na pokretanje ciljanih kampanja za podizanje razine osviještenosti u zemlji boravišta kako bi se mobilne građane EU-a informiralo o njihovu pravu na glasovanje i kandidiranje na europskim i lokalnim izborima u toj zemlji; ponovno poziva na proširenje prava mobilnih građana na nacionalne i regionalne izbore;</w:t>
      </w:r>
    </w:p>
    <w:p w:rsidR="00F742FC" w:rsidRPr="00BF7B7E" w:rsidRDefault="00F742FC" w:rsidP="00F742FC">
      <w:pPr>
        <w:pStyle w:val="NormalHanging12a"/>
      </w:pPr>
      <w:r w:rsidRPr="00BF7B7E">
        <w:t>19.</w:t>
      </w:r>
      <w:r w:rsidRPr="00BF7B7E">
        <w:tab/>
        <w:t>poziva države članice da svojim iseljenim državljanima zajamče pravo glasa u zemlji njihova podrijetla, ako se ono priznaje, i to uvođenjem regulatornih uvjeta kojima se omogućuje njihovo glasovanje i uklanjanjem birokratskih prepreka koje ometaju i ponekad sprečavaju ostvarivanje tog prava; posebno poziva države članice da u jednakoj mjeri zajamče takva prava i uklone sve vrste različitog postupanja prema svojim državljanima u inozemstvu kad je riječ o glasovanju na daljinu, osobito glasovanju poštom, ako je primjenjivo; poziva na ujednačenu primjenu prava glasa na europskim izborima za građane EU-a koji borave izvan EU-a;</w:t>
      </w:r>
    </w:p>
    <w:p w:rsidR="00F742FC" w:rsidRPr="00BF7B7E" w:rsidRDefault="00F742FC" w:rsidP="00F742FC">
      <w:pPr>
        <w:pStyle w:val="NormalHanging12a"/>
      </w:pPr>
      <w:r w:rsidRPr="00BF7B7E">
        <w:t>20.</w:t>
      </w:r>
      <w:r w:rsidRPr="00BF7B7E">
        <w:tab/>
      </w:r>
      <w:r w:rsidRPr="00BF7B7E">
        <w:rPr>
          <w:rStyle w:val="doceo-font-family-base"/>
          <w:color w:val="000000"/>
        </w:rPr>
        <w:t>poziva Komisiju</w:t>
      </w:r>
      <w:r w:rsidRPr="00BF7B7E">
        <w:t xml:space="preserve"> da donese novu komunikaciju u kojoj će se pojasniti određeni ključni koncepti sadržani u Direktivi 2004/38/EZ o pravu građana EU-a i njihovih obitelji na slobodno kretanje i boravište unutar EU-a kako bi se državama članicama pružile ažurirane smjernice koje bi mogle doprinijeti poboljšanju provedbe Direktive na nacionalnoj razini, od čega bi koristi imali i građani EU-a i članovi njihovih obitelji;</w:t>
      </w:r>
    </w:p>
    <w:p w:rsidR="00F742FC" w:rsidRPr="00BF7B7E" w:rsidRDefault="00F742FC" w:rsidP="00F742FC">
      <w:pPr>
        <w:pStyle w:val="NormalHanging12a"/>
      </w:pPr>
      <w:r w:rsidRPr="00BF7B7E">
        <w:t>21.</w:t>
      </w:r>
      <w:r w:rsidRPr="00BF7B7E">
        <w:tab/>
        <w:t>poziva EU da promiče donošenje obvezujuće Europske povelje o digitalnim pravima, uključujući prava digitalnoga građanstva, na temelju Europske deklaracije o digitalnim pravima i načelima za digitalno desetljeće;</w:t>
      </w:r>
    </w:p>
    <w:p w:rsidR="00F742FC" w:rsidRPr="00BF7B7E" w:rsidRDefault="00F742FC" w:rsidP="00F742FC">
      <w:pPr>
        <w:pStyle w:val="NormalHanging12a"/>
      </w:pPr>
      <w:r w:rsidRPr="00BF7B7E">
        <w:t>22.</w:t>
      </w:r>
      <w:r w:rsidRPr="00BF7B7E">
        <w:tab/>
      </w:r>
      <w:r w:rsidR="008B5F30" w:rsidRPr="00BF7B7E">
        <w:t xml:space="preserve">pozdravlja prijedlog Komisije o ažuriranju i poboljšanju Direktive o konzularnoj zaštiti kako bi se ojačalo pravo građana EU-a na konzularnu zaštitu, posebno u kriznim situacijama, </w:t>
      </w:r>
      <w:r w:rsidRPr="00BF7B7E">
        <w:t>među ostalim davanjem aktivnije uloge delegacijama EU-a u pomaganju nedovoljno zastupljenim građanima EU-a;</w:t>
      </w:r>
    </w:p>
    <w:p w:rsidR="00F742FC" w:rsidRPr="00BF7B7E" w:rsidRDefault="00F742FC" w:rsidP="00F742FC">
      <w:pPr>
        <w:pStyle w:val="NormalHanging12a"/>
      </w:pPr>
      <w:r w:rsidRPr="00BF7B7E">
        <w:t>23.</w:t>
      </w:r>
      <w:r w:rsidRPr="00BF7B7E">
        <w:tab/>
        <w:t xml:space="preserve">poziva države članice da ukinu programe „zlatnih viza” i programe za </w:t>
      </w:r>
      <w:proofErr w:type="spellStart"/>
      <w:r w:rsidRPr="00BF7B7E">
        <w:t>ulagatelje</w:t>
      </w:r>
      <w:proofErr w:type="spellEnd"/>
      <w:r w:rsidRPr="00BF7B7E">
        <w:t xml:space="preserve"> te sve druge slične nacionalne programe koji dovode do stjecanja njihova državljanstva i uključuju izravnu ili neizravnu prodaju i zlouporabu građanstva EU-a jer se njima ugrožava sam koncept građanstva EU-a i krše načela i vrijednosti EU-a; potiče države članice da zaštite integritet i vrijednost građanstva EU-a; poziva Komisiju da poduzme sve potrebne mjere, kao što je upućivanje relevantnih država članica Sudu Europske unije;</w:t>
      </w:r>
    </w:p>
    <w:p w:rsidR="00F742FC" w:rsidRPr="00BF7B7E" w:rsidRDefault="00F742FC" w:rsidP="00F742FC">
      <w:pPr>
        <w:pStyle w:val="NormalHanging12a"/>
      </w:pPr>
      <w:r w:rsidRPr="00BF7B7E">
        <w:t>24.</w:t>
      </w:r>
      <w:r w:rsidRPr="00BF7B7E">
        <w:rPr>
          <w:b/>
          <w:i/>
        </w:rPr>
        <w:tab/>
      </w:r>
      <w:r w:rsidRPr="00BF7B7E">
        <w:t>u kontekstu sljedeće revizije Ugovorâ poziva Parlament i Vijeće da u skladu s redovnim zakonodavnim postupkom donesu zajedničke odredbe o sprečavanju prodaje putovnica ili drugih vrsta zlouporabe u pogledu stjecanja i gubitka građanstva EU-a od strane državljana trećih zemalja kako bi se uskladili uvjeti pod kojima se može steći takvo građanstvo;</w:t>
      </w:r>
    </w:p>
    <w:p w:rsidR="00F742FC" w:rsidRPr="00BF7B7E" w:rsidRDefault="00F742FC" w:rsidP="00F742FC">
      <w:pPr>
        <w:pStyle w:val="NormalHanging12a"/>
      </w:pPr>
      <w:r w:rsidRPr="00BF7B7E">
        <w:t>25.</w:t>
      </w:r>
      <w:r w:rsidRPr="00BF7B7E">
        <w:tab/>
        <w:t xml:space="preserve">poziva države članice i relevantna tijela da prilagode postojeće školske kurikulume ili da osmisle nove kurikulume za podučavanje povijesti Europe i Europske unije te njezina funkcioniranja kako bi se promicalo aktivno građanstvo i zajedničke europske vrijednosti te povećala svijest o tome da biti Europljanin i građanin EU-a nosi dodanu vrijednost; naglašava da će jačanje europske dimenzije građanskog odgoja i obrazovanja te osiguravanje jednakog pristupa za sve, među ostalim upotrebom svih </w:t>
      </w:r>
      <w:r w:rsidRPr="00BF7B7E">
        <w:lastRenderedPageBreak/>
        <w:t xml:space="preserve">digitalnih alata koji su nam na raspolaganju, omogućiti građanima EU-a da djeluju kao informirani građani i da u potpunosti sudjeluju u građanskom, političkom i društvenom životu i na europskoj i na nacionalnoj razini; naglašava da </w:t>
      </w:r>
      <w:proofErr w:type="spellStart"/>
      <w:r w:rsidRPr="00BF7B7E">
        <w:t>Erasmus</w:t>
      </w:r>
      <w:proofErr w:type="spellEnd"/>
      <w:r w:rsidRPr="00BF7B7E">
        <w:t>+ može imati važnu ulogu u poticanju obrazovanja o građanstvu EU-a putem mobilnosti u svrhu učenja za sve, bez obzira na dob, spol, zaposlenost ili razinu obrazovanja;</w:t>
      </w:r>
    </w:p>
    <w:p w:rsidR="00F742FC" w:rsidRPr="00BF7B7E" w:rsidRDefault="00F742FC" w:rsidP="00F742FC">
      <w:pPr>
        <w:pStyle w:val="NormalHanging12a"/>
      </w:pPr>
      <w:r w:rsidRPr="00BF7B7E">
        <w:t>26.</w:t>
      </w:r>
      <w:r w:rsidRPr="00BF7B7E">
        <w:tab/>
        <w:t xml:space="preserve">poziva Komisiju da uvede javna savjetovanja prilagođena svim građanima EU-a, posebno mladima, kako bi se povećalo sudjelovanje građana; potiče Komisiju da ažurira način na koji se provode javna savjetovanja kako bi se povećao građanski angažman i sudjelovanje većeg broja europskih građana, u skladu s uspješnim primjerom Konferencije o budućnosti Europe; u tom pogledu poziva Komisiju da dodatno poboljša portal „Iznesite svoje mišljenje” koristeći se novim tehnologijama te da izvještava o tome kako povratne informacije građana doprinose različitim inicijativama; </w:t>
      </w:r>
    </w:p>
    <w:p w:rsidR="00F742FC" w:rsidRPr="00BF7B7E" w:rsidRDefault="00F742FC" w:rsidP="00F742FC">
      <w:pPr>
        <w:pStyle w:val="NormalHanging12a"/>
        <w:shd w:val="clear" w:color="auto" w:fill="FFFFFF" w:themeFill="background1"/>
      </w:pPr>
      <w:r w:rsidRPr="00BF7B7E">
        <w:t>27.</w:t>
      </w:r>
      <w:r w:rsidRPr="00BF7B7E">
        <w:tab/>
        <w:t xml:space="preserve">poziva na stvaranje jedinstvene kontaktne točke za sve participativne alate EU-a, kao što su europska građanska inicijativa, predstavke koje se podnose Parlamentu, pritužbe Europskom </w:t>
      </w:r>
      <w:proofErr w:type="spellStart"/>
      <w:r w:rsidRPr="00BF7B7E">
        <w:t>ombudsmanu</w:t>
      </w:r>
      <w:proofErr w:type="spellEnd"/>
      <w:r w:rsidRPr="00BF7B7E">
        <w:t xml:space="preserve">, javna savjetovanja i dijalozi s građanima, te na poboljšanje učinkovitosti tih alata, posebno tako što će se osigurati da se njima doprinosi utvrđivanju europskog programa, uz istodobno jamčenje jačanja predstavničke demokracije u postupku donošenja odluka; poziva Komisiju, države članice te regionalne i lokalne vlasti da ulože veće napore u informiranje javnosti o postojećim participativnim instrumentima; </w:t>
      </w:r>
    </w:p>
    <w:p w:rsidR="00F742FC" w:rsidRPr="00BF7B7E" w:rsidRDefault="00F742FC" w:rsidP="00F742FC">
      <w:pPr>
        <w:pStyle w:val="NormalHanging12a"/>
        <w:shd w:val="clear" w:color="auto" w:fill="FFFFFF" w:themeFill="background1"/>
      </w:pPr>
      <w:r w:rsidRPr="00BF7B7E">
        <w:t>28.</w:t>
      </w:r>
      <w:r w:rsidRPr="00BF7B7E">
        <w:tab/>
        <w:t>ponavlja svoj prijedlog za uspostavu trajnog mehanizma savjetovanja s građanima koji bi građanima, posebno mladima, omogućio da raspravljaju o prioritetima i politikama EU-a, te kojim bi se doprinijelo, među ostalim, primjeni provjere zakonodavstva s obzirom na njegov utjecaj na mlade (</w:t>
      </w:r>
      <w:r w:rsidRPr="00BF7B7E">
        <w:rPr>
          <w:i/>
          <w:iCs/>
        </w:rPr>
        <w:t xml:space="preserve">engl. </w:t>
      </w:r>
      <w:r w:rsidRPr="00BF7B7E">
        <w:t>„</w:t>
      </w:r>
      <w:proofErr w:type="spellStart"/>
      <w:r w:rsidRPr="00BF7B7E">
        <w:t>youth</w:t>
      </w:r>
      <w:proofErr w:type="spellEnd"/>
      <w:r w:rsidRPr="00BF7B7E">
        <w:t xml:space="preserve"> </w:t>
      </w:r>
      <w:proofErr w:type="spellStart"/>
      <w:r w:rsidRPr="00BF7B7E">
        <w:t>check</w:t>
      </w:r>
      <w:proofErr w:type="spellEnd"/>
      <w:r w:rsidRPr="00BF7B7E">
        <w:t>)” kako bi se parlamentarna demokracija nadopunila, a ne zamijenila; predlaže da se predstavnike Parlamenta obavijesti o tim raspravama kako bi mogli procijeniti treba li, prema potrebi, poduzeti daljnje mjere;</w:t>
      </w:r>
    </w:p>
    <w:p w:rsidR="00F742FC" w:rsidRPr="00BF7B7E" w:rsidRDefault="00F742FC" w:rsidP="00F742FC">
      <w:pPr>
        <w:pStyle w:val="NormalHanging12a"/>
      </w:pPr>
      <w:r w:rsidRPr="00BF7B7E">
        <w:t>29.</w:t>
      </w:r>
      <w:r w:rsidRPr="00BF7B7E">
        <w:tab/>
        <w:t>predlaže da se razmotri uvođenje europske iskaznice građana kojom bi se, primjerice, olakšalo ostvarivanje građanskih prava i glasovanje na europskim izborima, kao i upotreba participativnih instrumenata;</w:t>
      </w:r>
    </w:p>
    <w:p w:rsidR="00F742FC" w:rsidRPr="00BF7B7E" w:rsidRDefault="00F742FC" w:rsidP="00F742FC">
      <w:pPr>
        <w:pStyle w:val="NormalHanging12a"/>
        <w:shd w:val="clear" w:color="auto" w:fill="FFFFFF" w:themeFill="background1"/>
      </w:pPr>
      <w:r w:rsidRPr="00BF7B7E">
        <w:t>30.</w:t>
      </w:r>
      <w:r w:rsidRPr="00BF7B7E">
        <w:rPr>
          <w:b/>
          <w:i/>
        </w:rPr>
        <w:tab/>
      </w:r>
      <w:r w:rsidRPr="00BF7B7E">
        <w:t xml:space="preserve">ističe važnu ulogu uredâ mreže Europe </w:t>
      </w:r>
      <w:proofErr w:type="spellStart"/>
      <w:r w:rsidRPr="00BF7B7E">
        <w:t>Direct</w:t>
      </w:r>
      <w:proofErr w:type="spellEnd"/>
      <w:r w:rsidRPr="00BF7B7E">
        <w:t xml:space="preserve"> u povećanju sudjelovanja građana na lokalnoj razini u demokratskom životu EU-a; potiče države članice i subjekte na regionalnoj i lokalnoj razini da intenzivnije surađuju s tim uredima;</w:t>
      </w:r>
    </w:p>
    <w:p w:rsidR="00F742FC" w:rsidRPr="00BF7B7E" w:rsidRDefault="00F742FC" w:rsidP="00F742FC">
      <w:pPr>
        <w:pStyle w:val="NormalHanging12a"/>
      </w:pPr>
      <w:r w:rsidRPr="00BF7B7E">
        <w:t>31.</w:t>
      </w:r>
      <w:r w:rsidRPr="00BF7B7E">
        <w:rPr>
          <w:b/>
          <w:i/>
        </w:rPr>
        <w:tab/>
      </w:r>
      <w:r w:rsidRPr="00BF7B7E">
        <w:t xml:space="preserve">poziva Komisiju da poveća upotrebu društvenih medija i digitalnih alata, s posebnim naglaskom na povećanju uključenosti mladih i osoba s invaliditetom u demokratski proces, čime bi se promicao njihov angažman, istodobno vodeći računa o smanjenoj dobi za glasovanje u državama članicama za europske izbore; u tom pogledu poziva Komisiju da ojača promicanje demokratskog sudjelovanja intenziviranjem dijaloga s građanima i podizanjem razine osviještenosti među građanima o utjecaju zakonodavstva EU-a na njihov svakodnevni život; </w:t>
      </w:r>
    </w:p>
    <w:p w:rsidR="00F742FC" w:rsidRPr="00BF7B7E" w:rsidRDefault="00F742FC" w:rsidP="00F742FC">
      <w:pPr>
        <w:pStyle w:val="NormalHanging12a"/>
      </w:pPr>
      <w:r w:rsidRPr="00BF7B7E">
        <w:t>32.</w:t>
      </w:r>
      <w:r w:rsidRPr="00BF7B7E">
        <w:rPr>
          <w:b/>
          <w:i/>
        </w:rPr>
        <w:tab/>
      </w:r>
      <w:r w:rsidRPr="00BF7B7E">
        <w:t xml:space="preserve">smatra da je, s obzirom na sve veći utjecaj digitalne sfere na živote građana, posebno kada je riječ o društvenim medijima i umjetnoj inteligenciji, i dalje ključno da države članice i europske institucije ostanu usredotočene na stvaranje novih javnih politika i provedbu učinkovitih mehanizama za zaštitu temeljnih prava na internetu te borbu </w:t>
      </w:r>
      <w:r w:rsidRPr="00BF7B7E">
        <w:lastRenderedPageBreak/>
        <w:t xml:space="preserve">protiv vanjskog upletanja i dezinformacija jer oni predstavljaju egzistencijalne prijetnje demokraciji i samom ostvarivanju prava građana; </w:t>
      </w:r>
    </w:p>
    <w:p w:rsidR="00F742FC" w:rsidRPr="00BF7B7E" w:rsidRDefault="00F742FC" w:rsidP="00F742FC">
      <w:pPr>
        <w:spacing w:after="240"/>
        <w:ind w:left="567" w:hanging="567"/>
        <w:rPr>
          <w:rFonts w:eastAsiaTheme="minorHAnsi" w:cstheme="minorBidi"/>
          <w:szCs w:val="22"/>
        </w:rPr>
      </w:pPr>
      <w:r w:rsidRPr="00BF7B7E">
        <w:t>33.</w:t>
      </w:r>
      <w:r w:rsidRPr="00BF7B7E">
        <w:tab/>
        <w:t>potiče Vijeće i Komisiju da nastave pregovore o reviziji Uredbe (EZ) br. 1049/2001</w:t>
      </w:r>
      <w:r w:rsidRPr="00BF7B7E">
        <w:rPr>
          <w:rFonts w:eastAsiaTheme="minorHAnsi" w:cstheme="minorBidi"/>
          <w:szCs w:val="22"/>
          <w:vertAlign w:val="superscript"/>
          <w:lang w:eastAsia="en-US"/>
        </w:rPr>
        <w:footnoteReference w:id="26"/>
      </w:r>
      <w:r w:rsidRPr="00BF7B7E">
        <w:t xml:space="preserve"> kako bi se osiguralo da građani EU-a mogu u potpunosti ostvariti svoje pravo na pristup dokumentima i nadzor nad institucijama, tijelima, uredima i agencijama EU-a;</w:t>
      </w:r>
    </w:p>
    <w:p w:rsidR="00F742FC" w:rsidRPr="00BF7B7E" w:rsidRDefault="00F742FC" w:rsidP="00F742FC">
      <w:pPr>
        <w:pStyle w:val="AMNumberTabs"/>
        <w:keepNext/>
        <w:spacing w:before="0" w:after="240"/>
        <w:ind w:left="567" w:hanging="567"/>
        <w:jc w:val="both"/>
        <w:rPr>
          <w:rStyle w:val="doceo-font-family-base"/>
          <w:rFonts w:eastAsiaTheme="minorHAnsi"/>
          <w:b w:val="0"/>
          <w:color w:val="000000"/>
          <w:szCs w:val="24"/>
        </w:rPr>
      </w:pPr>
      <w:r w:rsidRPr="00BF7B7E">
        <w:rPr>
          <w:rStyle w:val="doceo-font-family-base"/>
          <w:b w:val="0"/>
          <w:color w:val="000000"/>
        </w:rPr>
        <w:t>34.</w:t>
      </w:r>
      <w:r w:rsidRPr="00BF7B7E">
        <w:rPr>
          <w:rStyle w:val="doceo-font-family-base"/>
          <w:color w:val="000000"/>
        </w:rPr>
        <w:tab/>
      </w:r>
      <w:r w:rsidRPr="00BF7B7E">
        <w:rPr>
          <w:b w:val="0"/>
        </w:rPr>
        <w:t>ponavlja da je na temelju članka 25. UFEU-a potrebno sastaviti Statut EU-a o građanstvu kojim će se objediniti postojeća i buduća građanska prava kako bi se poboljšala provedivost građanskih prava i zajamčila jednakost građana, poboljšala kohezija i odgovorilo na društvene, gospodarske, političke i digitalne promjene; podsjeća da bi se to trebalo provesti u okviru Ugovorâ</w:t>
      </w:r>
      <w:r w:rsidRPr="00BF7B7E">
        <w:rPr>
          <w:rStyle w:val="doceo-font-family-base"/>
          <w:b w:val="0"/>
          <w:color w:val="000000"/>
        </w:rPr>
        <w:t xml:space="preserve">; </w:t>
      </w:r>
    </w:p>
    <w:p w:rsidR="00F742FC" w:rsidRPr="00BF7B7E" w:rsidRDefault="00F742FC" w:rsidP="00F742FC">
      <w:pPr>
        <w:pStyle w:val="AMNumberTabs"/>
        <w:keepNext/>
        <w:ind w:left="567" w:hanging="567"/>
        <w:jc w:val="both"/>
        <w:rPr>
          <w:b w:val="0"/>
        </w:rPr>
      </w:pPr>
      <w:r w:rsidRPr="00BF7B7E">
        <w:rPr>
          <w:b w:val="0"/>
        </w:rPr>
        <w:t>35.</w:t>
      </w:r>
      <w:r w:rsidRPr="00BF7B7E">
        <w:rPr>
          <w:b w:val="0"/>
        </w:rPr>
        <w:tab/>
        <w:t xml:space="preserve">predlaže da u području sudjelovanja i političkih prava, slobode kretanja i digitalnoga građanstva te u skladu s postojećim i budućim zakonodavstvom EU-a građani posebno imaju sljedeća prava: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uravnoteženu demokratsku zastupljenost na izbornim listama;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stalnu interaktivnu digitalnu platformu putem koje građani mogu podnositi svoje prijedloge i ideje na svim službenim jezicima EU-a;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priznavanje razdoblja studiranja, a ne samo kvalifikacija i stručnih kompetencija, kao jednakovrijednih za sposobnost rada u drugoj državi članici;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univerzalan pristup internetu kako bi se osigurala uključenost građana i jednak pristup digitalnom okruženju;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upravljanje vlastitim digitalnim identitetom koje nadilazi zaštitu koja već postoji u pogledu osobnih podataka u digitalnom okruženju;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digitalno nasljeđe digitalnih podataka preminule osobe; </w:t>
      </w:r>
    </w:p>
    <w:p w:rsidR="00F742FC" w:rsidRPr="00BF7B7E" w:rsidRDefault="00995952" w:rsidP="00995952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BF7B7E">
        <w:rPr>
          <w:b w:val="0"/>
        </w:rPr>
        <w:t>–</w:t>
      </w:r>
      <w:r w:rsidRPr="00BF7B7E">
        <w:rPr>
          <w:b w:val="0"/>
        </w:rPr>
        <w:tab/>
      </w:r>
      <w:r w:rsidR="00F742FC" w:rsidRPr="00BF7B7E">
        <w:rPr>
          <w:b w:val="0"/>
        </w:rPr>
        <w:t xml:space="preserve">razvoj sigurnih, transparentnih i </w:t>
      </w:r>
      <w:proofErr w:type="spellStart"/>
      <w:r w:rsidR="00F742FC" w:rsidRPr="00BF7B7E">
        <w:rPr>
          <w:b w:val="0"/>
        </w:rPr>
        <w:t>sljedivih</w:t>
      </w:r>
      <w:proofErr w:type="spellEnd"/>
      <w:r w:rsidR="00F742FC" w:rsidRPr="00BF7B7E">
        <w:rPr>
          <w:b w:val="0"/>
        </w:rPr>
        <w:t xml:space="preserve"> sustava umjetne inteligencije koje nadziru ljudi i regulatorne institucije;</w:t>
      </w:r>
    </w:p>
    <w:p w:rsidR="00F742FC" w:rsidRPr="00BF7B7E" w:rsidRDefault="00F742FC" w:rsidP="00F742FC">
      <w:pPr>
        <w:pStyle w:val="NormalHanging12a"/>
        <w:spacing w:before="240" w:after="0"/>
        <w:rPr>
          <w:rStyle w:val="doceo-font-family-base"/>
          <w:color w:val="000000"/>
          <w:u w:val="single"/>
        </w:rPr>
      </w:pPr>
      <w:r w:rsidRPr="00BF7B7E">
        <w:rPr>
          <w:rStyle w:val="doceo-font-family-base"/>
          <w:color w:val="000000"/>
        </w:rPr>
        <w:t>36.</w:t>
      </w:r>
      <w:r w:rsidRPr="00BF7B7E">
        <w:rPr>
          <w:rStyle w:val="doceo-font-family-base"/>
          <w:color w:val="000000"/>
        </w:rPr>
        <w:tab/>
      </w:r>
      <w:r w:rsidRPr="00BF7B7E">
        <w:t>poziva na to da se u Statut EU-a o građanstvu uvrsti horizontalna klauzula o nediskriminaciji kao dodatna zaštitna mjera u pogledu jednakosti u ostvarivanju građanskih prava radi jamčenja nediskriminacije i zaštite građana, posebno pripadnika ranjivih i marginaliziranih skupina i osoba koje žive u prekograničnim regijama EU-a;</w:t>
      </w:r>
    </w:p>
    <w:p w:rsidR="00F742FC" w:rsidRPr="00BF7B7E" w:rsidRDefault="00F742FC" w:rsidP="00F742FC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BF7B7E">
        <w:rPr>
          <w:rStyle w:val="doceo-font-family-base"/>
          <w:color w:val="000000"/>
        </w:rPr>
        <w:t>37.</w:t>
      </w:r>
      <w:r w:rsidRPr="00BF7B7E">
        <w:rPr>
          <w:rStyle w:val="doceo-font-family-base"/>
          <w:color w:val="000000"/>
        </w:rPr>
        <w:tab/>
        <w:t>poziva Komisiju da provede ciljane kampanje za podizanje razine osviještenosti o pravima i građanskim</w:t>
      </w:r>
      <w:r w:rsidRPr="00BF7B7E">
        <w:t xml:space="preserve"> obvezama koje proizlaze iz građanstva EU-a i statuta, među ostalim uvođenjem paketa EU-a za </w:t>
      </w:r>
      <w:r w:rsidRPr="00BF7B7E">
        <w:rPr>
          <w:rStyle w:val="doceo-font-family-base"/>
          <w:color w:val="000000"/>
        </w:rPr>
        <w:t>pružanje informacija o građanstvu EU-a, te da namijeni više sredstava za građanstvo EU-a</w:t>
      </w:r>
      <w:r w:rsidRPr="00BF7B7E">
        <w:t>;</w:t>
      </w:r>
      <w:r w:rsidRPr="00BF7B7E">
        <w:rPr>
          <w:rStyle w:val="doceo-font-family-base"/>
          <w:color w:val="000000"/>
        </w:rPr>
        <w:t xml:space="preserve"> naglašava da su, zahvaljujući digitalnoj i tehnološkoj revoluciji, građani postali pravi stupovi naših demokratskih sustava i da će ih upravo oni braniti; </w:t>
      </w:r>
    </w:p>
    <w:p w:rsidR="00F742FC" w:rsidRPr="00BF7B7E" w:rsidRDefault="00F742FC" w:rsidP="00F742FC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BF7B7E">
        <w:rPr>
          <w:rStyle w:val="doceo-font-family-base"/>
          <w:color w:val="000000"/>
        </w:rPr>
        <w:lastRenderedPageBreak/>
        <w:t>38.</w:t>
      </w:r>
      <w:r w:rsidRPr="00BF7B7E">
        <w:rPr>
          <w:rStyle w:val="doceo-font-family-base"/>
          <w:color w:val="000000"/>
        </w:rPr>
        <w:tab/>
      </w:r>
      <w:r w:rsidR="008B5F30" w:rsidRPr="00BF7B7E">
        <w:rPr>
          <w:rStyle w:val="doceo-font-family-base"/>
          <w:color w:val="000000"/>
        </w:rPr>
        <w:t xml:space="preserve">prima na znanje paket mjera za građanstvo, posebno Izvješće o građanstvu EU-a za 2023., koje je Komisija objavila 6. prosinca 2023., kako bi se građanstvo EU-a dodatno unaprijedilo i postalo konkretnije za građane EU-a; </w:t>
      </w:r>
      <w:r w:rsidRPr="00BF7B7E">
        <w:rPr>
          <w:rStyle w:val="doceo-font-family-base"/>
          <w:color w:val="000000"/>
        </w:rPr>
        <w:t xml:space="preserve">poziva Komisiju da uzme u obzir </w:t>
      </w:r>
      <w:r w:rsidR="008B5F30" w:rsidRPr="00BF7B7E">
        <w:rPr>
          <w:rStyle w:val="doceo-font-family-base"/>
          <w:color w:val="000000"/>
        </w:rPr>
        <w:t xml:space="preserve">preporuke koje to izvješće sadrži </w:t>
      </w:r>
      <w:r w:rsidRPr="00BF7B7E">
        <w:rPr>
          <w:rStyle w:val="doceo-font-family-base"/>
          <w:color w:val="000000"/>
        </w:rPr>
        <w:t>o građanstvu EU-a za 2023.</w:t>
      </w:r>
      <w:r w:rsidRPr="00BF7B7E">
        <w:t xml:space="preserve"> i da poduzme potrebne korake za njihovu provedbu u skladu s </w:t>
      </w:r>
      <w:r w:rsidRPr="00BF7B7E">
        <w:rPr>
          <w:rStyle w:val="doceo-font-family-base"/>
          <w:color w:val="000000"/>
        </w:rPr>
        <w:t>postupkom iz Ugovorâ</w:t>
      </w:r>
      <w:r w:rsidRPr="00BF7B7E">
        <w:t>;</w:t>
      </w:r>
    </w:p>
    <w:p w:rsidR="00F742FC" w:rsidRPr="00BF7B7E" w:rsidRDefault="00F742FC" w:rsidP="00F742FC">
      <w:pPr>
        <w:pStyle w:val="NormalHanging12a"/>
        <w:spacing w:before="240" w:after="0"/>
      </w:pPr>
      <w:r w:rsidRPr="00BF7B7E">
        <w:rPr>
          <w:rStyle w:val="doceo-font-family-base"/>
          <w:color w:val="000000"/>
        </w:rPr>
        <w:t>39.</w:t>
      </w:r>
      <w:r w:rsidRPr="00BF7B7E">
        <w:rPr>
          <w:rStyle w:val="doceo-font-family-base"/>
          <w:color w:val="000000"/>
        </w:rPr>
        <w:tab/>
        <w:t>ponavlja svoj poziv</w:t>
      </w:r>
      <w:r w:rsidRPr="00BF7B7E">
        <w:t xml:space="preserve"> na sazivanje Konvencije za reviziju Ugovorâ, kako je predviđeno člankom 48. UEU-a; čvrsto vjeruje da bi se Konvencijom trebalo pažljivo procijeniti kako dodatno ojačati građanstvo EU-a;</w:t>
      </w:r>
    </w:p>
    <w:p w:rsidR="00F742FC" w:rsidRPr="00BF7B7E" w:rsidRDefault="00F742FC" w:rsidP="00F742FC">
      <w:pPr>
        <w:pStyle w:val="NormalHanging12a"/>
        <w:spacing w:before="240" w:after="0"/>
      </w:pPr>
    </w:p>
    <w:p w:rsidR="00F742FC" w:rsidRPr="00BF7B7E" w:rsidRDefault="00F742FC" w:rsidP="00F742FC">
      <w:pPr>
        <w:pStyle w:val="NormalHanging12a"/>
        <w:jc w:val="center"/>
      </w:pPr>
      <w:r w:rsidRPr="00BF7B7E">
        <w:t>°</w:t>
      </w:r>
    </w:p>
    <w:p w:rsidR="00F742FC" w:rsidRPr="00BF7B7E" w:rsidRDefault="00F742FC" w:rsidP="00F742FC">
      <w:pPr>
        <w:pStyle w:val="NormalHanging12a"/>
        <w:jc w:val="center"/>
      </w:pPr>
      <w:r w:rsidRPr="00BF7B7E">
        <w:t>°</w:t>
      </w:r>
      <w:r w:rsidRPr="00BF7B7E">
        <w:tab/>
        <w:t>°</w:t>
      </w:r>
    </w:p>
    <w:p w:rsidR="00F742FC" w:rsidRPr="00BF7B7E" w:rsidRDefault="00F742FC" w:rsidP="00F742FC">
      <w:pPr>
        <w:pStyle w:val="NormalHanging12a"/>
      </w:pPr>
      <w:r w:rsidRPr="00BF7B7E">
        <w:t>40.</w:t>
      </w:r>
      <w:r w:rsidRPr="00BF7B7E">
        <w:tab/>
        <w:t>nalaže svojoj predsjednici da ovu Rezoluciju proslijedi Vijeću i Komisiji.</w:t>
      </w:r>
    </w:p>
    <w:p w:rsidR="00E365E1" w:rsidRPr="00BF7B7E" w:rsidRDefault="00E365E1" w:rsidP="00995952">
      <w:pPr>
        <w:pStyle w:val="Normal24a"/>
      </w:pPr>
    </w:p>
    <w:sectPr w:rsidR="00E365E1" w:rsidRPr="00BF7B7E" w:rsidSect="000C37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6B7" w:rsidRPr="000C3789" w:rsidRDefault="008646B7">
      <w:r w:rsidRPr="000C3789">
        <w:separator/>
      </w:r>
    </w:p>
  </w:endnote>
  <w:endnote w:type="continuationSeparator" w:id="0">
    <w:p w:rsidR="008646B7" w:rsidRPr="000C3789" w:rsidRDefault="008646B7">
      <w:r w:rsidRPr="000C37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7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7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7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6B7" w:rsidRPr="000C3789" w:rsidRDefault="008646B7">
      <w:r w:rsidRPr="000C3789">
        <w:separator/>
      </w:r>
    </w:p>
  </w:footnote>
  <w:footnote w:type="continuationSeparator" w:id="0">
    <w:p w:rsidR="008646B7" w:rsidRPr="000C3789" w:rsidRDefault="008646B7">
      <w:r w:rsidRPr="000C3789">
        <w:continuationSeparator/>
      </w:r>
    </w:p>
  </w:footnote>
  <w:footnote w:id="1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 L 158, 30.4.2004., str. 77.</w:t>
      </w:r>
    </w:p>
  </w:footnote>
  <w:footnote w:id="2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 L 156, 5.5.2021., str. 1</w:t>
      </w:r>
      <w:r w:rsidRPr="000C3789">
        <w:rPr>
          <w:rStyle w:val="Emphasis"/>
          <w:color w:val="333333"/>
          <w:sz w:val="24"/>
          <w:shd w:val="clear" w:color="auto" w:fill="FFFFFF"/>
          <w:lang w:val="hr-HR"/>
        </w:rPr>
        <w:t>.</w:t>
      </w:r>
    </w:p>
  </w:footnote>
  <w:footnote w:id="3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 L 141, 27.5.2011., str. 1.</w:t>
      </w:r>
    </w:p>
  </w:footnote>
  <w:footnote w:id="4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L 186, 11.7.2019., str. 21.</w:t>
      </w:r>
    </w:p>
  </w:footnote>
  <w:footnote w:id="5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="00427399">
        <w:rPr>
          <w:sz w:val="24"/>
          <w:lang w:val="hr-HR"/>
        </w:rPr>
        <w:t>SL L 173, 9.7.</w:t>
      </w:r>
      <w:r w:rsidRPr="000C3789">
        <w:rPr>
          <w:sz w:val="24"/>
          <w:lang w:val="hr-HR"/>
        </w:rPr>
        <w:t>2018., str. 16.</w:t>
      </w:r>
    </w:p>
  </w:footnote>
  <w:footnote w:id="6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 L 107, 22.4.2016., str. 1.</w:t>
      </w:r>
    </w:p>
  </w:footnote>
  <w:footnote w:id="7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L 354, 28.12.2013., str. 132.</w:t>
      </w:r>
    </w:p>
  </w:footnote>
  <w:footnote w:id="8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L 106, 24.4.2015., str. 1.</w:t>
      </w:r>
    </w:p>
  </w:footnote>
  <w:footnote w:id="9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L 163, 20.6.2019., str. 1.</w:t>
      </w:r>
    </w:p>
  </w:footnote>
  <w:footnote w:id="10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 L 130, 17.5.2019., str. 55.</w:t>
      </w:r>
    </w:p>
  </w:footnote>
  <w:footnote w:id="11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L 231, 17.7.2020., str. 7.</w:t>
      </w:r>
      <w:bookmarkStart w:id="8" w:name="_GoBack"/>
      <w:bookmarkEnd w:id="8"/>
    </w:p>
  </w:footnote>
  <w:footnote w:id="12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283, 11.8.2023., str. 76.</w:t>
      </w:r>
    </w:p>
  </w:footnote>
  <w:footnote w:id="13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283, 11.8.2023., str. 100.</w:t>
      </w:r>
    </w:p>
  </w:footnote>
  <w:footnote w:id="14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449, 23.12.2020., str. 6.</w:t>
      </w:r>
    </w:p>
  </w:footnote>
  <w:footnote w:id="15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347, 9.9.2022., str. 97.</w:t>
      </w:r>
    </w:p>
  </w:footnote>
  <w:footnote w:id="16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347, 9.9.2022., str. 202.</w:t>
      </w:r>
    </w:p>
  </w:footnote>
  <w:footnote w:id="17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Usvojeni tekstovi, P9_TA(2023)0230.</w:t>
      </w:r>
    </w:p>
  </w:footnote>
  <w:footnote w:id="18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Usvojeni tekstovi, P9_TA(2023)0330.</w:t>
      </w:r>
    </w:p>
  </w:footnote>
  <w:footnote w:id="19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99, 1.3.2022., str. 96.</w:t>
      </w:r>
    </w:p>
  </w:footnote>
  <w:footnote w:id="20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347, 9.9.2022., str. 110.</w:t>
      </w:r>
    </w:p>
  </w:footnote>
  <w:footnote w:id="21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SL C 263, 25.7.2018., str. 98.</w:t>
      </w:r>
    </w:p>
  </w:footnote>
  <w:footnote w:id="22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proofErr w:type="spellStart"/>
      <w:r w:rsidRPr="000C3789">
        <w:rPr>
          <w:sz w:val="24"/>
          <w:lang w:val="hr-HR"/>
        </w:rPr>
        <w:t>Eurostat</w:t>
      </w:r>
      <w:proofErr w:type="spellEnd"/>
      <w:r w:rsidRPr="000C3789">
        <w:rPr>
          <w:sz w:val="24"/>
          <w:lang w:val="hr-HR"/>
        </w:rPr>
        <w:t>, „</w:t>
      </w:r>
      <w:proofErr w:type="spellStart"/>
      <w:r w:rsidRPr="00995952">
        <w:rPr>
          <w:sz w:val="24"/>
          <w:lang w:val="hr-HR"/>
        </w:rPr>
        <w:t>Archive</w:t>
      </w:r>
      <w:proofErr w:type="spellEnd"/>
      <w:r w:rsidRPr="00995952">
        <w:rPr>
          <w:sz w:val="24"/>
          <w:lang w:val="hr-HR"/>
        </w:rPr>
        <w:t xml:space="preserve">: </w:t>
      </w:r>
      <w:hyperlink r:id="rId1" w:history="1">
        <w:r w:rsidRPr="000C3789">
          <w:rPr>
            <w:rStyle w:val="Hyperlink"/>
            <w:sz w:val="24"/>
            <w:lang w:val="hr-HR"/>
          </w:rPr>
          <w:t xml:space="preserve">EU </w:t>
        </w:r>
        <w:proofErr w:type="spellStart"/>
        <w:r w:rsidRPr="000C3789">
          <w:rPr>
            <w:rStyle w:val="Hyperlink"/>
            <w:sz w:val="24"/>
            <w:lang w:val="hr-HR"/>
          </w:rPr>
          <w:t>citizens</w:t>
        </w:r>
        <w:proofErr w:type="spellEnd"/>
        <w:r w:rsidRPr="000C3789">
          <w:rPr>
            <w:rStyle w:val="Hyperlink"/>
            <w:sz w:val="24"/>
            <w:lang w:val="hr-HR"/>
          </w:rPr>
          <w:t xml:space="preserve"> </w:t>
        </w:r>
        <w:proofErr w:type="spellStart"/>
        <w:r w:rsidRPr="000C3789">
          <w:rPr>
            <w:rStyle w:val="Hyperlink"/>
            <w:sz w:val="24"/>
            <w:lang w:val="hr-HR"/>
          </w:rPr>
          <w:t>living</w:t>
        </w:r>
        <w:proofErr w:type="spellEnd"/>
        <w:r w:rsidRPr="000C3789">
          <w:rPr>
            <w:rStyle w:val="Hyperlink"/>
            <w:sz w:val="24"/>
            <w:lang w:val="hr-HR"/>
          </w:rPr>
          <w:t xml:space="preserve"> </w:t>
        </w:r>
        <w:proofErr w:type="spellStart"/>
        <w:r w:rsidRPr="000C3789">
          <w:rPr>
            <w:rStyle w:val="Hyperlink"/>
            <w:sz w:val="24"/>
            <w:lang w:val="hr-HR"/>
          </w:rPr>
          <w:t>in</w:t>
        </w:r>
        <w:proofErr w:type="spellEnd"/>
        <w:r w:rsidRPr="000C3789">
          <w:rPr>
            <w:rStyle w:val="Hyperlink"/>
            <w:sz w:val="24"/>
            <w:lang w:val="hr-HR"/>
          </w:rPr>
          <w:t xml:space="preserve"> </w:t>
        </w:r>
        <w:proofErr w:type="spellStart"/>
        <w:r w:rsidRPr="000C3789">
          <w:rPr>
            <w:rStyle w:val="Hyperlink"/>
            <w:sz w:val="24"/>
            <w:lang w:val="hr-HR"/>
          </w:rPr>
          <w:t>another</w:t>
        </w:r>
        <w:proofErr w:type="spellEnd"/>
        <w:r w:rsidRPr="000C3789">
          <w:rPr>
            <w:rStyle w:val="Hyperlink"/>
            <w:sz w:val="24"/>
            <w:lang w:val="hr-HR"/>
          </w:rPr>
          <w:t xml:space="preserve"> </w:t>
        </w:r>
        <w:proofErr w:type="spellStart"/>
        <w:r w:rsidRPr="000C3789">
          <w:rPr>
            <w:rStyle w:val="Hyperlink"/>
            <w:sz w:val="24"/>
            <w:lang w:val="hr-HR"/>
          </w:rPr>
          <w:t>Member</w:t>
        </w:r>
        <w:proofErr w:type="spellEnd"/>
        <w:r w:rsidRPr="000C3789">
          <w:rPr>
            <w:rStyle w:val="Hyperlink"/>
            <w:sz w:val="24"/>
            <w:lang w:val="hr-HR"/>
          </w:rPr>
          <w:t xml:space="preserve"> State - </w:t>
        </w:r>
        <w:proofErr w:type="spellStart"/>
        <w:r w:rsidRPr="000C3789">
          <w:rPr>
            <w:rStyle w:val="Hyperlink"/>
            <w:sz w:val="24"/>
            <w:lang w:val="hr-HR"/>
          </w:rPr>
          <w:t>statistical</w:t>
        </w:r>
        <w:proofErr w:type="spellEnd"/>
        <w:r w:rsidRPr="000C3789">
          <w:rPr>
            <w:rStyle w:val="Hyperlink"/>
            <w:sz w:val="24"/>
            <w:lang w:val="hr-HR"/>
          </w:rPr>
          <w:t xml:space="preserve"> </w:t>
        </w:r>
        <w:proofErr w:type="spellStart"/>
        <w:r w:rsidRPr="000C3789">
          <w:rPr>
            <w:rStyle w:val="Hyperlink"/>
            <w:sz w:val="24"/>
            <w:lang w:val="hr-HR"/>
          </w:rPr>
          <w:t>overview</w:t>
        </w:r>
        <w:proofErr w:type="spellEnd"/>
      </w:hyperlink>
      <w:r w:rsidRPr="000C3789">
        <w:rPr>
          <w:sz w:val="24"/>
          <w:lang w:val="hr-HR"/>
        </w:rPr>
        <w:t>” (</w:t>
      </w:r>
      <w:r w:rsidRPr="000C3789">
        <w:rPr>
          <w:i/>
          <w:iCs/>
          <w:sz w:val="24"/>
          <w:lang w:val="hr-HR"/>
        </w:rPr>
        <w:t>Arhiv: Građani EU-a koji žive u drugoj državi članici – statistički pregled</w:t>
      </w:r>
      <w:r w:rsidRPr="000C3789">
        <w:rPr>
          <w:sz w:val="24"/>
          <w:lang w:val="hr-HR"/>
        </w:rPr>
        <w:t>).</w:t>
      </w:r>
    </w:p>
  </w:footnote>
  <w:footnote w:id="23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Europska komisija, „Građanstvo EU-a 2020. – Završno izvješće: Rezultati javnog savjetovanja o pravima građana EU-a 2020.”, prosinac 2020.</w:t>
      </w:r>
    </w:p>
  </w:footnote>
  <w:footnote w:id="24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 xml:space="preserve">Podaci: Statistika EU-a o dohotku i životnim uvjetima (EU-SILC) i anketa EU-a o radnoj snazi (EU-LFS); </w:t>
      </w:r>
      <w:proofErr w:type="spellStart"/>
      <w:r w:rsidRPr="000C3789">
        <w:rPr>
          <w:sz w:val="24"/>
          <w:lang w:val="hr-HR"/>
        </w:rPr>
        <w:t>Grammenos</w:t>
      </w:r>
      <w:proofErr w:type="spellEnd"/>
      <w:r w:rsidRPr="000C3789">
        <w:rPr>
          <w:sz w:val="24"/>
          <w:lang w:val="hr-HR"/>
        </w:rPr>
        <w:t xml:space="preserve">, S. i </w:t>
      </w:r>
      <w:proofErr w:type="spellStart"/>
      <w:r w:rsidRPr="000C3789">
        <w:rPr>
          <w:sz w:val="24"/>
          <w:lang w:val="hr-HR"/>
        </w:rPr>
        <w:t>Priestley</w:t>
      </w:r>
      <w:proofErr w:type="spellEnd"/>
      <w:r w:rsidRPr="000C3789">
        <w:rPr>
          <w:sz w:val="24"/>
          <w:lang w:val="hr-HR"/>
        </w:rPr>
        <w:t xml:space="preserve">, M., „Podaci povezani sa strategijom Europa 2020. i osobama s invaliditetom – tablice”. </w:t>
      </w:r>
      <w:proofErr w:type="spellStart"/>
      <w:r w:rsidRPr="000C3789">
        <w:rPr>
          <w:sz w:val="24"/>
          <w:lang w:val="hr-HR"/>
        </w:rPr>
        <w:t>Eurostat</w:t>
      </w:r>
      <w:proofErr w:type="spellEnd"/>
      <w:r w:rsidRPr="000C3789">
        <w:rPr>
          <w:sz w:val="24"/>
          <w:lang w:val="hr-HR"/>
        </w:rPr>
        <w:t>, 2020.</w:t>
      </w:r>
    </w:p>
  </w:footnote>
  <w:footnote w:id="25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>Komunikacija Komisije od 17. lipnja 2022. naslovljena „Konferencija o budućnosti Europe: provođenje vizije u djelo” (COM(2022)0404).</w:t>
      </w:r>
    </w:p>
  </w:footnote>
  <w:footnote w:id="26">
    <w:p w:rsidR="00F742FC" w:rsidRPr="000C3789" w:rsidRDefault="00F742FC" w:rsidP="000C3789">
      <w:pPr>
        <w:pStyle w:val="FootnoteText"/>
        <w:ind w:left="567" w:hanging="567"/>
        <w:rPr>
          <w:sz w:val="24"/>
          <w:lang w:val="hr-HR"/>
        </w:rPr>
      </w:pPr>
      <w:r w:rsidRPr="000C3789">
        <w:rPr>
          <w:rStyle w:val="FootnoteReference"/>
          <w:sz w:val="24"/>
          <w:lang w:val="hr-HR"/>
        </w:rPr>
        <w:footnoteRef/>
      </w:r>
      <w:r w:rsidR="000C3789" w:rsidRPr="000C3789">
        <w:rPr>
          <w:sz w:val="24"/>
          <w:lang w:val="hr-HR"/>
        </w:rPr>
        <w:t xml:space="preserve"> </w:t>
      </w:r>
      <w:r w:rsidR="000C3789" w:rsidRPr="000C3789">
        <w:rPr>
          <w:sz w:val="24"/>
          <w:lang w:val="hr-HR"/>
        </w:rPr>
        <w:tab/>
      </w:r>
      <w:r w:rsidRPr="000C3789">
        <w:rPr>
          <w:sz w:val="24"/>
          <w:lang w:val="hr-HR"/>
        </w:rPr>
        <w:t xml:space="preserve">Uredba (EZ) br. 1049/2001 Europskog parlamenta i Vijeća od 30. svibnja 2001. o javnom pristupu dokumentima Europskog parlamenta, Vijeća i Komisije, </w:t>
      </w:r>
      <w:r w:rsidR="00995952">
        <w:rPr>
          <w:sz w:val="24"/>
          <w:lang w:val="hr-HR"/>
        </w:rPr>
        <w:t>(</w:t>
      </w:r>
      <w:r w:rsidRPr="000C3789">
        <w:rPr>
          <w:sz w:val="24"/>
          <w:lang w:val="hr-HR"/>
        </w:rPr>
        <w:t>SL L 145, 31.5.2001., str. 43.</w:t>
      </w:r>
      <w:r w:rsidR="00995952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7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7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37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6/2023"/>
    <w:docVar w:name="dvlangue" w:val="HR"/>
    <w:docVar w:name="dvnumam" w:val="0"/>
    <w:docVar w:name="dvpe" w:val="754.647"/>
    <w:docVar w:name="dvrapporteur" w:val="Izvjestiteljica: "/>
    <w:docVar w:name="dvtitre" w:val="Rezolucija Europskog parlamenta od .... 2024. o provedbi odredbi Ugovora o građanstvu EU-a(2023/2085(INI))"/>
  </w:docVars>
  <w:rsids>
    <w:rsidRoot w:val="008646B7"/>
    <w:rsid w:val="00002272"/>
    <w:rsid w:val="00064002"/>
    <w:rsid w:val="000677B9"/>
    <w:rsid w:val="000831BA"/>
    <w:rsid w:val="000A42CC"/>
    <w:rsid w:val="000C378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39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6B7"/>
    <w:rsid w:val="00865F67"/>
    <w:rsid w:val="00881A7B"/>
    <w:rsid w:val="008840E5"/>
    <w:rsid w:val="00887B3E"/>
    <w:rsid w:val="008B5F30"/>
    <w:rsid w:val="008C2AC6"/>
    <w:rsid w:val="00904EE5"/>
    <w:rsid w:val="00930C23"/>
    <w:rsid w:val="0093193B"/>
    <w:rsid w:val="009509D8"/>
    <w:rsid w:val="00950B64"/>
    <w:rsid w:val="00981893"/>
    <w:rsid w:val="0099595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B7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2F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0523D"/>
  <w15:chartTrackingRefBased/>
  <w15:docId w15:val="{30973D93-30DC-4CD3-870F-670BE823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742FC"/>
    <w:pPr>
      <w:spacing w:after="240"/>
    </w:pPr>
  </w:style>
  <w:style w:type="paragraph" w:customStyle="1" w:styleId="PageHeading">
    <w:name w:val="PageHeading"/>
    <w:basedOn w:val="Normal"/>
    <w:rsid w:val="00F742F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742FC"/>
    <w:rPr>
      <w:b/>
    </w:rPr>
  </w:style>
  <w:style w:type="paragraph" w:customStyle="1" w:styleId="NormalHanging12a">
    <w:name w:val="NormalHanging12a"/>
    <w:basedOn w:val="Normal"/>
    <w:link w:val="NormalHanging12aChar"/>
    <w:rsid w:val="00F742FC"/>
    <w:pPr>
      <w:spacing w:after="240"/>
      <w:ind w:left="567" w:hanging="567"/>
    </w:pPr>
  </w:style>
  <w:style w:type="character" w:customStyle="1" w:styleId="Bold">
    <w:name w:val="Bold"/>
    <w:uiPriority w:val="1"/>
    <w:rsid w:val="00F742FC"/>
    <w:rPr>
      <w:b/>
      <w:bCs w:val="0"/>
    </w:rPr>
  </w:style>
  <w:style w:type="character" w:styleId="Emphasis">
    <w:name w:val="Emphasis"/>
    <w:basedOn w:val="DefaultParagraphFont"/>
    <w:uiPriority w:val="20"/>
    <w:qFormat/>
    <w:rsid w:val="00F742FC"/>
    <w:rPr>
      <w:i/>
      <w:iCs/>
    </w:rPr>
  </w:style>
  <w:style w:type="character" w:customStyle="1" w:styleId="doceo-font-family-base">
    <w:name w:val="doceo-font-family-base"/>
    <w:basedOn w:val="DefaultParagraphFont"/>
    <w:rsid w:val="00F742FC"/>
  </w:style>
  <w:style w:type="character" w:customStyle="1" w:styleId="y2iqfc">
    <w:name w:val="y2iqfc"/>
    <w:basedOn w:val="DefaultParagraphFont"/>
    <w:rsid w:val="00F742FC"/>
  </w:style>
  <w:style w:type="paragraph" w:customStyle="1" w:styleId="Normal24a">
    <w:name w:val="Normal24a"/>
    <w:basedOn w:val="Normal"/>
    <w:rsid w:val="00F742FC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742FC"/>
    <w:rPr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F742FC"/>
    <w:rPr>
      <w:color w:val="0563C1" w:themeColor="hyperlink"/>
      <w:u w:val="single"/>
    </w:rPr>
  </w:style>
  <w:style w:type="paragraph" w:customStyle="1" w:styleId="AMNumberTabs">
    <w:name w:val="AMNumberTabs"/>
    <w:basedOn w:val="Normal"/>
    <w:rsid w:val="00F742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PageHeadingNotTOC">
    <w:name w:val="PageHeadingNotTOC"/>
    <w:basedOn w:val="Normal"/>
    <w:rsid w:val="00F742FC"/>
    <w:pPr>
      <w:keepNext/>
      <w:spacing w:after="480"/>
      <w:jc w:val="center"/>
    </w:pPr>
    <w:rPr>
      <w:rFonts w:ascii="Arial" w:hAnsi="Arial" w:cs="Arial"/>
      <w:b/>
    </w:rPr>
  </w:style>
  <w:style w:type="paragraph" w:styleId="Header">
    <w:name w:val="header"/>
    <w:basedOn w:val="Normal"/>
    <w:link w:val="HeaderChar"/>
    <w:rsid w:val="000C37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3789"/>
    <w:rPr>
      <w:sz w:val="24"/>
      <w:lang w:val="hr-HR"/>
    </w:rPr>
  </w:style>
  <w:style w:type="paragraph" w:styleId="Footer">
    <w:name w:val="footer"/>
    <w:basedOn w:val="Normal"/>
    <w:link w:val="FooterChar"/>
    <w:rsid w:val="000C37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3789"/>
    <w:rPr>
      <w:sz w:val="24"/>
      <w:lang w:val="hr-HR"/>
    </w:rPr>
  </w:style>
  <w:style w:type="character" w:styleId="FollowedHyperlink">
    <w:name w:val="FollowedHyperlink"/>
    <w:basedOn w:val="DefaultParagraphFont"/>
    <w:rsid w:val="0099595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8B5F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5F3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eurostat/statistics-explained/index.php?title=Archive:EU_citizens_living_in_another_Member_State_-_statistical_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54CA2-0EB5-435A-8D7F-62B2A84FF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3848</Words>
  <Characters>22900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RAONIĆ Ena</cp:lastModifiedBy>
  <cp:revision>2</cp:revision>
  <cp:lastPrinted>2004-11-19T15:42:00Z</cp:lastPrinted>
  <dcterms:created xsi:type="dcterms:W3CDTF">2024-02-19T08:31:00Z</dcterms:created>
  <dcterms:modified xsi:type="dcterms:W3CDTF">2024-02-19T08:31:00Z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A9-0436/2023</vt:lpwstr>
  </property>
  <property fmtid="{D5CDD505-2E9C-101B-9397-08002B2CF9AE}" pid="4" name="&lt;Type&gt;">
    <vt:lpwstr>RR</vt:lpwstr>
  </property>
</Properties>
</file>