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37F5" w:rsidTr="0010095E">
        <w:trPr>
          <w:trHeight w:hRule="exact" w:val="1418"/>
        </w:trPr>
        <w:tc>
          <w:tcPr>
            <w:tcW w:w="6804" w:type="dxa"/>
            <w:shd w:val="clear" w:color="auto" w:fill="auto"/>
            <w:vAlign w:val="center"/>
          </w:tcPr>
          <w:p w:rsidR="00751A4A" w:rsidRPr="005D37F5" w:rsidRDefault="006226DC" w:rsidP="0010095E">
            <w:pPr>
              <w:pStyle w:val="EPName"/>
            </w:pPr>
            <w:r w:rsidRPr="005D37F5">
              <w:t>Európai Parlament</w:t>
            </w:r>
          </w:p>
          <w:p w:rsidR="00751A4A" w:rsidRPr="005D37F5" w:rsidRDefault="00817416" w:rsidP="00756632">
            <w:pPr>
              <w:pStyle w:val="EPTerm"/>
              <w:rPr>
                <w:rStyle w:val="HideTWBExt"/>
                <w:noProof w:val="0"/>
                <w:vanish w:val="0"/>
                <w:color w:val="auto"/>
              </w:rPr>
            </w:pPr>
            <w:r w:rsidRPr="005D37F5">
              <w:t>2019-2024</w:t>
            </w:r>
          </w:p>
        </w:tc>
        <w:tc>
          <w:tcPr>
            <w:tcW w:w="2268" w:type="dxa"/>
            <w:shd w:val="clear" w:color="auto" w:fill="auto"/>
          </w:tcPr>
          <w:p w:rsidR="00751A4A" w:rsidRPr="005D37F5" w:rsidRDefault="00187494" w:rsidP="0010095E">
            <w:pPr>
              <w:pStyle w:val="EPLogo"/>
            </w:pPr>
            <w:r w:rsidRPr="005D37F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D37F5" w:rsidRDefault="00D058B8" w:rsidP="004C5D52">
      <w:pPr>
        <w:pStyle w:val="LineTop"/>
      </w:pPr>
    </w:p>
    <w:p w:rsidR="00680577" w:rsidRPr="005D37F5" w:rsidRDefault="006226DC" w:rsidP="00680577">
      <w:pPr>
        <w:pStyle w:val="EPBodyTA1"/>
      </w:pPr>
      <w:r w:rsidRPr="005D37F5">
        <w:t>ELFOGADOTT SZÖVEGEK</w:t>
      </w:r>
    </w:p>
    <w:p w:rsidR="00D058B8" w:rsidRPr="005D37F5" w:rsidRDefault="00D058B8" w:rsidP="00D058B8">
      <w:pPr>
        <w:pStyle w:val="LineBottom"/>
      </w:pPr>
    </w:p>
    <w:p w:rsidR="006226DC" w:rsidRPr="00BB76BB" w:rsidRDefault="006226DC" w:rsidP="006226DC">
      <w:pPr>
        <w:pStyle w:val="ATHeading1"/>
      </w:pPr>
      <w:bookmarkStart w:id="0" w:name="TANumber"/>
      <w:r w:rsidRPr="00BB76BB">
        <w:t>P9_</w:t>
      </w:r>
      <w:proofErr w:type="gramStart"/>
      <w:r w:rsidRPr="00BB76BB">
        <w:t>TA(</w:t>
      </w:r>
      <w:proofErr w:type="gramEnd"/>
      <w:r w:rsidRPr="00BB76BB">
        <w:t>2024)00</w:t>
      </w:r>
      <w:r w:rsidR="00BB76BB" w:rsidRPr="00BB76BB">
        <w:t>24</w:t>
      </w:r>
      <w:bookmarkEnd w:id="0"/>
    </w:p>
    <w:p w:rsidR="006226DC" w:rsidRPr="00BB76BB" w:rsidRDefault="004F1AAB" w:rsidP="006226DC">
      <w:pPr>
        <w:pStyle w:val="ATHeading2"/>
      </w:pPr>
      <w:bookmarkStart w:id="1" w:name="title"/>
      <w:r w:rsidRPr="00BB76BB">
        <w:rPr>
          <w:bCs/>
        </w:rPr>
        <w:t>A Szerződés uniós polgárságra vonatkozó rendelkezéseinek végrehajtása</w:t>
      </w:r>
      <w:bookmarkEnd w:id="1"/>
    </w:p>
    <w:p w:rsidR="006226DC" w:rsidRPr="00BB76BB" w:rsidRDefault="006226DC" w:rsidP="006226DC">
      <w:pPr>
        <w:rPr>
          <w:i/>
          <w:vanish/>
        </w:rPr>
      </w:pPr>
      <w:r w:rsidRPr="00BB76BB">
        <w:rPr>
          <w:i/>
        </w:rPr>
        <w:fldChar w:fldCharType="begin"/>
      </w:r>
      <w:r w:rsidRPr="00BB76BB">
        <w:rPr>
          <w:i/>
        </w:rPr>
        <w:instrText xml:space="preserve"> TC"(</w:instrText>
      </w:r>
      <w:bookmarkStart w:id="2" w:name="DocNumber"/>
      <w:r w:rsidRPr="00BB76BB">
        <w:rPr>
          <w:i/>
        </w:rPr>
        <w:instrText>A9-0436/2023</w:instrText>
      </w:r>
      <w:bookmarkEnd w:id="2"/>
      <w:r w:rsidRPr="00BB76BB">
        <w:rPr>
          <w:i/>
        </w:rPr>
        <w:instrText xml:space="preserve"> - Előadó: Maite Pagazaurtundúa)"\l3 \n&gt; \* MERGEFORMAT </w:instrText>
      </w:r>
      <w:r w:rsidRPr="00BB76BB">
        <w:rPr>
          <w:i/>
        </w:rPr>
        <w:fldChar w:fldCharType="end"/>
      </w:r>
    </w:p>
    <w:p w:rsidR="006226DC" w:rsidRPr="00BB76BB" w:rsidRDefault="006226DC" w:rsidP="006226DC">
      <w:pPr>
        <w:rPr>
          <w:vanish/>
        </w:rPr>
      </w:pPr>
      <w:bookmarkStart w:id="3" w:name="Commission"/>
      <w:r w:rsidRPr="00BB76BB">
        <w:rPr>
          <w:vanish/>
        </w:rPr>
        <w:t>Alkotmányügyi Bizottság</w:t>
      </w:r>
      <w:bookmarkEnd w:id="3"/>
    </w:p>
    <w:p w:rsidR="006226DC" w:rsidRPr="00BB76BB" w:rsidRDefault="006226DC" w:rsidP="006226DC">
      <w:pPr>
        <w:rPr>
          <w:vanish/>
        </w:rPr>
      </w:pPr>
      <w:bookmarkStart w:id="4" w:name="PE"/>
      <w:r w:rsidRPr="00BB76BB">
        <w:rPr>
          <w:vanish/>
        </w:rPr>
        <w:t>PE754.647</w:t>
      </w:r>
      <w:bookmarkEnd w:id="4"/>
    </w:p>
    <w:p w:rsidR="006226DC" w:rsidRPr="00BB76BB" w:rsidRDefault="006226DC" w:rsidP="006226DC">
      <w:pPr>
        <w:pStyle w:val="ATHeading3"/>
      </w:pPr>
      <w:bookmarkStart w:id="5" w:name="Sujet"/>
      <w:r w:rsidRPr="00BB76BB">
        <w:t xml:space="preserve">Az Európai Parlament 2024. </w:t>
      </w:r>
      <w:r w:rsidR="004F1AAB" w:rsidRPr="00BB76BB">
        <w:t>január 17</w:t>
      </w:r>
      <w:r w:rsidRPr="00BB76BB">
        <w:t>-i állásfoglalása a Szerződés uniós polgárságra vonatkozó rendelkezéseinek végrehajtásáról</w:t>
      </w:r>
      <w:bookmarkEnd w:id="5"/>
      <w:r w:rsidRPr="00BB76BB">
        <w:t xml:space="preserve"> </w:t>
      </w:r>
      <w:bookmarkStart w:id="6" w:name="References"/>
      <w:r w:rsidRPr="00BB76BB">
        <w:t>(2023/</w:t>
      </w:r>
      <w:proofErr w:type="gramStart"/>
      <w:r w:rsidRPr="00BB76BB">
        <w:t>2085(</w:t>
      </w:r>
      <w:proofErr w:type="gramEnd"/>
      <w:r w:rsidRPr="00BB76BB">
        <w:t>INI))</w:t>
      </w:r>
      <w:bookmarkEnd w:id="6"/>
    </w:p>
    <w:p w:rsidR="004A24BB" w:rsidRPr="005D37F5" w:rsidRDefault="004A24BB" w:rsidP="00917E0C">
      <w:pPr>
        <w:pStyle w:val="Normal12"/>
        <w:spacing w:before="360"/>
        <w:jc w:val="both"/>
      </w:pPr>
      <w:bookmarkStart w:id="7" w:name="TextBodyBegin"/>
      <w:bookmarkEnd w:id="7"/>
      <w:r w:rsidRPr="005D37F5">
        <w:rPr>
          <w:i/>
        </w:rPr>
        <w:t>Az Európai Parlament</w:t>
      </w:r>
      <w:r w:rsidRPr="005D37F5">
        <w:t>,</w:t>
      </w:r>
    </w:p>
    <w:p w:rsidR="004A24BB" w:rsidRPr="005D37F5" w:rsidRDefault="004A24BB" w:rsidP="004F1AAB">
      <w:pPr>
        <w:pStyle w:val="NormalHanging12a"/>
        <w:widowControl/>
      </w:pPr>
      <w:r w:rsidRPr="005D37F5">
        <w:t>–</w:t>
      </w:r>
      <w:r w:rsidRPr="005D37F5">
        <w:tab/>
        <w:t>tekintettel az Európai Unióról szóló szerződés (EUSZ) 2</w:t>
      </w:r>
      <w:proofErr w:type="gramStart"/>
      <w:r w:rsidRPr="005D37F5">
        <w:t>.,</w:t>
      </w:r>
      <w:proofErr w:type="gramEnd"/>
      <w:r w:rsidRPr="005D37F5">
        <w:t xml:space="preserve"> 3., 6., 9., 10., 11., 12., 21. és 23. cikkére,</w:t>
      </w:r>
    </w:p>
    <w:p w:rsidR="004A24BB" w:rsidRPr="005D37F5" w:rsidRDefault="004A24BB" w:rsidP="004F1AAB">
      <w:pPr>
        <w:pStyle w:val="NormalHanging12a"/>
        <w:widowControl/>
      </w:pPr>
      <w:r w:rsidRPr="005D37F5">
        <w:t>–</w:t>
      </w:r>
      <w:r w:rsidRPr="005D37F5">
        <w:tab/>
        <w:t>tekintettel az Európai Unió működéséről szóló szerződés (EUMSZ) 15</w:t>
      </w:r>
      <w:proofErr w:type="gramStart"/>
      <w:r w:rsidRPr="005D37F5">
        <w:t>.,</w:t>
      </w:r>
      <w:proofErr w:type="gramEnd"/>
      <w:r w:rsidRPr="005D37F5">
        <w:t xml:space="preserve"> 20., 21., 22., 24., 26., 45., 46., 47., 48., 153. és 165. cikkére,</w:t>
      </w:r>
    </w:p>
    <w:p w:rsidR="004A24BB" w:rsidRPr="005D37F5" w:rsidRDefault="004A24BB" w:rsidP="004F1AAB">
      <w:pPr>
        <w:pStyle w:val="NormalHanging12a"/>
        <w:widowControl/>
      </w:pPr>
      <w:r w:rsidRPr="005D37F5">
        <w:t>–</w:t>
      </w:r>
      <w:r w:rsidRPr="005D37F5">
        <w:tab/>
        <w:t>tekintettel az Európai Unió Alapjogi Chartájára,</w:t>
      </w:r>
    </w:p>
    <w:p w:rsidR="004A24BB" w:rsidRPr="005D37F5" w:rsidRDefault="004A24BB" w:rsidP="004F1AAB">
      <w:pPr>
        <w:pStyle w:val="NormalHanging12a"/>
        <w:widowControl/>
      </w:pPr>
      <w:proofErr w:type="gramStart"/>
      <w:r w:rsidRPr="005D37F5">
        <w:t>–</w:t>
      </w:r>
      <w:r w:rsidRPr="005D37F5">
        <w:tab/>
        <w:t>tekintettel az Unió polgárainak és családtagjaiknak a tagállamok területén történő szabad mozgáshoz és tartózkodáshoz való jogáról, valamint az 1612/68/EGK rendelet módosításáról, továbbá a 64/221/EGK, a 68/360/EGK, a 72/194/EGK, a 73/148/EGK, a 75/34/EGK, a 75/35/EGK, a 90/364/EGK, a 90/365/EGK és a 93/96/EGK irányelv hatályon kívül helyezéséről szóló, 2004. április 29-i 2004/38/EK európai parlamenti és tanácsi irányelvre</w:t>
      </w:r>
      <w:r w:rsidRPr="005D37F5">
        <w:rPr>
          <w:rStyle w:val="FootnoteReference"/>
          <w:color w:val="000000"/>
        </w:rPr>
        <w:footnoteReference w:id="1"/>
      </w:r>
      <w:r w:rsidRPr="005D37F5">
        <w:t>,</w:t>
      </w:r>
      <w:proofErr w:type="gramEnd"/>
    </w:p>
    <w:p w:rsidR="004A24BB" w:rsidRPr="005D37F5" w:rsidRDefault="004A24BB" w:rsidP="004F1AAB">
      <w:pPr>
        <w:pStyle w:val="NormalHanging12a"/>
        <w:widowControl/>
      </w:pPr>
      <w:r w:rsidRPr="005D37F5">
        <w:t>–</w:t>
      </w:r>
      <w:r w:rsidRPr="005D37F5">
        <w:tab/>
        <w:t>tekintettel a Polgárok, egyenlőség, jogok és értékek program létrehozásáról, valamint az 1381/2013/EU európai parlamenti és tanácsi rendelet és a 390/2014/EU tanácsi rendelet hatályon kívül helyezéséről szóló, 2021. április 28-i (EU) 2021/692 európai parlamenti és tanácsi rendeletre</w:t>
      </w:r>
      <w:r w:rsidRPr="005D37F5">
        <w:rPr>
          <w:rStyle w:val="FootnoteReference"/>
          <w:color w:val="000000"/>
        </w:rPr>
        <w:footnoteReference w:id="2"/>
      </w:r>
      <w:r w:rsidRPr="005D37F5">
        <w:t>,</w:t>
      </w:r>
    </w:p>
    <w:p w:rsidR="004A24BB" w:rsidRPr="005D37F5" w:rsidRDefault="004A24BB" w:rsidP="004F1AAB">
      <w:pPr>
        <w:pStyle w:val="NormalHanging12a"/>
        <w:widowControl/>
      </w:pPr>
      <w:r w:rsidRPr="005D37F5">
        <w:t>–</w:t>
      </w:r>
      <w:r w:rsidRPr="005D37F5">
        <w:tab/>
        <w:t>tekintettel a munkavállalók Unión belüli szabad mozgásáról szóló, 2011. április 5-i 492/2011/EU európai parlamenti és tanácsi rendeletre</w:t>
      </w:r>
      <w:r w:rsidRPr="005D37F5">
        <w:rPr>
          <w:rStyle w:val="FootnoteReference"/>
          <w:color w:val="000000"/>
        </w:rPr>
        <w:footnoteReference w:id="3"/>
      </w:r>
      <w:r w:rsidRPr="005D37F5">
        <w:t>,</w:t>
      </w:r>
    </w:p>
    <w:p w:rsidR="004A24BB" w:rsidRPr="005D37F5" w:rsidRDefault="004A24BB" w:rsidP="004F1AAB">
      <w:pPr>
        <w:pStyle w:val="NormalHanging12a"/>
        <w:widowControl/>
      </w:pPr>
      <w:r w:rsidRPr="005D37F5">
        <w:t>–</w:t>
      </w:r>
      <w:r w:rsidRPr="005D37F5">
        <w:tab/>
        <w:t xml:space="preserve">tekintettel az Európai Munkaügyi Hatóság létrehozásáról, a 883/2004/EK, a 492/2011/EU és az (EU) 2016/589 rendelet módosításáról, valamint az (EU) 2016/344 </w:t>
      </w:r>
      <w:r w:rsidRPr="005D37F5">
        <w:lastRenderedPageBreak/>
        <w:t>határozat hatályon kívül helyezéséről szóló, 2019. június 20-i (EU) 2019/1149 európai parlamenti és tanácsi rendeletre</w:t>
      </w:r>
      <w:r w:rsidRPr="005D37F5">
        <w:rPr>
          <w:rStyle w:val="FootnoteReference"/>
          <w:color w:val="000000"/>
        </w:rPr>
        <w:footnoteReference w:id="4"/>
      </w:r>
      <w:r w:rsidRPr="005D37F5">
        <w:t>,</w:t>
      </w:r>
    </w:p>
    <w:p w:rsidR="004A24BB" w:rsidRPr="005D37F5" w:rsidRDefault="004A24BB" w:rsidP="004F1AAB">
      <w:pPr>
        <w:pStyle w:val="NormalHanging12a"/>
        <w:widowControl/>
      </w:pPr>
      <w:r w:rsidRPr="005D37F5">
        <w:t>–</w:t>
      </w:r>
      <w:r w:rsidRPr="005D37F5">
        <w:tab/>
        <w:t>tekintettel a munkavállalók szolgáltatások nyújtása keretében történő kiküldetéséről szóló 96/71/EK irányelv módosításáról szóló, 2018. június 28-i (EU) 2018/957 európai parlamenti és tanácsi irányelvre</w:t>
      </w:r>
      <w:r w:rsidRPr="005D37F5">
        <w:rPr>
          <w:rStyle w:val="FootnoteReference"/>
          <w:color w:val="000000"/>
        </w:rPr>
        <w:footnoteReference w:id="5"/>
      </w:r>
      <w:r w:rsidRPr="005D37F5">
        <w:t>,</w:t>
      </w:r>
    </w:p>
    <w:p w:rsidR="004A24BB" w:rsidRPr="005D37F5" w:rsidRDefault="004A24BB" w:rsidP="004F1AAB">
      <w:pPr>
        <w:pStyle w:val="NormalHanging12a"/>
        <w:widowControl/>
      </w:pPr>
      <w:r w:rsidRPr="005D37F5">
        <w:t>–</w:t>
      </w:r>
      <w:r w:rsidRPr="005D37F5">
        <w:tab/>
        <w:t>tekintettel a foglalkoztatási szolgálatok európai hálózatáról (EURES), a munkavállalók mobilitási szolgáltatásokhoz való hozzáféréséről és a munkaerőpiacok további integrációjáról, valamint a 492/2011/EU és az 1296/2013/EU rendeletek módosításáról szóló, 2016. április 13-i (EU) 2016/589 európai parlamenti és tanácsi rendeletre</w:t>
      </w:r>
      <w:r w:rsidRPr="005D37F5">
        <w:rPr>
          <w:rStyle w:val="FootnoteReference"/>
          <w:color w:val="000000"/>
        </w:rPr>
        <w:footnoteReference w:id="6"/>
      </w:r>
      <w:r w:rsidRPr="005D37F5">
        <w:t>,</w:t>
      </w:r>
    </w:p>
    <w:p w:rsidR="004A24BB" w:rsidRPr="005D37F5" w:rsidRDefault="004A24BB" w:rsidP="004F1AAB">
      <w:pPr>
        <w:pStyle w:val="NormalHanging12a"/>
        <w:widowControl/>
      </w:pPr>
      <w:r w:rsidRPr="005D37F5">
        <w:t>–</w:t>
      </w:r>
      <w:r w:rsidRPr="005D37F5">
        <w:tab/>
        <w:t xml:space="preserve">tekintettel a szakmai képesítések elismeréséről szóló 2005/36/EK irányelv és a belső piaci </w:t>
      </w:r>
      <w:proofErr w:type="gramStart"/>
      <w:r w:rsidRPr="005D37F5">
        <w:t>információs</w:t>
      </w:r>
      <w:proofErr w:type="gramEnd"/>
      <w:r w:rsidRPr="005D37F5">
        <w:t xml:space="preserve"> rendszer keretében történő igazgatási együttműködésről szóló 1024/2012/EU rendelet módosításáról szóló, 2013. november 20-i 2013/55/EU európai parlamenti és tanácsi irányelvre</w:t>
      </w:r>
      <w:r w:rsidRPr="005D37F5">
        <w:rPr>
          <w:rStyle w:val="FootnoteReference"/>
          <w:color w:val="000000"/>
        </w:rPr>
        <w:footnoteReference w:id="7"/>
      </w:r>
      <w:r w:rsidRPr="005D37F5">
        <w:t>,</w:t>
      </w:r>
    </w:p>
    <w:p w:rsidR="004A24BB" w:rsidRPr="005D37F5" w:rsidRDefault="004A24BB" w:rsidP="004F1AAB">
      <w:pPr>
        <w:pStyle w:val="NormalHanging12a"/>
        <w:widowControl/>
      </w:pPr>
      <w:r w:rsidRPr="005D37F5">
        <w:t>–</w:t>
      </w:r>
      <w:r w:rsidRPr="005D37F5">
        <w:tab/>
        <w:t>tekintettel a harmadik országokban képviselettel nem rendelkező uniós polgárok konzuli védelmét elősegítő koordinációs és együttműködési intézkedésekről és a 95/553/EK határozat hatályon kívül helyezéséről szóló, 2015. április 20-i (EU) 2015/637 tanácsi irányelvre</w:t>
      </w:r>
      <w:r w:rsidRPr="005D37F5">
        <w:rPr>
          <w:rStyle w:val="FootnoteReference"/>
        </w:rPr>
        <w:footnoteReference w:id="8"/>
      </w:r>
      <w:r w:rsidRPr="005D37F5">
        <w:t>,</w:t>
      </w:r>
    </w:p>
    <w:p w:rsidR="004A24BB" w:rsidRPr="005D37F5" w:rsidRDefault="004A24BB" w:rsidP="004F1AAB">
      <w:pPr>
        <w:pStyle w:val="NormalHanging12a"/>
        <w:widowControl/>
      </w:pPr>
      <w:r w:rsidRPr="005D37F5">
        <w:t>–</w:t>
      </w:r>
      <w:r w:rsidRPr="005D37F5">
        <w:tab/>
        <w:t>tekintettel az uniós ideiglenes úti okmány létrehozásáról, valamint a 96/409/KKBP határozat hatályon kívül helyezéséről szóló, 2019. június 18-i (EU) 2019/997 tanácsi irányelvre</w:t>
      </w:r>
      <w:r w:rsidRPr="005D37F5">
        <w:rPr>
          <w:rStyle w:val="FootnoteReference"/>
          <w:color w:val="000000"/>
        </w:rPr>
        <w:footnoteReference w:id="9"/>
      </w:r>
      <w:r w:rsidRPr="005D37F5">
        <w:t>,</w:t>
      </w:r>
    </w:p>
    <w:p w:rsidR="004A24BB" w:rsidRPr="005D37F5" w:rsidRDefault="004A24BB" w:rsidP="004F1AAB">
      <w:pPr>
        <w:pStyle w:val="NormalHanging12a"/>
        <w:widowControl/>
      </w:pPr>
      <w:r w:rsidRPr="005D37F5">
        <w:t>–</w:t>
      </w:r>
      <w:r w:rsidRPr="005D37F5">
        <w:tab/>
        <w:t>tekintettel az Unió polgárainak és családtagjaiknak a tagállamok területén történő szabad mozgáshoz és tartózkodáshoz való jogáról szóló 2004/38/EK irányelv jobb átültetéséhez és alkalmazásához nyújtott iránymutatásról szóló, 2009. július 2-i bizottsági közleményre (</w:t>
      </w:r>
      <w:proofErr w:type="gramStart"/>
      <w:r w:rsidRPr="005D37F5">
        <w:t>COM(</w:t>
      </w:r>
      <w:proofErr w:type="gramEnd"/>
      <w:r w:rsidRPr="005D37F5">
        <w:t>2009)0313),</w:t>
      </w:r>
    </w:p>
    <w:p w:rsidR="004A24BB" w:rsidRPr="005D37F5" w:rsidRDefault="004A24BB" w:rsidP="004F1AAB">
      <w:pPr>
        <w:pStyle w:val="NormalHanging12a"/>
        <w:widowControl/>
      </w:pPr>
      <w:r w:rsidRPr="005D37F5">
        <w:t>–</w:t>
      </w:r>
      <w:r w:rsidRPr="005D37F5">
        <w:tab/>
        <w:t>tekintettel az európai polgári kezdeményezésről szóló, 2019. április 17-i (EU) 2019/788 európai parlamenti és tanácsi rendeletre</w:t>
      </w:r>
      <w:r w:rsidRPr="005D37F5">
        <w:rPr>
          <w:vertAlign w:val="superscript"/>
        </w:rPr>
        <w:footnoteReference w:id="10"/>
      </w:r>
      <w:r w:rsidRPr="005D37F5">
        <w:t>,</w:t>
      </w:r>
    </w:p>
    <w:p w:rsidR="004A24BB" w:rsidRPr="005D37F5" w:rsidRDefault="004A24BB" w:rsidP="004F1AAB">
      <w:pPr>
        <w:pStyle w:val="NormalHanging12a"/>
        <w:widowControl/>
      </w:pPr>
      <w:r w:rsidRPr="005D37F5">
        <w:t>–</w:t>
      </w:r>
      <w:r w:rsidRPr="005D37F5">
        <w:tab/>
        <w:t>tekintettel a Covid19-világjárványra tekintettel az európai polgári kezdeményezésről szóló (EU) 2019/788 rendeletben előírt gyűjtési, ellenőrzési és vizsgálati szakaszokra vonatkozó határidőkkel kapcsolatos ideiglenes intézkedések megállapításáról szóló, 2020. július 15-i (EU) 2020/1042 európai parlamenti és tanácsi rendeletre</w:t>
      </w:r>
      <w:r w:rsidRPr="005D37F5">
        <w:rPr>
          <w:rStyle w:val="FootnoteReference"/>
          <w:color w:val="000000"/>
        </w:rPr>
        <w:footnoteReference w:id="11"/>
      </w:r>
      <w:r w:rsidRPr="005D37F5">
        <w:t>,</w:t>
      </w:r>
    </w:p>
    <w:p w:rsidR="004A24BB" w:rsidRPr="005D37F5" w:rsidRDefault="004A24BB" w:rsidP="004F1AAB">
      <w:pPr>
        <w:pStyle w:val="NormalHanging12a"/>
        <w:widowControl/>
      </w:pPr>
      <w:r w:rsidRPr="005D37F5">
        <w:t>–</w:t>
      </w:r>
      <w:r w:rsidRPr="005D37F5">
        <w:tab/>
        <w:t>tekintettel „Az Alapjogi Charta EU-n belüli alkalmazásának megerősítésére irányuló stratégia” című, 2020. december 2-i bizottsági közleményre (</w:t>
      </w:r>
      <w:proofErr w:type="gramStart"/>
      <w:r w:rsidRPr="005D37F5">
        <w:t>COM(</w:t>
      </w:r>
      <w:proofErr w:type="gramEnd"/>
      <w:r w:rsidRPr="005D37F5">
        <w:t>2020)0711),</w:t>
      </w:r>
    </w:p>
    <w:p w:rsidR="004A24BB" w:rsidRPr="005D37F5" w:rsidRDefault="004A24BB" w:rsidP="004F1AAB">
      <w:pPr>
        <w:pStyle w:val="NormalHanging12a"/>
        <w:widowControl/>
      </w:pPr>
      <w:r w:rsidRPr="005D37F5">
        <w:lastRenderedPageBreak/>
        <w:t>–</w:t>
      </w:r>
      <w:r w:rsidRPr="005D37F5">
        <w:tab/>
        <w:t>tekintettel az Európai Demokráciára vonatkozó cselekvési tervről szóló, 2020. december 3-i bizottsági közleményre (</w:t>
      </w:r>
      <w:proofErr w:type="gramStart"/>
      <w:r w:rsidRPr="005D37F5">
        <w:t>COM(</w:t>
      </w:r>
      <w:proofErr w:type="gramEnd"/>
      <w:r w:rsidRPr="005D37F5">
        <w:t>2020)0790),</w:t>
      </w:r>
    </w:p>
    <w:p w:rsidR="004A24BB" w:rsidRPr="005D37F5" w:rsidRDefault="004A24BB" w:rsidP="004F1AAB">
      <w:pPr>
        <w:pStyle w:val="NormalHanging12a"/>
        <w:widowControl/>
      </w:pPr>
      <w:r w:rsidRPr="005D37F5">
        <w:t>–</w:t>
      </w:r>
      <w:r w:rsidRPr="005D37F5">
        <w:tab/>
        <w:t xml:space="preserve">tekintettel a választási </w:t>
      </w:r>
      <w:proofErr w:type="gramStart"/>
      <w:r w:rsidRPr="005D37F5">
        <w:t>integritás</w:t>
      </w:r>
      <w:proofErr w:type="gramEnd"/>
      <w:r w:rsidRPr="005D37F5">
        <w:t xml:space="preserve"> védelméről és a demokratikus részvétel előmozdításáról szóló, </w:t>
      </w:r>
      <w:r w:rsidRPr="005D37F5">
        <w:rPr>
          <w:shd w:val="clear" w:color="auto" w:fill="FFFFFF"/>
        </w:rPr>
        <w:t>2021. november 25-i</w:t>
      </w:r>
      <w:r w:rsidRPr="005D37F5">
        <w:t xml:space="preserve"> bizottsági közleményre (COM(2021)0730),</w:t>
      </w:r>
    </w:p>
    <w:p w:rsidR="004A24BB" w:rsidRPr="005D37F5" w:rsidRDefault="004A24BB" w:rsidP="004F1AAB">
      <w:pPr>
        <w:pStyle w:val="NormalHanging12a"/>
        <w:widowControl/>
      </w:pPr>
      <w:r w:rsidRPr="005D37F5">
        <w:t>–</w:t>
      </w:r>
      <w:r w:rsidRPr="005D37F5">
        <w:tab/>
        <w:t>tekintettel a „2020. évi jelentés az uniós polgárságról: A polgárok felhatalmazása és jogaik védelme” című 2020. december 15-i bizottsági jelentésre (</w:t>
      </w:r>
      <w:proofErr w:type="gramStart"/>
      <w:r w:rsidRPr="005D37F5">
        <w:t>COM(</w:t>
      </w:r>
      <w:proofErr w:type="gramEnd"/>
      <w:r w:rsidRPr="005D37F5">
        <w:t>2020)0730),</w:t>
      </w:r>
    </w:p>
    <w:p w:rsidR="004A24BB" w:rsidRPr="005D37F5" w:rsidRDefault="004A24BB" w:rsidP="004F1AAB">
      <w:pPr>
        <w:pStyle w:val="NormalHanging12a"/>
        <w:widowControl/>
      </w:pPr>
      <w:r w:rsidRPr="005D37F5">
        <w:t>–</w:t>
      </w:r>
      <w:r w:rsidRPr="005D37F5">
        <w:tab/>
        <w:t>tekintettel az EUMSZ 25. cikke szerinti, „</w:t>
      </w:r>
      <w:proofErr w:type="gramStart"/>
      <w:r w:rsidRPr="005D37F5">
        <w:t>A</w:t>
      </w:r>
      <w:proofErr w:type="gramEnd"/>
      <w:r w:rsidRPr="005D37F5">
        <w:t xml:space="preserve"> hatékony uniós polgárság felé tett előrehaladásról (2016–2020)” című, 2020. december 15-i bizottsági jelentésre (COM(2020)0731),</w:t>
      </w:r>
    </w:p>
    <w:p w:rsidR="004A24BB" w:rsidRPr="005D37F5" w:rsidRDefault="004A24BB" w:rsidP="004F1AAB">
      <w:pPr>
        <w:pStyle w:val="NormalHanging12a"/>
        <w:widowControl/>
      </w:pPr>
      <w:r w:rsidRPr="005D37F5">
        <w:t>–</w:t>
      </w:r>
      <w:r w:rsidRPr="005D37F5">
        <w:tab/>
        <w:t xml:space="preserve">tekintettel az állampolgárságuktól eltérő tagállamban lakóhellyel rendelkező uniós polgárok </w:t>
      </w:r>
      <w:proofErr w:type="gramStart"/>
      <w:r w:rsidRPr="005D37F5">
        <w:t>aktív</w:t>
      </w:r>
      <w:proofErr w:type="gramEnd"/>
      <w:r w:rsidRPr="005D37F5">
        <w:t xml:space="preserve"> és passzív választójogának az európai parlamenti választásokon történő </w:t>
      </w:r>
      <w:r w:rsidRPr="005D37F5">
        <w:rPr>
          <w:rStyle w:val="Bold"/>
          <w:color w:val="000000"/>
        </w:rPr>
        <w:t>g</w:t>
      </w:r>
      <w:r w:rsidRPr="005D37F5">
        <w:t>yakorlására vonatkozó részletes szabályok megállapításáról szóló tanácsi irányelvre irányuló javaslatról szóló, 2023. február 14-i álláspontjára</w:t>
      </w:r>
      <w:r w:rsidRPr="005D37F5">
        <w:rPr>
          <w:rStyle w:val="FootnoteReference"/>
          <w:color w:val="000000"/>
        </w:rPr>
        <w:footnoteReference w:id="12"/>
      </w:r>
      <w:r w:rsidRPr="005D37F5">
        <w:t>,</w:t>
      </w:r>
    </w:p>
    <w:p w:rsidR="004A24BB" w:rsidRPr="005D37F5" w:rsidRDefault="004A24BB" w:rsidP="004F1AAB">
      <w:pPr>
        <w:pStyle w:val="NormalHanging12a"/>
        <w:widowControl/>
      </w:pPr>
      <w:r w:rsidRPr="005D37F5">
        <w:t>–</w:t>
      </w:r>
      <w:r w:rsidRPr="005D37F5">
        <w:tab/>
        <w:t xml:space="preserve">tekintettel az állampolgárságuktól eltérő tagállamban lakóhellyel rendelkező uniós polgárok </w:t>
      </w:r>
      <w:proofErr w:type="gramStart"/>
      <w:r w:rsidRPr="005D37F5">
        <w:t>aktív</w:t>
      </w:r>
      <w:proofErr w:type="gramEnd"/>
      <w:r w:rsidRPr="005D37F5">
        <w:t xml:space="preserve"> és passzív választójogának a helyhatósági választásokon történő gyakorlására vonatkozó részletes szabályok megállapításáról szóló tanácsi irányelvre irányuló javaslatról szóló, 2023. február 14-i álláspontjára</w:t>
      </w:r>
      <w:r w:rsidRPr="005D37F5">
        <w:rPr>
          <w:rStyle w:val="FootnoteReference"/>
          <w:color w:val="000000"/>
        </w:rPr>
        <w:footnoteReference w:id="13"/>
      </w:r>
      <w:r w:rsidRPr="005D37F5">
        <w:t>,</w:t>
      </w:r>
    </w:p>
    <w:p w:rsidR="004A24BB" w:rsidRPr="005D37F5" w:rsidRDefault="004A24BB" w:rsidP="004F1AAB">
      <w:pPr>
        <w:pStyle w:val="NormalHanging12a"/>
        <w:widowControl/>
      </w:pPr>
      <w:r w:rsidRPr="005D37F5">
        <w:t>–</w:t>
      </w:r>
      <w:r w:rsidRPr="005D37F5">
        <w:tab/>
        <w:t>tekintettel a Szerződés uniós polgársággal kapcsolatos rendelkezéseinek végrehajtásáról szóló, 2019. február 12-i állásfoglalására</w:t>
      </w:r>
      <w:r w:rsidRPr="005D37F5">
        <w:rPr>
          <w:rStyle w:val="FootnoteReference"/>
          <w:color w:val="000000"/>
        </w:rPr>
        <w:footnoteReference w:id="14"/>
      </w:r>
      <w:r w:rsidRPr="005D37F5">
        <w:t>,</w:t>
      </w:r>
    </w:p>
    <w:p w:rsidR="004A24BB" w:rsidRPr="005D37F5" w:rsidRDefault="004A24BB" w:rsidP="004F1AAB">
      <w:pPr>
        <w:pStyle w:val="NormalHanging12a"/>
        <w:widowControl/>
      </w:pPr>
      <w:r w:rsidRPr="005D37F5">
        <w:t>–</w:t>
      </w:r>
      <w:r w:rsidRPr="005D37F5">
        <w:tab/>
        <w:t>tekintettel a Bizottságnak szóló javaslatokat tartalmazó, a befektetői állampolgársági és letelepedési programokról szóló, 2022. március 9-i állásfoglalására</w:t>
      </w:r>
      <w:r w:rsidRPr="005D37F5">
        <w:rPr>
          <w:rStyle w:val="FootnoteReference"/>
          <w:color w:val="000000"/>
        </w:rPr>
        <w:footnoteReference w:id="15"/>
      </w:r>
      <w:r w:rsidRPr="005D37F5">
        <w:t>,</w:t>
      </w:r>
    </w:p>
    <w:p w:rsidR="004A24BB" w:rsidRPr="005D37F5" w:rsidRDefault="004A24BB" w:rsidP="004F1AAB">
      <w:pPr>
        <w:pStyle w:val="NormalHanging12a"/>
        <w:widowControl/>
      </w:pPr>
      <w:r w:rsidRPr="005D37F5">
        <w:t>–</w:t>
      </w:r>
      <w:r w:rsidRPr="005D37F5">
        <w:tab/>
        <w:t>tekintettel „Az uniós polgárságról szóló 2020. évi jelentés: a polgárok szerepvállalásának elősegítése és jogaik védelme” című, 2022. március 10-i állásfoglalására</w:t>
      </w:r>
      <w:r w:rsidRPr="005D37F5">
        <w:rPr>
          <w:rStyle w:val="FootnoteReference"/>
          <w:color w:val="000000"/>
        </w:rPr>
        <w:footnoteReference w:id="16"/>
      </w:r>
      <w:r w:rsidRPr="005D37F5">
        <w:t>,</w:t>
      </w:r>
    </w:p>
    <w:p w:rsidR="004A24BB" w:rsidRPr="005D37F5" w:rsidRDefault="004A24BB" w:rsidP="004F1AAB">
      <w:pPr>
        <w:pStyle w:val="NormalHanging12a"/>
        <w:widowControl/>
      </w:pPr>
      <w:r w:rsidRPr="005D37F5">
        <w:t>–</w:t>
      </w:r>
      <w:r w:rsidRPr="005D37F5">
        <w:tab/>
        <w:t>tekintettel az európai polgári kezdeményezésről szóló rendeletek végrehajtásáról szóló, 2023. június 13-i állásfoglalására</w:t>
      </w:r>
      <w:r w:rsidRPr="005D37F5">
        <w:rPr>
          <w:rStyle w:val="FootnoteReference"/>
          <w:color w:val="000000"/>
        </w:rPr>
        <w:footnoteReference w:id="17"/>
      </w:r>
      <w:r w:rsidRPr="005D37F5">
        <w:t>,</w:t>
      </w:r>
    </w:p>
    <w:p w:rsidR="004A24BB" w:rsidRPr="005D37F5" w:rsidRDefault="004A24BB" w:rsidP="004F1AAB">
      <w:pPr>
        <w:pStyle w:val="NormalHanging12a"/>
        <w:widowControl/>
      </w:pPr>
      <w:r w:rsidRPr="005D37F5">
        <w:t>–</w:t>
      </w:r>
      <w:r w:rsidRPr="005D37F5">
        <w:tab/>
        <w:t>tekintettel a parlamentarizmusról, az európai polgárságról és a demokráciáról szóló, 2023. szeptember 14-i állásfoglalására</w:t>
      </w:r>
      <w:r w:rsidRPr="005D37F5">
        <w:rPr>
          <w:rStyle w:val="FootnoteReference"/>
          <w:color w:val="000000"/>
        </w:rPr>
        <w:footnoteReference w:id="18"/>
      </w:r>
      <w:r w:rsidRPr="005D37F5">
        <w:t>,</w:t>
      </w:r>
    </w:p>
    <w:p w:rsidR="004A24BB" w:rsidRPr="005D37F5" w:rsidRDefault="004A24BB" w:rsidP="004F1AAB">
      <w:pPr>
        <w:pStyle w:val="NormalHanging12a"/>
        <w:widowControl/>
      </w:pPr>
      <w:r w:rsidRPr="005D37F5">
        <w:t>–</w:t>
      </w:r>
      <w:r w:rsidRPr="005D37F5">
        <w:tab/>
        <w:t>tekintettel „Civil párbeszéd és polgári részvétel az EU döntéshozatalában” című, 2021. július 7-i állásfoglalására</w:t>
      </w:r>
      <w:r w:rsidRPr="005D37F5">
        <w:rPr>
          <w:rStyle w:val="FootnoteReference"/>
          <w:color w:val="000000"/>
        </w:rPr>
        <w:footnoteReference w:id="19"/>
      </w:r>
      <w:r w:rsidRPr="005D37F5">
        <w:t>,</w:t>
      </w:r>
    </w:p>
    <w:p w:rsidR="004A24BB" w:rsidRPr="005D37F5" w:rsidRDefault="004A24BB" w:rsidP="004F1AAB">
      <w:pPr>
        <w:pStyle w:val="NormalHanging12a"/>
        <w:widowControl/>
      </w:pPr>
      <w:r w:rsidRPr="005D37F5">
        <w:lastRenderedPageBreak/>
        <w:t>–</w:t>
      </w:r>
      <w:r w:rsidRPr="005D37F5">
        <w:tab/>
        <w:t xml:space="preserve">tekintettel a polgárok bevonásáról, a </w:t>
      </w:r>
      <w:proofErr w:type="gramStart"/>
      <w:r w:rsidRPr="005D37F5">
        <w:t>petíciós</w:t>
      </w:r>
      <w:proofErr w:type="gramEnd"/>
      <w:r w:rsidRPr="005D37F5">
        <w:t xml:space="preserve"> jogról, az európai ombudsmanhoz való fordulás jogáról és az európai polgári kezdeményezésről szóló, 2022. március 9-i állásfoglalására</w:t>
      </w:r>
      <w:r w:rsidRPr="005D37F5">
        <w:rPr>
          <w:rStyle w:val="FootnoteReference"/>
          <w:color w:val="000000"/>
        </w:rPr>
        <w:footnoteReference w:id="20"/>
      </w:r>
      <w:r w:rsidRPr="005D37F5">
        <w:t>,</w:t>
      </w:r>
    </w:p>
    <w:p w:rsidR="004A24BB" w:rsidRPr="005D37F5" w:rsidRDefault="004A24BB" w:rsidP="004F1AAB">
      <w:pPr>
        <w:pStyle w:val="NormalHanging12a"/>
        <w:widowControl/>
        <w:rPr>
          <w:szCs w:val="23"/>
        </w:rPr>
      </w:pPr>
      <w:r w:rsidRPr="005D37F5">
        <w:t>–</w:t>
      </w:r>
      <w:r w:rsidRPr="005D37F5">
        <w:tab/>
        <w:t>tekintettel az uniós polgárok szabad mozgása és belső piacon történő munkavállalása előtt álló akadályokról szóló, 2017. március 15-i állásfoglalására</w:t>
      </w:r>
      <w:r w:rsidRPr="005D37F5">
        <w:rPr>
          <w:rStyle w:val="FootnoteReference"/>
          <w:color w:val="000000"/>
          <w:szCs w:val="23"/>
        </w:rPr>
        <w:footnoteReference w:id="21"/>
      </w:r>
      <w:r w:rsidRPr="005D37F5">
        <w:t>,</w:t>
      </w:r>
    </w:p>
    <w:p w:rsidR="004A24BB" w:rsidRPr="005D37F5" w:rsidRDefault="004A24BB" w:rsidP="004F1AAB">
      <w:pPr>
        <w:pStyle w:val="NormalHanging12a"/>
        <w:widowControl/>
        <w:rPr>
          <w:szCs w:val="23"/>
        </w:rPr>
      </w:pPr>
      <w:r w:rsidRPr="005D37F5">
        <w:t>–</w:t>
      </w:r>
      <w:r w:rsidRPr="005D37F5">
        <w:tab/>
        <w:t>tekintettel az EU Alapjogi Ügynökségének 2023. évi alapjogi jelentésére,</w:t>
      </w:r>
    </w:p>
    <w:p w:rsidR="004A24BB" w:rsidRPr="005D37F5" w:rsidRDefault="004A24BB" w:rsidP="004F1AAB">
      <w:pPr>
        <w:pStyle w:val="NormalHanging12a"/>
        <w:widowControl/>
      </w:pPr>
      <w:r w:rsidRPr="005D37F5">
        <w:t>–</w:t>
      </w:r>
      <w:r w:rsidRPr="005D37F5">
        <w:tab/>
        <w:t xml:space="preserve">tekintettel az Európa jövőjéről szóló </w:t>
      </w:r>
      <w:proofErr w:type="gramStart"/>
      <w:r w:rsidRPr="005D37F5">
        <w:t>konferencia</w:t>
      </w:r>
      <w:proofErr w:type="gramEnd"/>
      <w:r w:rsidRPr="005D37F5">
        <w:t xml:space="preserve"> végeredményéről szóló jelentésre,</w:t>
      </w:r>
    </w:p>
    <w:p w:rsidR="004A24BB" w:rsidRPr="005D37F5" w:rsidRDefault="004A24BB" w:rsidP="004F1AAB">
      <w:pPr>
        <w:pStyle w:val="NormalHanging12a"/>
        <w:widowControl/>
      </w:pPr>
      <w:r w:rsidRPr="005D37F5">
        <w:t>–</w:t>
      </w:r>
      <w:r w:rsidRPr="005D37F5">
        <w:tab/>
        <w:t>tekintettel a 485/2020. sz. Eurobarométer-gyorsfelmérés és a 99/2023. szabványos Eurobarométer-felmérés eredményeire,</w:t>
      </w:r>
    </w:p>
    <w:p w:rsidR="00BB76BB" w:rsidRPr="00BB76BB" w:rsidRDefault="00BB76BB" w:rsidP="004F1AAB">
      <w:pPr>
        <w:pStyle w:val="NormalHanging12a"/>
        <w:widowControl/>
      </w:pPr>
      <w:r w:rsidRPr="00917E0C">
        <w:t>–</w:t>
      </w:r>
      <w:r w:rsidRPr="00BB76BB">
        <w:tab/>
      </w:r>
      <w:r w:rsidRPr="00917E0C">
        <w:t>tekintettel az EUMSZ 25. cikke szerinti, „Jelentés a hatékony uniós polgárság előmozdításáról – 2020–2023” című, 2023. december 6-i bizottsági jelentésre (az uniós polgárságról szóló 2023. évi jelentés) (</w:t>
      </w:r>
      <w:proofErr w:type="gramStart"/>
      <w:r w:rsidRPr="00917E0C">
        <w:t>COM(</w:t>
      </w:r>
      <w:proofErr w:type="gramEnd"/>
      <w:r w:rsidRPr="00917E0C">
        <w:t>2023)0931),</w:t>
      </w:r>
    </w:p>
    <w:p w:rsidR="004A24BB" w:rsidRPr="005D37F5" w:rsidRDefault="004A24BB" w:rsidP="004F1AAB">
      <w:pPr>
        <w:pStyle w:val="NormalHanging12a"/>
        <w:widowControl/>
      </w:pPr>
      <w:r w:rsidRPr="005D37F5">
        <w:t>–</w:t>
      </w:r>
      <w:r w:rsidRPr="005D37F5">
        <w:tab/>
        <w:t>tekintettel eljárási szabályzatának 54. cikkére, valamint eljárási szabályzata 1. cikke (1) bekezdésének e) pontjára és 3. mellékletére, valamint az Elnökök Értekezlete 2002. december 12-i ülésén hozott, a saját kezdeményezésű jelentések engedélyezésére vonatkozó eljárásról szóló határozatára,</w:t>
      </w:r>
    </w:p>
    <w:p w:rsidR="004A24BB" w:rsidRPr="005D37F5" w:rsidRDefault="004A24BB" w:rsidP="004F1AAB">
      <w:pPr>
        <w:pStyle w:val="NormalHanging12a"/>
        <w:widowControl/>
      </w:pPr>
      <w:r w:rsidRPr="005D37F5">
        <w:t>–</w:t>
      </w:r>
      <w:r w:rsidRPr="005D37F5">
        <w:tab/>
        <w:t>tekintettel az Állampolgári Jogi, Bel- és Igazságügyi Bizottság véleményére,</w:t>
      </w:r>
    </w:p>
    <w:p w:rsidR="004A24BB" w:rsidRPr="005D37F5" w:rsidRDefault="004A24BB" w:rsidP="004F1AAB">
      <w:pPr>
        <w:pStyle w:val="NormalHanging12a"/>
        <w:widowControl/>
      </w:pPr>
      <w:r w:rsidRPr="005D37F5">
        <w:t>–</w:t>
      </w:r>
      <w:r w:rsidRPr="005D37F5">
        <w:tab/>
        <w:t>tekintettel az Alkotmányügyi Bizottság jelentésére (A9-0436/2023),</w:t>
      </w:r>
    </w:p>
    <w:p w:rsidR="004A24BB" w:rsidRPr="005D37F5" w:rsidRDefault="004A24BB" w:rsidP="004F1AAB">
      <w:pPr>
        <w:pStyle w:val="NormalHanging12a"/>
        <w:widowControl/>
      </w:pPr>
      <w:r w:rsidRPr="005D37F5">
        <w:t>A.</w:t>
      </w:r>
      <w:r w:rsidRPr="005D37F5">
        <w:tab/>
      </w:r>
      <w:proofErr w:type="gramStart"/>
      <w:r w:rsidRPr="005D37F5">
        <w:t>mivel</w:t>
      </w:r>
      <w:proofErr w:type="gramEnd"/>
      <w:r w:rsidRPr="005D37F5">
        <w:t xml:space="preserve"> az uniós polgárság a Maastrichti Szerződés 1993-as hatálybalépésével jött létre, és azt a 2009. évi Lisszaboni Szerződés még jobban megerősített; mivel létrejötte óta harminc év telt el, és jelentős társadalmi, digitális, gazdasági és politikai változások történtek;</w:t>
      </w:r>
    </w:p>
    <w:p w:rsidR="004A24BB" w:rsidRPr="005D37F5" w:rsidRDefault="004A24BB" w:rsidP="004F1AAB">
      <w:pPr>
        <w:pStyle w:val="NormalHanging12a"/>
        <w:widowControl/>
        <w:rPr>
          <w:b/>
          <w:i/>
        </w:rPr>
      </w:pPr>
      <w:r w:rsidRPr="005D37F5">
        <w:t>B.</w:t>
      </w:r>
      <w:r w:rsidRPr="005D37F5">
        <w:rPr>
          <w:b/>
          <w:i/>
        </w:rPr>
        <w:tab/>
      </w:r>
      <w:r w:rsidRPr="005D37F5">
        <w:t xml:space="preserve">mivel az EUMSZ 20. cikkének (1) bekezdése értelmében az uniós polgárság </w:t>
      </w:r>
      <w:proofErr w:type="gramStart"/>
      <w:r w:rsidRPr="005D37F5">
        <w:t>kiegészíti</w:t>
      </w:r>
      <w:proofErr w:type="gramEnd"/>
      <w:r w:rsidRPr="005D37F5">
        <w:t xml:space="preserve"> és nem helyettesíti</w:t>
      </w:r>
      <w:r w:rsidRPr="005D37F5">
        <w:rPr>
          <w:color w:val="333333"/>
          <w:sz w:val="27"/>
          <w:shd w:val="clear" w:color="auto" w:fill="FFFFFF"/>
        </w:rPr>
        <w:t xml:space="preserve"> </w:t>
      </w:r>
      <w:r w:rsidRPr="005D37F5">
        <w:t>a nemzeti állampolgárságot; mivel az uniós polgárság jelenleg nem ró kötelezettségeket az Unió polgáraira;</w:t>
      </w:r>
    </w:p>
    <w:p w:rsidR="004A24BB" w:rsidRPr="005D37F5" w:rsidRDefault="004A24BB" w:rsidP="004F1AAB">
      <w:pPr>
        <w:pStyle w:val="NormalHanging12a"/>
        <w:widowControl/>
        <w:rPr>
          <w:shd w:val="clear" w:color="auto" w:fill="FFFFFF"/>
        </w:rPr>
      </w:pPr>
      <w:r w:rsidRPr="005D37F5">
        <w:t>C.</w:t>
      </w:r>
      <w:r w:rsidRPr="005D37F5">
        <w:tab/>
      </w:r>
      <w:r w:rsidRPr="005D37F5">
        <w:rPr>
          <w:shd w:val="clear" w:color="auto" w:fill="FFFFFF"/>
        </w:rPr>
        <w:t xml:space="preserve">mivel az uniós polgárság az uniós polgárok közös demokratikus identitását és közös értékeit tükröző egyedi </w:t>
      </w:r>
      <w:proofErr w:type="gramStart"/>
      <w:r w:rsidRPr="005D37F5">
        <w:rPr>
          <w:shd w:val="clear" w:color="auto" w:fill="FFFFFF"/>
        </w:rPr>
        <w:t>konstrukció</w:t>
      </w:r>
      <w:proofErr w:type="gramEnd"/>
      <w:r w:rsidRPr="005D37F5">
        <w:rPr>
          <w:shd w:val="clear" w:color="auto" w:fill="FFFFFF"/>
        </w:rPr>
        <w:t>, amely hozzájárult a kapcsolatok építéséhez, az egyenlőség előmozdításához, valamint a rasszizmus és a megkülönböztetés minden formájának elutasításához; mivel az uniós polgárság még nem érte el teljes potenciálját;</w:t>
      </w:r>
    </w:p>
    <w:p w:rsidR="004A24BB" w:rsidRPr="005D37F5" w:rsidRDefault="004A24BB" w:rsidP="004F1AAB">
      <w:pPr>
        <w:pStyle w:val="NormalHanging12a"/>
        <w:widowControl/>
      </w:pPr>
      <w:r w:rsidRPr="005D37F5">
        <w:rPr>
          <w:shd w:val="clear" w:color="auto" w:fill="FFFFFF"/>
        </w:rPr>
        <w:t>D.</w:t>
      </w:r>
      <w:r w:rsidRPr="005D37F5">
        <w:rPr>
          <w:b/>
          <w:i/>
          <w:shd w:val="clear" w:color="auto" w:fill="FFFFFF"/>
        </w:rPr>
        <w:tab/>
      </w:r>
      <w:r w:rsidRPr="005D37F5">
        <w:rPr>
          <w:shd w:val="clear" w:color="auto" w:fill="FFFFFF"/>
        </w:rPr>
        <w:t>mivel a mozgás szabadsága több mint 15 millió uniós polgár</w:t>
      </w:r>
      <w:r w:rsidRPr="005D37F5">
        <w:rPr>
          <w:rStyle w:val="FootnoteReference"/>
          <w:shd w:val="clear" w:color="auto" w:fill="FFFFFF"/>
        </w:rPr>
        <w:footnoteReference w:id="22"/>
      </w:r>
      <w:r w:rsidRPr="005D37F5">
        <w:rPr>
          <w:shd w:val="clear" w:color="auto" w:fill="FFFFFF"/>
        </w:rPr>
        <w:t xml:space="preserve"> számára tette lehetővé, hogy másik tagállamban éljen és dolgozzon, illetve minden uniós polgár számára lehetővé tette, hogy szabadon utazzon az Unióban, így az uniós polgárság fontosabb, mint valaha;</w:t>
      </w:r>
    </w:p>
    <w:p w:rsidR="004A24BB" w:rsidRPr="005D37F5" w:rsidRDefault="004A24BB" w:rsidP="004F1AAB">
      <w:pPr>
        <w:pStyle w:val="NormalHanging12a"/>
        <w:widowControl/>
      </w:pPr>
      <w:r w:rsidRPr="005D37F5">
        <w:t>E.</w:t>
      </w:r>
      <w:r w:rsidRPr="005D37F5">
        <w:tab/>
      </w:r>
      <w:r w:rsidRPr="005D37F5">
        <w:rPr>
          <w:shd w:val="clear" w:color="auto" w:fill="FFFFFF"/>
        </w:rPr>
        <w:t xml:space="preserve">mivel túl gyakori, hogy az uniós polgárok nincsenek kellőképpen tudatában az uniós polgárságukból eredő jogaiknak, polgári kötelességeiknek és szabadságaiknak, nem </w:t>
      </w:r>
      <w:r w:rsidRPr="005D37F5">
        <w:rPr>
          <w:shd w:val="clear" w:color="auto" w:fill="FFFFFF"/>
        </w:rPr>
        <w:lastRenderedPageBreak/>
        <w:t xml:space="preserve">ismerik és nem értik eléggé azokat; mivel az uniós polgárság gyakorlati alkalmazása és az általa biztosított jogok és szabadságok teljes körű gyakorlása terén még mindig jelentős hiányosságok tapasztalhatók, amelyek egy részét az uniós </w:t>
      </w:r>
      <w:proofErr w:type="gramStart"/>
      <w:r w:rsidRPr="005D37F5">
        <w:rPr>
          <w:shd w:val="clear" w:color="auto" w:fill="FFFFFF"/>
        </w:rPr>
        <w:t>jogszabályok</w:t>
      </w:r>
      <w:proofErr w:type="gramEnd"/>
      <w:r w:rsidRPr="005D37F5">
        <w:rPr>
          <w:shd w:val="clear" w:color="auto" w:fill="FFFFFF"/>
        </w:rPr>
        <w:t xml:space="preserve"> tagállamok általi nem egységes végrehajtása okozza;</w:t>
      </w:r>
    </w:p>
    <w:p w:rsidR="004A24BB" w:rsidRPr="005D37F5" w:rsidRDefault="004A24BB" w:rsidP="004F1AAB">
      <w:pPr>
        <w:pStyle w:val="NormalHanging12a"/>
        <w:widowControl/>
      </w:pPr>
      <w:r w:rsidRPr="005D37F5">
        <w:t>F.</w:t>
      </w:r>
      <w:r w:rsidRPr="005D37F5">
        <w:tab/>
      </w:r>
      <w:r w:rsidR="00BB76BB" w:rsidRPr="00BB76BB">
        <w:t xml:space="preserve">mivel az uniós polgárságról szóló, 2020. évi nyilvános </w:t>
      </w:r>
      <w:proofErr w:type="gramStart"/>
      <w:r w:rsidR="00BB76BB" w:rsidRPr="00BB76BB">
        <w:t>konzultáció</w:t>
      </w:r>
      <w:proofErr w:type="gramEnd"/>
      <w:r w:rsidR="00BB76BB" w:rsidRPr="00BB76BB">
        <w:t xml:space="preserve"> eredményeiből kiderült, hogy a résztvevők több mint 60%-a nem tartja magát kellően tájékozottnak az uniós polgársághoz fűződő jogaival kapcsolatban</w:t>
      </w:r>
      <w:r w:rsidR="00917E0C" w:rsidRPr="005D37F5">
        <w:rPr>
          <w:rStyle w:val="FootnoteReference"/>
          <w:color w:val="000000"/>
          <w:szCs w:val="24"/>
        </w:rPr>
        <w:footnoteReference w:id="23"/>
      </w:r>
      <w:r w:rsidR="00BB76BB" w:rsidRPr="00BB76BB">
        <w:t>;</w:t>
      </w:r>
      <w:r w:rsidR="00BB76BB" w:rsidRPr="00917E0C">
        <w:t xml:space="preserve"> mivel a polgárságról és a demokráciáról szóló 2023. évi Eurobarométer gyorsfelmérés azt mutatja, hogy a válaszadók fele kellően tájékozottnak tartja magát uniós polgárként őt megillető jogokról</w:t>
      </w:r>
      <w:r w:rsidRPr="005D37F5">
        <w:t>;</w:t>
      </w:r>
    </w:p>
    <w:p w:rsidR="004A24BB" w:rsidRPr="005D37F5" w:rsidRDefault="004A24BB" w:rsidP="004F1AAB">
      <w:pPr>
        <w:pStyle w:val="NormalHanging12a"/>
        <w:widowControl/>
      </w:pPr>
      <w:r w:rsidRPr="005D37F5">
        <w:t>G.</w:t>
      </w:r>
      <w:r w:rsidRPr="005D37F5">
        <w:tab/>
      </w:r>
      <w:proofErr w:type="gramStart"/>
      <w:r w:rsidRPr="005D37F5">
        <w:t>mivel</w:t>
      </w:r>
      <w:proofErr w:type="gramEnd"/>
      <w:r w:rsidRPr="005D37F5">
        <w:t xml:space="preserve"> az uniós polgárok a digitális forradalom és az ahhoz kapcsolódó társadalmi és gazdasági átalakulások mellett a Covid19-világjárvány miatt is soha nem látott kihívásokkal szembesülnek;</w:t>
      </w:r>
    </w:p>
    <w:p w:rsidR="004A24BB" w:rsidRPr="005D37F5" w:rsidRDefault="004A24BB" w:rsidP="004F1AAB">
      <w:pPr>
        <w:pStyle w:val="NormalHanging12a"/>
        <w:widowControl/>
        <w:shd w:val="clear" w:color="auto" w:fill="FFFFFF" w:themeFill="background1"/>
      </w:pPr>
      <w:r w:rsidRPr="005D37F5">
        <w:t>H.</w:t>
      </w:r>
      <w:r w:rsidRPr="005D37F5">
        <w:tab/>
        <w:t xml:space="preserve">mivel a meglévő és a jövőbeli jogok összegyűjtése és </w:t>
      </w:r>
      <w:proofErr w:type="gramStart"/>
      <w:r w:rsidRPr="005D37F5">
        <w:t>konszolidálása</w:t>
      </w:r>
      <w:proofErr w:type="gramEnd"/>
      <w:r w:rsidRPr="005D37F5">
        <w:t xml:space="preserve"> elősegítené az uniós polgárságból eredő jogok és szabadságok jobb és tájékozottabb gyakorlását;</w:t>
      </w:r>
    </w:p>
    <w:p w:rsidR="004A24BB" w:rsidRPr="005D37F5" w:rsidRDefault="004A24BB" w:rsidP="004F1AAB">
      <w:pPr>
        <w:pStyle w:val="NormalHanging12a"/>
        <w:widowControl/>
        <w:shd w:val="clear" w:color="auto" w:fill="FFFFFF" w:themeFill="background1"/>
      </w:pPr>
      <w:r w:rsidRPr="005D37F5">
        <w:t>I.</w:t>
      </w:r>
      <w:r w:rsidRPr="005D37F5">
        <w:tab/>
        <w:t xml:space="preserve">mivel az Európa jövőjéről szóló </w:t>
      </w:r>
      <w:proofErr w:type="gramStart"/>
      <w:r w:rsidRPr="005D37F5">
        <w:t>konferencia</w:t>
      </w:r>
      <w:proofErr w:type="gramEnd"/>
      <w:r w:rsidRPr="005D37F5">
        <w:t xml:space="preserve"> konkrét példája annak, hogy a polgárok miként vesznek részt az Unió demokratikus életében; mivel e konferencia következtetései olyan javaslatokat és intézkedéseket tartalmaznak, amelyek tükrözik az európai intézmények és az uniós polgárok közötti, az uniós polgárság megerősítésére irányuló megállapodást;</w:t>
      </w:r>
    </w:p>
    <w:p w:rsidR="004A24BB" w:rsidRPr="005D37F5" w:rsidRDefault="004A24BB" w:rsidP="004F1AAB">
      <w:pPr>
        <w:pStyle w:val="NormalHanging12a"/>
        <w:widowControl/>
        <w:shd w:val="clear" w:color="auto" w:fill="FFFFFF" w:themeFill="background1"/>
      </w:pPr>
      <w:r w:rsidRPr="005D37F5">
        <w:t>J.</w:t>
      </w:r>
      <w:r w:rsidRPr="005D37F5">
        <w:tab/>
      </w:r>
      <w:proofErr w:type="gramStart"/>
      <w:r w:rsidRPr="005D37F5">
        <w:t>mivel</w:t>
      </w:r>
      <w:proofErr w:type="gramEnd"/>
      <w:r w:rsidRPr="005D37F5">
        <w:t xml:space="preserve"> a polgársághoz fűződő jogok gyakorlásának meglévő akadályai egyenlőtlenséget és megkülönböztetést eredményeznek az uniós polgárok, különösen a mobilis uniós polgárok és családtagjaik, főként a gyermekek, a határon átnyúló uniós régiókban és a vidéki térségekben élő személyek, a kiszolgáltatott és marginalizált csoportok tagjai, például a kisebbségek, az alacsony jövedelmű személyek, a hajléktalanok, az idősek, a fogyatékossággal élő személyek, valamint a digitális kirekesztés veszélyének kitett személyek körében;</w:t>
      </w:r>
    </w:p>
    <w:p w:rsidR="004A24BB" w:rsidRPr="005D37F5" w:rsidRDefault="004A24BB" w:rsidP="004F1AAB">
      <w:pPr>
        <w:pStyle w:val="NormalHanging12a"/>
        <w:widowControl/>
        <w:rPr>
          <w:rStyle w:val="y2iqfc"/>
          <w:color w:val="000000"/>
          <w:shd w:val="clear" w:color="auto" w:fill="FFFFFF"/>
        </w:rPr>
      </w:pPr>
      <w:r w:rsidRPr="005D37F5">
        <w:t>K.</w:t>
      </w:r>
      <w:r w:rsidRPr="005D37F5">
        <w:tab/>
      </w:r>
      <w:proofErr w:type="gramStart"/>
      <w:r w:rsidRPr="005D37F5">
        <w:t>mivel</w:t>
      </w:r>
      <w:proofErr w:type="gramEnd"/>
      <w:r w:rsidRPr="005D37F5">
        <w:t xml:space="preserve"> közel 87 millió uniós polgár él valamilyen fogyatékossággal</w:t>
      </w:r>
      <w:r w:rsidRPr="005D37F5">
        <w:rPr>
          <w:rStyle w:val="FootnoteReference"/>
          <w:color w:val="000000"/>
          <w:shd w:val="clear" w:color="auto" w:fill="FFFFFF"/>
        </w:rPr>
        <w:footnoteReference w:id="24"/>
      </w:r>
      <w:r w:rsidRPr="005D37F5">
        <w:t>, akik nehézségekbe ütköznek polgársághoz fűződő jogaik gyakorlása során, és ezek a nehézségek esetenként a szabad mozgáshoz és tartózkodáshoz való joguk közvetlen megtagadásával, valamint politikai jogaik gyakorlásának korlátozásával járnak;</w:t>
      </w:r>
    </w:p>
    <w:p w:rsidR="004A24BB" w:rsidRPr="005D37F5" w:rsidRDefault="004A24BB" w:rsidP="004F1AAB">
      <w:pPr>
        <w:pStyle w:val="NormalHanging12a"/>
        <w:widowControl/>
      </w:pPr>
      <w:r w:rsidRPr="005D37F5">
        <w:rPr>
          <w:rStyle w:val="y2iqfc"/>
          <w:color w:val="000000"/>
          <w:shd w:val="clear" w:color="auto" w:fill="FFFFFF"/>
        </w:rPr>
        <w:t>L</w:t>
      </w:r>
      <w:r w:rsidRPr="005D37F5">
        <w:rPr>
          <w:rStyle w:val="y2iqfc"/>
          <w:b/>
          <w:color w:val="000000"/>
          <w:shd w:val="clear" w:color="auto" w:fill="FFFFFF"/>
        </w:rPr>
        <w:t>.</w:t>
      </w:r>
      <w:r w:rsidRPr="005D37F5">
        <w:rPr>
          <w:rStyle w:val="y2iqfc"/>
          <w:color w:val="000000"/>
          <w:shd w:val="clear" w:color="auto" w:fill="FFFFFF"/>
        </w:rPr>
        <w:tab/>
      </w:r>
      <w:r w:rsidRPr="005D37F5">
        <w:t>mivel néhány tagállam továbbra is úgynevezett „aranyvízum-programokat” és befektetői programokat kínál az állampolgárság és következésképpen az uniós polgárság megszerzésének eszközeként;</w:t>
      </w:r>
    </w:p>
    <w:p w:rsidR="004A24BB" w:rsidRPr="005D37F5" w:rsidRDefault="004A24BB" w:rsidP="004F1AAB">
      <w:pPr>
        <w:pStyle w:val="NormalHanging12a"/>
        <w:widowControl/>
        <w:rPr>
          <w:b/>
          <w:i/>
        </w:rPr>
      </w:pPr>
      <w:r w:rsidRPr="005D37F5">
        <w:rPr>
          <w:b/>
          <w:i/>
        </w:rPr>
        <w:lastRenderedPageBreak/>
        <w:t>Bevezetés</w:t>
      </w:r>
    </w:p>
    <w:p w:rsidR="004A24BB" w:rsidRPr="005D37F5" w:rsidRDefault="004A24BB" w:rsidP="004F1AAB">
      <w:pPr>
        <w:pStyle w:val="NormalHanging12a"/>
        <w:widowControl/>
      </w:pPr>
      <w:r w:rsidRPr="005D37F5">
        <w:t>1.</w:t>
      </w:r>
      <w:r w:rsidRPr="005D37F5">
        <w:tab/>
        <w:t xml:space="preserve">úgy véli, hogy az uniós polgárság magában foglalja a mindannyiunk által osztott, közös európai demokratikus identitást és az ehhez kapcsolódó </w:t>
      </w:r>
      <w:proofErr w:type="gramStart"/>
      <w:r w:rsidRPr="005D37F5">
        <w:t>konkrét</w:t>
      </w:r>
      <w:proofErr w:type="gramEnd"/>
      <w:r w:rsidRPr="005D37F5">
        <w:t xml:space="preserve"> jogokat, polgári kötelességeket és szabadságokat, valamint e jogok online és offline gyakorlása egyaránt erősíti a polgárok Unióval való kapcsolatát és az EU demokratikus legitimitását, valamint további jogokat biztosít számukra;</w:t>
      </w:r>
    </w:p>
    <w:p w:rsidR="004A24BB" w:rsidRPr="005D37F5" w:rsidRDefault="004A24BB" w:rsidP="004F1AAB">
      <w:pPr>
        <w:pStyle w:val="NormalHanging12a"/>
        <w:widowControl/>
      </w:pPr>
      <w:proofErr w:type="gramStart"/>
      <w:r w:rsidRPr="005D37F5">
        <w:t>2.</w:t>
      </w:r>
      <w:r w:rsidRPr="005D37F5">
        <w:tab/>
        <w:t>rámutat, hogy az uniós polgárság koncepciójának fejlődnie kell, hogy megfeleljen a 21. századi Unió igényeinek és kihívásainak, elismerve a digitális innovációban rejlő lehetőségeket, valamint a szuverenitás és a jólét biztosítása érdekében a globalizáció és az új technológiák következtében kialakul bonyolult helyzetek kezelését célzó kiegyensúlyozott megközelítés szükségességét; hangsúlyozza, hogy a demokratikus folyamatok – elégtelen digitális jártassággal és az információs és kommunikációs technológiákhoz való elégtelen hozzáféréssel társuló – digitalizációja azzal a kockázattal jár, hogy</w:t>
      </w:r>
      <w:proofErr w:type="gramEnd"/>
      <w:r w:rsidRPr="005D37F5">
        <w:t xml:space="preserve"> </w:t>
      </w:r>
      <w:proofErr w:type="gramStart"/>
      <w:r w:rsidRPr="005D37F5">
        <w:t>a</w:t>
      </w:r>
      <w:proofErr w:type="gramEnd"/>
      <w:r w:rsidRPr="005D37F5">
        <w:t xml:space="preserve"> polgári jogok gyakorlása terén fokozódik a digitális szakadék, és a polgárok egy része elidegenedik az európai projekttől;</w:t>
      </w:r>
    </w:p>
    <w:p w:rsidR="004A24BB" w:rsidRPr="005D37F5" w:rsidRDefault="004A24BB" w:rsidP="004F1AAB">
      <w:pPr>
        <w:pStyle w:val="NormalHanging12a"/>
        <w:widowControl/>
        <w:rPr>
          <w:rStyle w:val="doceo-font-family-base"/>
          <w:rFonts w:eastAsiaTheme="minorHAnsi"/>
          <w:b/>
          <w:i/>
        </w:rPr>
      </w:pPr>
      <w:r w:rsidRPr="005D37F5">
        <w:rPr>
          <w:rStyle w:val="doceo-font-family-base"/>
        </w:rPr>
        <w:t>3.</w:t>
      </w:r>
      <w:r w:rsidRPr="005D37F5">
        <w:rPr>
          <w:rStyle w:val="doceo-font-family-base"/>
        </w:rPr>
        <w:tab/>
        <w:t>úgy véli, hogy az uniós intézményeken belül és a polgárokkal való kapcsolataikban gyakorolt többnyelvűség elengedhetetlen az uniós polgárság megerősítése szempontjából; e tekintetben kiemeli, hogy a 2005. június 13-i tanácsi következtetések értelmében az uniós polgárok az uniós intézményekkel való kapcsolattartás során használhatják a valamely tagállamban vagy a területének egy részén elismert nem hivatalos uniós nyelveket, valamint az uniós intézményekben vagy szervekben – köztük az Európai Parlamentben – hivatalosan használt nyelveket;</w:t>
      </w:r>
    </w:p>
    <w:p w:rsidR="004A24BB" w:rsidRPr="005D37F5" w:rsidRDefault="004A24BB" w:rsidP="004F1AAB">
      <w:pPr>
        <w:pStyle w:val="NormalHanging12a"/>
        <w:widowControl/>
        <w:rPr>
          <w:rStyle w:val="doceo-font-family-base"/>
        </w:rPr>
      </w:pPr>
      <w:proofErr w:type="gramStart"/>
      <w:r w:rsidRPr="005D37F5">
        <w:rPr>
          <w:rStyle w:val="doceo-font-family-base"/>
        </w:rPr>
        <w:t>4.</w:t>
      </w:r>
      <w:r w:rsidRPr="005D37F5">
        <w:rPr>
          <w:rStyle w:val="doceo-font-family-base"/>
        </w:rPr>
        <w:tab/>
        <w:t>rámutat, hogy a Parlament</w:t>
      </w:r>
      <w:r w:rsidRPr="005D37F5">
        <w:t xml:space="preserve"> a Szerződés uniós polgársággal kapcsolatos rendelkezéseinek végrehajtásáról szóló, 2019. február 12-i állásfoglalásában, </w:t>
      </w:r>
      <w:r w:rsidRPr="005D37F5">
        <w:rPr>
          <w:rStyle w:val="doceo-font-family-base"/>
        </w:rPr>
        <w:t>valamint</w:t>
      </w:r>
      <w:r w:rsidRPr="005D37F5">
        <w:t xml:space="preserve"> „Az uniós polgárságról szóló 2020. évi jelentés: a polgárok szerepvállalásának elősegítése és jogaik védelme” című, 2022. március 10-i állásfoglalásában már szorgalmazta az uniós polgársági alapokmány létrehozását;</w:t>
      </w:r>
      <w:r w:rsidRPr="005D37F5">
        <w:rPr>
          <w:rStyle w:val="doceo-font-family-base"/>
        </w:rPr>
        <w:t xml:space="preserve"> emlékeztet arra, hogy az Európa jövőjéről szóló konferencia</w:t>
      </w:r>
      <w:r w:rsidRPr="005D37F5">
        <w:t xml:space="preserve"> kiemelte az uniós polgárság megerősítésének fontosságát, </w:t>
      </w:r>
      <w:r w:rsidRPr="005D37F5">
        <w:rPr>
          <w:rStyle w:val="doceo-font-family-base"/>
        </w:rPr>
        <w:t>következtetéseiben megemlítve, hogy egy ilyen alapokmány hasznos eszközként szolgálna az uniós elvek és értékek</w:t>
      </w:r>
      <w:proofErr w:type="gramEnd"/>
      <w:r w:rsidRPr="005D37F5">
        <w:rPr>
          <w:rStyle w:val="doceo-font-family-base"/>
        </w:rPr>
        <w:t xml:space="preserve"> </w:t>
      </w:r>
      <w:proofErr w:type="gramStart"/>
      <w:r w:rsidRPr="005D37F5">
        <w:rPr>
          <w:rStyle w:val="doceo-font-family-base"/>
        </w:rPr>
        <w:t>kézzelfoghatóbbá</w:t>
      </w:r>
      <w:proofErr w:type="gramEnd"/>
      <w:r w:rsidRPr="005D37F5">
        <w:rPr>
          <w:rStyle w:val="doceo-font-family-base"/>
        </w:rPr>
        <w:t xml:space="preserve"> tételéhez</w:t>
      </w:r>
      <w:r w:rsidRPr="005D37F5">
        <w:t>;</w:t>
      </w:r>
    </w:p>
    <w:p w:rsidR="004A24BB" w:rsidRPr="005D37F5" w:rsidRDefault="004A24BB" w:rsidP="004F1AAB">
      <w:pPr>
        <w:pStyle w:val="NormalHanging12a"/>
        <w:widowControl/>
      </w:pPr>
      <w:r w:rsidRPr="005D37F5">
        <w:t>5.</w:t>
      </w:r>
      <w:r w:rsidRPr="005D37F5">
        <w:tab/>
        <w:t xml:space="preserve">sajnálatát fejezi ki amiatt, hogy az Európai Bizottság az Európa jövőjéről szóló </w:t>
      </w:r>
      <w:proofErr w:type="gramStart"/>
      <w:r w:rsidRPr="005D37F5">
        <w:t>konferenciát</w:t>
      </w:r>
      <w:proofErr w:type="gramEnd"/>
      <w:r w:rsidRPr="005D37F5">
        <w:t xml:space="preserve"> követő közleményében nem tett külön említést az uniós polgárság megerősítéséről és ennek lehetséges módjairól</w:t>
      </w:r>
      <w:r w:rsidRPr="005D37F5">
        <w:rPr>
          <w:rStyle w:val="FootnoteReference"/>
          <w:bCs/>
        </w:rPr>
        <w:footnoteReference w:id="25"/>
      </w:r>
      <w:r w:rsidRPr="005D37F5">
        <w:t>; emlékeztet arra, hogy a Tanács az Európa jövőjéről szóló konferenciával kapcsolatban közzétett technikai értékelésében hajlandóságot mutatott az állampolgárság megerősítésére, de még nem javasolt, hozott, illetve hajtott végre semmilyen intézkedést e cél elérése érdekében;</w:t>
      </w:r>
    </w:p>
    <w:p w:rsidR="004A24BB" w:rsidRPr="005D37F5" w:rsidRDefault="004A24BB" w:rsidP="004F1AAB">
      <w:pPr>
        <w:pStyle w:val="NormalHanging12a"/>
        <w:widowControl/>
      </w:pPr>
      <w:proofErr w:type="gramStart"/>
      <w:r w:rsidRPr="005D37F5">
        <w:t>6.</w:t>
      </w:r>
      <w:r w:rsidRPr="005D37F5">
        <w:tab/>
        <w:t xml:space="preserve">emlékeztet arra, hogy a Bizottság még az év vége előtt közzéteszi az uniós polgárságról szóló 2023. évi jelentését, és arra számít, hogy ebben új kezdeményezéseket javasol majd az uniós polgárság megerősítésére és a végrehajtásával kapcsolatos hiányosságok kezelésére; sajnálatát fejezi ki amiatt, hogy a Bizottság ezúttal úgy döntött, hogy a korábbi évektől eltérően nem nyilvános konzultációt, hanem véleményezési felhívást tesz közzé; emlékeztet arra, hogy a véleményezési felhívás eredményei nem </w:t>
      </w:r>
      <w:r w:rsidRPr="005D37F5">
        <w:lastRenderedPageBreak/>
        <w:t>tartalmaznak átfogó áttekintést a legújabb fejleményekről és a végrehajtási hiányosságokról; hangsúlyozza,</w:t>
      </w:r>
      <w:proofErr w:type="gramEnd"/>
      <w:r w:rsidRPr="005D37F5">
        <w:t xml:space="preserve"> </w:t>
      </w:r>
      <w:proofErr w:type="gramStart"/>
      <w:r w:rsidRPr="005D37F5">
        <w:t>hogy</w:t>
      </w:r>
      <w:proofErr w:type="gramEnd"/>
      <w:r w:rsidRPr="005D37F5">
        <w:t xml:space="preserve"> a jelentés elkészítéséhez naprakész adatokat kell használni;</w:t>
      </w:r>
    </w:p>
    <w:p w:rsidR="004A24BB" w:rsidRPr="005D37F5" w:rsidRDefault="004A24BB" w:rsidP="004F1AAB">
      <w:pPr>
        <w:pStyle w:val="NormalHanging12a"/>
        <w:widowControl/>
        <w:rPr>
          <w:b/>
          <w:i/>
        </w:rPr>
      </w:pPr>
      <w:r w:rsidRPr="005D37F5">
        <w:rPr>
          <w:b/>
          <w:i/>
        </w:rPr>
        <w:t xml:space="preserve">Az uniós polgársággal kapcsolatos </w:t>
      </w:r>
      <w:proofErr w:type="gramStart"/>
      <w:r w:rsidRPr="005D37F5">
        <w:rPr>
          <w:b/>
          <w:i/>
        </w:rPr>
        <w:t>problémák</w:t>
      </w:r>
      <w:proofErr w:type="gramEnd"/>
    </w:p>
    <w:p w:rsidR="004A24BB" w:rsidRPr="005D37F5" w:rsidRDefault="004A24BB" w:rsidP="004F1AAB">
      <w:pPr>
        <w:pStyle w:val="NormalHanging12a"/>
        <w:widowControl/>
        <w:rPr>
          <w:bCs/>
        </w:rPr>
      </w:pPr>
      <w:r w:rsidRPr="005D37F5">
        <w:t>7.</w:t>
      </w:r>
      <w:r w:rsidRPr="005D37F5">
        <w:tab/>
        <w:t xml:space="preserve">aggodalmát fejezi ki az uniós polgárságból eredő jogok és szabadságok teljes körű gyakorlását akadályozó </w:t>
      </w:r>
      <w:proofErr w:type="gramStart"/>
      <w:r w:rsidRPr="005D37F5">
        <w:t>konkrét</w:t>
      </w:r>
      <w:proofErr w:type="gramEnd"/>
      <w:r w:rsidRPr="005D37F5">
        <w:t xml:space="preserve"> nehézségek miatt;</w:t>
      </w:r>
    </w:p>
    <w:p w:rsidR="004A24BB" w:rsidRPr="005D37F5" w:rsidRDefault="004A24BB" w:rsidP="004F1AAB">
      <w:pPr>
        <w:pStyle w:val="NormalHanging12a"/>
        <w:widowControl/>
        <w:rPr>
          <w:b/>
          <w:i/>
        </w:rPr>
      </w:pPr>
      <w:r w:rsidRPr="005D37F5">
        <w:rPr>
          <w:b/>
          <w:i/>
        </w:rPr>
        <w:t>Politikai jogok</w:t>
      </w:r>
    </w:p>
    <w:p w:rsidR="004A24BB" w:rsidRPr="005D37F5" w:rsidRDefault="004A24BB" w:rsidP="004F1AAB">
      <w:pPr>
        <w:pStyle w:val="NormalHanging12a"/>
        <w:widowControl/>
        <w:rPr>
          <w:rStyle w:val="y2iqfc"/>
        </w:rPr>
      </w:pPr>
      <w:r w:rsidRPr="005D37F5">
        <w:rPr>
          <w:rStyle w:val="y2iqfc"/>
        </w:rPr>
        <w:t>8.</w:t>
      </w:r>
      <w:r w:rsidRPr="005D37F5">
        <w:rPr>
          <w:rStyle w:val="y2iqfc"/>
        </w:rPr>
        <w:tab/>
        <w:t xml:space="preserve">sajnálatát fejezi ki amiatt, hogy a lakóhelyet váltó polgárok kisebb valószínűséggel élnek szavazati jogukkal és indulnak a lakóhelyük szerinti tagállamban az európai és önkormányzati választásokon, aminek okai között szerepel az </w:t>
      </w:r>
      <w:proofErr w:type="gramStart"/>
      <w:r w:rsidRPr="005D37F5">
        <w:rPr>
          <w:rStyle w:val="y2iqfc"/>
        </w:rPr>
        <w:t>elégtelen tájékoztatás</w:t>
      </w:r>
      <w:proofErr w:type="gramEnd"/>
      <w:r w:rsidRPr="005D37F5">
        <w:rPr>
          <w:rStyle w:val="y2iqfc"/>
        </w:rPr>
        <w:t>, a nyelvi akadályok, a választási regisztráció nehézségei és a nem hazai jelöltek alacsony sikerességi aránya;</w:t>
      </w:r>
    </w:p>
    <w:p w:rsidR="004A24BB" w:rsidRPr="005D37F5" w:rsidRDefault="004A24BB" w:rsidP="004F1AAB">
      <w:pPr>
        <w:pStyle w:val="NormalHanging12a"/>
        <w:widowControl/>
      </w:pPr>
      <w:r w:rsidRPr="005D37F5">
        <w:t>9.</w:t>
      </w:r>
      <w:r w:rsidRPr="005D37F5">
        <w:tab/>
        <w:t>mély aggodalmának ad hangot egyes tagállamok azon gyakorlata miatt, hogy az állandó jelleggel vagy ideiglenesen külföldön élő állampolgáraikat megfosztják a nemzeti parlamenti választásokon való szavazati joguktól, ami a politikai életből való kirekesztésükhöz vezet mind a származási, mind a lakóhelyük szerinti országban;</w:t>
      </w:r>
    </w:p>
    <w:p w:rsidR="004A24BB" w:rsidRPr="005D37F5" w:rsidRDefault="004A24BB" w:rsidP="004F1AAB">
      <w:pPr>
        <w:pStyle w:val="NormalHanging12a"/>
        <w:widowControl/>
        <w:rPr>
          <w:b/>
          <w:i/>
        </w:rPr>
      </w:pPr>
      <w:r w:rsidRPr="005D37F5">
        <w:rPr>
          <w:b/>
          <w:i/>
        </w:rPr>
        <w:t>A mozgás és a tartózkodás szabadsága</w:t>
      </w:r>
    </w:p>
    <w:p w:rsidR="004A24BB" w:rsidRPr="005D37F5" w:rsidRDefault="004A24BB" w:rsidP="004F1AAB">
      <w:pPr>
        <w:pStyle w:val="NormalHanging12a"/>
        <w:widowControl/>
      </w:pPr>
      <w:r w:rsidRPr="005D37F5">
        <w:t>10.</w:t>
      </w:r>
      <w:r w:rsidRPr="005D37F5">
        <w:rPr>
          <w:b/>
          <w:i/>
        </w:rPr>
        <w:tab/>
      </w:r>
      <w:r w:rsidRPr="005D37F5">
        <w:t>kiemeli, hogy a schengeni térség az EU egyik legnagyobb vívmánya; hangsúlyozza, hogy fel kell számolni az Unión belüli szabad mozgás valamennyi akadályát annak érdekében, hogy uniós polgársághoz kapcsolódóan minden európai polgár számára egyenlő jogokat biztosítsanak; a Parlament állásfoglalásaival összhangban Románia és Bulgária schengeni térséghez való csatlakozását szorgalmazza;</w:t>
      </w:r>
    </w:p>
    <w:p w:rsidR="004A24BB" w:rsidRPr="005D37F5" w:rsidRDefault="004A24BB" w:rsidP="004F1AAB">
      <w:pPr>
        <w:pStyle w:val="NormalHanging12a"/>
        <w:widowControl/>
        <w:rPr>
          <w:b/>
          <w:i/>
        </w:rPr>
      </w:pPr>
      <w:r w:rsidRPr="005D37F5">
        <w:t>11.</w:t>
      </w:r>
      <w:r w:rsidRPr="005D37F5">
        <w:tab/>
      </w:r>
      <w:r w:rsidRPr="005D37F5">
        <w:rPr>
          <w:rStyle w:val="y2iqfc"/>
        </w:rPr>
        <w:t>aggodalmát fejezi ki amiatt, hogy a mobilis uniós polgárokat</w:t>
      </w:r>
      <w:r w:rsidRPr="005D37F5">
        <w:t xml:space="preserve">, különösen a veszélyeztetett csoportok tagjait </w:t>
      </w:r>
      <w:r w:rsidRPr="005D37F5">
        <w:rPr>
          <w:rStyle w:val="y2iqfc"/>
        </w:rPr>
        <w:t xml:space="preserve">a lakóhelyük szerinti tagállam a juttatásokhoz való hozzáférés tekintetében más bánásmódban részesíti, mint az állampolgárokat; kéri a tagállamokat, hogy megfelelően hajtsák végre az </w:t>
      </w:r>
      <w:r w:rsidRPr="005D37F5">
        <w:t>Európai Unió Bíróságának (EUB) ilyen megkülönböztetéseket tiltó ítélkezési gyakorlatát;</w:t>
      </w:r>
    </w:p>
    <w:p w:rsidR="004A24BB" w:rsidRPr="005D37F5" w:rsidRDefault="004A24BB" w:rsidP="004F1AAB">
      <w:pPr>
        <w:pStyle w:val="NormalHanging12a"/>
        <w:widowControl/>
      </w:pPr>
      <w:r w:rsidRPr="005D37F5">
        <w:t>12.</w:t>
      </w:r>
      <w:r w:rsidRPr="005D37F5">
        <w:rPr>
          <w:b/>
          <w:i/>
        </w:rPr>
        <w:tab/>
      </w:r>
      <w:r w:rsidRPr="005D37F5">
        <w:t>aggodalmát fejezi ki a határokon átnyúló uniós régiókban élő polgárokat érintő nehézségek és kihívások miatt, különösen az uniós szintű vagy regionális válsághelyzetek miatti határlezárások esetén; kéri a tagállamokat, hogy ilyen esetekben a lehető legnagyobb mértékben tartsák fenn a határokon átnyúló együttműködést és adott esetben az érintett helyi és regionális önkormányzatokkal való szoros együttműködést;</w:t>
      </w:r>
    </w:p>
    <w:p w:rsidR="004A24BB" w:rsidRPr="005D37F5" w:rsidRDefault="004A24BB" w:rsidP="004F1AAB">
      <w:pPr>
        <w:pStyle w:val="NormalHanging12a"/>
        <w:widowControl/>
        <w:rPr>
          <w:b/>
          <w:i/>
        </w:rPr>
      </w:pPr>
      <w:r w:rsidRPr="005D37F5">
        <w:rPr>
          <w:b/>
          <w:i/>
        </w:rPr>
        <w:t>Konzuli védelem</w:t>
      </w:r>
    </w:p>
    <w:p w:rsidR="004A24BB" w:rsidRPr="005D37F5" w:rsidRDefault="004A24BB" w:rsidP="004F1AAB">
      <w:pPr>
        <w:pStyle w:val="NormalHanging12a"/>
        <w:widowControl/>
      </w:pPr>
      <w:r w:rsidRPr="005D37F5">
        <w:t>13.</w:t>
      </w:r>
      <w:r w:rsidRPr="005D37F5">
        <w:tab/>
        <w:t>aggodalmát fejezi ki a konzuli védelemről szóló irányelv végrehajtásának hiányosságai és a tagállamok konzuli hálózatainak működésében mutatkozó hiányosságok miatt, megjegyezve, hogy ezek az Egyesült Királyság Unióból való kilépését követően fokozódtak; e tekintetben sajnálatát fejezi ki amiatt, hogy az uniós polgárok egyes nem uniós országokban csak korlátozottan férnek hozzá a konzuli védelemhez és segítségnyújtáshoz;</w:t>
      </w:r>
    </w:p>
    <w:p w:rsidR="004A24BB" w:rsidRPr="005D37F5" w:rsidRDefault="004A24BB" w:rsidP="004F1AAB">
      <w:pPr>
        <w:pStyle w:val="NormalHanging12a"/>
        <w:widowControl/>
      </w:pPr>
      <w:r w:rsidRPr="005D37F5">
        <w:lastRenderedPageBreak/>
        <w:t>14.</w:t>
      </w:r>
      <w:r w:rsidRPr="005D37F5">
        <w:tab/>
        <w:t xml:space="preserve">rámutat, hogy voltak olyan esetek, amikor két olyan személy, akik két különböző tagállam állampolgárai, nem tudtak bizonyos </w:t>
      </w:r>
      <w:proofErr w:type="gramStart"/>
      <w:r w:rsidRPr="005D37F5">
        <w:t>formalitásokat</w:t>
      </w:r>
      <w:proofErr w:type="gramEnd"/>
      <w:r w:rsidRPr="005D37F5">
        <w:t xml:space="preserve"> – például házasságkötést – az egyik tagállam konzuli képviseletén lebonyolítani, még úgy sem, hogy a másik tagállamnak nincs elérhető konzuli képviselete az adott országban;</w:t>
      </w:r>
    </w:p>
    <w:p w:rsidR="004A24BB" w:rsidRPr="005D37F5" w:rsidRDefault="004A24BB" w:rsidP="004F1AAB">
      <w:pPr>
        <w:pStyle w:val="NormalHanging12a"/>
        <w:widowControl/>
        <w:rPr>
          <w:b/>
          <w:i/>
        </w:rPr>
      </w:pPr>
      <w:r w:rsidRPr="005D37F5">
        <w:rPr>
          <w:b/>
          <w:i/>
        </w:rPr>
        <w:t>Hátrányos megkülönböztetés</w:t>
      </w:r>
    </w:p>
    <w:p w:rsidR="004A24BB" w:rsidRPr="005D37F5" w:rsidRDefault="004A24BB" w:rsidP="004F1AAB">
      <w:pPr>
        <w:pStyle w:val="NormalHanging12a"/>
        <w:widowControl/>
      </w:pPr>
      <w:r w:rsidRPr="005D37F5">
        <w:t>15.</w:t>
      </w:r>
      <w:r w:rsidRPr="005D37F5">
        <w:tab/>
        <w:t>úgy véli, hogy a nemzeti állampolgárság megszerzésére és elvesztésére vonatkozó tagállami szabályok egységességének hiánya különbségekhez vezetett az uniós állampolgárság megszerzése és elvesztése tekintetében, és hogy ezek a különbségek egyes esetekben az uniós elvek és értékek megsértéséhez vezettek;</w:t>
      </w:r>
    </w:p>
    <w:p w:rsidR="004A24BB" w:rsidRPr="005D37F5" w:rsidRDefault="004A24BB" w:rsidP="004F1AAB">
      <w:pPr>
        <w:pStyle w:val="NormalHanging12a"/>
        <w:widowControl/>
      </w:pPr>
      <w:r w:rsidRPr="005D37F5">
        <w:t>16.</w:t>
      </w:r>
      <w:r w:rsidRPr="005D37F5">
        <w:tab/>
        <w:t>hangsúlyozza, hogy az EUB ítélkezési gyakorlatának fejlődése ellenére még mindig számos olyan eset van, amikor megtagadják a származékos tartózkodási jog megszerzését azon nem uniós állampolgárok esetében, akiknek kiskorú eltartottjai uniós állampolgárok;</w:t>
      </w:r>
    </w:p>
    <w:p w:rsidR="004A24BB" w:rsidRPr="005D37F5" w:rsidRDefault="004A24BB" w:rsidP="004F1AAB">
      <w:pPr>
        <w:pStyle w:val="NormalHanging12a"/>
        <w:widowControl/>
      </w:pPr>
      <w:r w:rsidRPr="005D37F5">
        <w:t>17.</w:t>
      </w:r>
      <w:r w:rsidRPr="005D37F5">
        <w:rPr>
          <w:b/>
        </w:rPr>
        <w:tab/>
      </w:r>
      <w:r w:rsidRPr="005D37F5">
        <w:t>ismételten aggodalmának ad hangot az azonos nemű párok és gyermekeik által az Unión belüli szabad mozgáshoz való alapvető joguk gyakorlása során tapasztalt hátrányos megkülönböztetés miatt;</w:t>
      </w:r>
    </w:p>
    <w:p w:rsidR="004A24BB" w:rsidRPr="005D37F5" w:rsidRDefault="004A24BB" w:rsidP="004F1AAB">
      <w:pPr>
        <w:pStyle w:val="NormalHanging12a"/>
        <w:widowControl/>
        <w:rPr>
          <w:b/>
          <w:i/>
        </w:rPr>
      </w:pPr>
      <w:r w:rsidRPr="005D37F5">
        <w:rPr>
          <w:b/>
          <w:i/>
        </w:rPr>
        <w:t>Ajánlások</w:t>
      </w:r>
    </w:p>
    <w:p w:rsidR="004A24BB" w:rsidRPr="005D37F5" w:rsidRDefault="004A24BB" w:rsidP="004F1AAB">
      <w:pPr>
        <w:pStyle w:val="NormalHanging12a"/>
        <w:widowControl/>
      </w:pPr>
      <w:proofErr w:type="gramStart"/>
      <w:r w:rsidRPr="005D37F5">
        <w:t>18.</w:t>
      </w:r>
      <w:r w:rsidRPr="005D37F5">
        <w:tab/>
        <w:t>kéri a tagállamokat, valamint a regionális és helyi önkormányzatokat, hogy a közelgő európai választások fényében maradéktalanul hajtsák végre a mobilis polgárok jogairól szóló meglévő irányelveket és haladéktalanul orvosolják a különféle meglévő hiányosságokat; kéri, hogy a lakóhely szerinti országban szervezzenek célzott figyelemfelhívó kampányokat annak érdekében, hogy tájékoztassák a mobilis uniós polgárokat az adott országban őket megillető választójogukról és az európai és önkormányzati választásokon való indulási jogukról; ismét kéri, hogy a mobilis polgárok jogait terjesszék ki a nemzet</w:t>
      </w:r>
      <w:proofErr w:type="gramEnd"/>
      <w:r w:rsidRPr="005D37F5">
        <w:t xml:space="preserve">i </w:t>
      </w:r>
      <w:proofErr w:type="gramStart"/>
      <w:r w:rsidRPr="005D37F5">
        <w:t>és</w:t>
      </w:r>
      <w:proofErr w:type="gramEnd"/>
      <w:r w:rsidRPr="005D37F5">
        <w:t xml:space="preserve"> regionális választásokra is;</w:t>
      </w:r>
    </w:p>
    <w:p w:rsidR="004A24BB" w:rsidRPr="005D37F5" w:rsidRDefault="004A24BB" w:rsidP="004F1AAB">
      <w:pPr>
        <w:pStyle w:val="NormalHanging12a"/>
        <w:widowControl/>
      </w:pPr>
      <w:proofErr w:type="gramStart"/>
      <w:r w:rsidRPr="005D37F5">
        <w:t>19.</w:t>
      </w:r>
      <w:r w:rsidRPr="005D37F5">
        <w:tab/>
        <w:t>kéri a tagállamokat, hogy biztosítsák a külföldön élő állampolgáraik számára a származási országukban való választójogot, amennyiben azt elismerik, a szavazásukat lehetővé tevő szabályozási feltételek megteremtésével és az e jog gyakorlását hátráltató és olykor gátló bürokratikus akadályok felszámolásával; különösen kéri a tagállamokat, hogy egyformán biztosítsák e jogokat, és adott esetben a távszavazás, különösen a levélszavazás tekintetében számoljanak fel mindenfajta megkülönböztetett bánásmódot a külföldön élő állampolgáraik körében; kéri, hogy az Unión kívül élő uniós polgárok számára</w:t>
      </w:r>
      <w:proofErr w:type="gramEnd"/>
      <w:r w:rsidRPr="005D37F5">
        <w:t xml:space="preserve"> </w:t>
      </w:r>
      <w:proofErr w:type="gramStart"/>
      <w:r w:rsidRPr="005D37F5">
        <w:t>az</w:t>
      </w:r>
      <w:proofErr w:type="gramEnd"/>
      <w:r w:rsidRPr="005D37F5">
        <w:t xml:space="preserve"> európai választásokon biztosítsák választójoguk egységes gyakorlását;</w:t>
      </w:r>
    </w:p>
    <w:p w:rsidR="004A24BB" w:rsidRPr="005D37F5" w:rsidRDefault="004A24BB" w:rsidP="004F1AAB">
      <w:pPr>
        <w:pStyle w:val="NormalHanging12a"/>
        <w:widowControl/>
      </w:pPr>
      <w:r w:rsidRPr="005D37F5">
        <w:t>20.</w:t>
      </w:r>
      <w:r w:rsidRPr="005D37F5">
        <w:tab/>
      </w:r>
      <w:r w:rsidRPr="005D37F5">
        <w:rPr>
          <w:rStyle w:val="doceo-font-family-base"/>
          <w:color w:val="000000"/>
        </w:rPr>
        <w:t>kéri a Bizottságot, hogy fogadjon el</w:t>
      </w:r>
      <w:r w:rsidRPr="005D37F5">
        <w:t xml:space="preserve"> egy olyan új közleményt, amely tisztázza az Unió polgárainak és családtagjaiknak a tagállamok területén történő szabad mozgáshoz és tartózkodáshoz való jogáról szóló 2004/38/EK irányelvben foglalt egyes kulcsfogalmakat, hogy a tagállamok számára naprakész iránymutatást nyújtson, amely hozzájárulhat az irányelv nemzeti szintű végrehajtásának javításához, és </w:t>
      </w:r>
      <w:proofErr w:type="gramStart"/>
      <w:r w:rsidRPr="005D37F5">
        <w:t>ezáltal</w:t>
      </w:r>
      <w:proofErr w:type="gramEnd"/>
      <w:r w:rsidRPr="005D37F5">
        <w:t xml:space="preserve"> az uniós polgárok és családtagjaik javát szolgálja;</w:t>
      </w:r>
    </w:p>
    <w:p w:rsidR="004A24BB" w:rsidRPr="005D37F5" w:rsidRDefault="004A24BB" w:rsidP="004F1AAB">
      <w:pPr>
        <w:pStyle w:val="NormalHanging12a"/>
        <w:widowControl/>
      </w:pPr>
      <w:r w:rsidRPr="005D37F5">
        <w:t>21.</w:t>
      </w:r>
      <w:r w:rsidRPr="005D37F5">
        <w:tab/>
        <w:t xml:space="preserve">kéri az Európai Uniót, hogy a digitális évtizedben érvényre juttatandó digitális jogokról és elvekről szóló európai nyilatkozatra építve mozdítsa elő a digitális jogok – és ezen </w:t>
      </w:r>
      <w:r w:rsidRPr="005D37F5">
        <w:lastRenderedPageBreak/>
        <w:t>belül a digitális polgársághoz fűződő jogok – kötelező erejű európai chartájának elfogadását;</w:t>
      </w:r>
    </w:p>
    <w:p w:rsidR="004A24BB" w:rsidRPr="005D37F5" w:rsidRDefault="004A24BB" w:rsidP="004F1AAB">
      <w:pPr>
        <w:pStyle w:val="NormalHanging12a"/>
        <w:widowControl/>
      </w:pPr>
      <w:r w:rsidRPr="005D37F5">
        <w:t>22.</w:t>
      </w:r>
      <w:r w:rsidRPr="005D37F5">
        <w:tab/>
      </w:r>
      <w:r w:rsidR="00BB76BB" w:rsidRPr="00917E0C">
        <w:t>üdvözli</w:t>
      </w:r>
      <w:r w:rsidR="00BB76BB" w:rsidRPr="00BB76BB">
        <w:t xml:space="preserve"> a </w:t>
      </w:r>
      <w:r w:rsidR="00BB76BB" w:rsidRPr="00917E0C">
        <w:t xml:space="preserve">konzuli védelemről szóló irányelv </w:t>
      </w:r>
      <w:proofErr w:type="gramStart"/>
      <w:r w:rsidR="00BB76BB" w:rsidRPr="00917E0C">
        <w:t>aktualizálására</w:t>
      </w:r>
      <w:proofErr w:type="gramEnd"/>
      <w:r w:rsidR="00BB76BB" w:rsidRPr="00917E0C">
        <w:t xml:space="preserve"> és javítására irányuló bizottsági javaslatot az uniós polgárok konzuli védelemhez való jogának megerősítése</w:t>
      </w:r>
      <w:r w:rsidR="00BB76BB" w:rsidRPr="00BB76BB">
        <w:t xml:space="preserve"> érdekében, </w:t>
      </w:r>
      <w:r w:rsidR="00BB76BB" w:rsidRPr="00917E0C">
        <w:t>különösen válsághelyzetekben</w:t>
      </w:r>
      <w:r w:rsidR="00BB76BB" w:rsidRPr="00BB76BB">
        <w:t xml:space="preserve">, </w:t>
      </w:r>
      <w:r w:rsidR="00BB76BB" w:rsidRPr="00917E0C">
        <w:t>többek között azáltal, hogy</w:t>
      </w:r>
      <w:r w:rsidR="00BB76BB" w:rsidRPr="00BB76BB">
        <w:t xml:space="preserve"> az uniós </w:t>
      </w:r>
      <w:r w:rsidR="00BB76BB" w:rsidRPr="00917E0C">
        <w:t xml:space="preserve">küldöttségek aktívabb szerepet kapnak az </w:t>
      </w:r>
      <w:r w:rsidR="00BB76BB" w:rsidRPr="00BB76BB">
        <w:t>alulreprezentált uniós polgárok támogatásában;</w:t>
      </w:r>
    </w:p>
    <w:p w:rsidR="004A24BB" w:rsidRPr="005D37F5" w:rsidRDefault="004A24BB" w:rsidP="004F1AAB">
      <w:pPr>
        <w:pStyle w:val="NormalHanging12a"/>
        <w:widowControl/>
      </w:pPr>
      <w:proofErr w:type="gramStart"/>
      <w:r w:rsidRPr="005D37F5">
        <w:t>23.</w:t>
      </w:r>
      <w:r w:rsidRPr="005D37F5">
        <w:tab/>
        <w:t>kéri a tagállamokat, hogy vessenek véget az úgy nevezett „aranyvízum-” és befektetői programoknak, valamint minden más olyan, hasonló nemzeti programnak, amely az állampolgárság megszerzéséhez vezet, és ily módon az uniós polgárság közvetlen vagy közvetett árusításával és az azzal való visszaéléssel jár, mivel ezek aláássák az uniós polgárság fogalmát, és sértik az uniós elveket és értékeket; sürgeti a tagállamokat, hogy védjék az uniós polgárság integritását és értékét; kéri a Bizottságot, hogy tegye meg a szükséges intézkedéseket, például utalja az érintett tagállamokat az EUB elé;</w:t>
      </w:r>
      <w:proofErr w:type="gramEnd"/>
    </w:p>
    <w:p w:rsidR="004A24BB" w:rsidRPr="005D37F5" w:rsidRDefault="004A24BB" w:rsidP="004F1AAB">
      <w:pPr>
        <w:pStyle w:val="NormalHanging12a"/>
        <w:widowControl/>
      </w:pPr>
      <w:r w:rsidRPr="005D37F5">
        <w:t>24.</w:t>
      </w:r>
      <w:r w:rsidRPr="005D37F5">
        <w:rPr>
          <w:b/>
          <w:i/>
        </w:rPr>
        <w:tab/>
      </w:r>
      <w:r w:rsidRPr="005D37F5">
        <w:t>kéri, hogy a Szerződések következő felülvizsgálata keretében biztosítsák, hogy a Parlament és a Tanács az állampolgárság megszerzésére vonatkozó feltételek közelítése céljából rendes jogalkotási eljárás keretében közös rendelkezéseket fogadhasson el az útlevelek értékesítésének és az uniós polgárság harmadik országbeli állampolgárok általi megszerzésével és elvesztésével kapcsolatos egyéb visszaélések megakadályozására vonatkozóan;</w:t>
      </w:r>
    </w:p>
    <w:p w:rsidR="004A24BB" w:rsidRPr="005D37F5" w:rsidRDefault="004A24BB" w:rsidP="004F1AAB">
      <w:pPr>
        <w:pStyle w:val="NormalHanging12a"/>
        <w:widowControl/>
      </w:pPr>
      <w:proofErr w:type="gramStart"/>
      <w:r w:rsidRPr="005D37F5">
        <w:t>25.</w:t>
      </w:r>
      <w:r w:rsidRPr="005D37F5">
        <w:tab/>
        <w:t>kéri a tagállamokat és az érintett hatóságokat, hogy módosítsák a meglévő iskolai tanterveket vagy dolgozzanak ki újakat, hogy oktatni lehessen Európa és az Európai Unió történelmét és annak működését annak érdekében, hogy előmozdítsák az aktív polgári szerepvállalást és a közös európai értékeket, valamint növeljék az európaiság és az uniós polgárság hozzáadott értékével kapcsolatos tudatosságot; hangsúlyozza, hogy az állampolgári ismeretek oktatása európai dimenziójának erősítése és az egyenlő hozzáférés mindenki számára történő biztosítása – akár a rendelkezésünkre álló valamennyi digitális</w:t>
      </w:r>
      <w:proofErr w:type="gramEnd"/>
      <w:r w:rsidRPr="005D37F5">
        <w:t xml:space="preserve"> </w:t>
      </w:r>
      <w:proofErr w:type="gramStart"/>
      <w:r w:rsidRPr="005D37F5">
        <w:t>eszköz</w:t>
      </w:r>
      <w:proofErr w:type="gramEnd"/>
      <w:r w:rsidRPr="005D37F5">
        <w:t xml:space="preserve"> igénybevételével – lehetővé fogja tenni az uniós polgárok számára, hogy tájékozott állampolgárként cselekedjenek, valamint európai és nemzeti szinten egyaránt teljes mértékben részt vegyenek a polgári, politikai és társadalmi életben; hangsúlyozza, hogy az Erasmus+ fontos szerepet játszhat az uniós polgárságra való nevelés fellendítésében a korra, nemre, foglalkozásra vagy képzettségi szintre való tekintet nélkül mindenki számára elérhető tanulási célú mobilitás révén;</w:t>
      </w:r>
    </w:p>
    <w:p w:rsidR="004A24BB" w:rsidRPr="005D37F5" w:rsidRDefault="004A24BB" w:rsidP="004F1AAB">
      <w:pPr>
        <w:pStyle w:val="NormalHanging12a"/>
        <w:widowControl/>
      </w:pPr>
      <w:proofErr w:type="gramStart"/>
      <w:r w:rsidRPr="005D37F5">
        <w:t>26.</w:t>
      </w:r>
      <w:r w:rsidRPr="005D37F5">
        <w:tab/>
        <w:t>kéri a Bizottságot, hogy az uniós polgárok részvételének növelése érdekében dolgozzon ki az összes uniós polgárhoz, különösen a fiatalokhoz igazított nyilvános konzultációkat; sürgeti a Bizottságot, hogy korszerűsítse a nyilvános konzultációk lebonyolításának módját annak érdekében, hogy az Európa jövőjéről szóló konferencia sikeres példája alapján az európai polgárok szélesebb körében fokozza a polgári szerepvállalást és részvételt; e tekintetben kéri a Bizottságot, hogy az új technológiákat kihasználva fejlessze tovább az „Ossza meg velünk véleményét!”</w:t>
      </w:r>
      <w:proofErr w:type="gramEnd"/>
      <w:r w:rsidRPr="005D37F5">
        <w:t xml:space="preserve"> </w:t>
      </w:r>
      <w:proofErr w:type="gramStart"/>
      <w:r w:rsidRPr="005D37F5">
        <w:t>portált</w:t>
      </w:r>
      <w:proofErr w:type="gramEnd"/>
      <w:r w:rsidRPr="005D37F5">
        <w:t>, és nyújtson tájékoztatást arról, hogy a polgárok visszajelzései hogyan járulnak hozzá a kezdeményezésekhez;</w:t>
      </w:r>
    </w:p>
    <w:p w:rsidR="004A24BB" w:rsidRPr="005D37F5" w:rsidRDefault="004A24BB" w:rsidP="004F1AAB">
      <w:pPr>
        <w:pStyle w:val="NormalHanging12a"/>
        <w:widowControl/>
        <w:shd w:val="clear" w:color="auto" w:fill="FFFFFF" w:themeFill="background1"/>
      </w:pPr>
      <w:proofErr w:type="gramStart"/>
      <w:r w:rsidRPr="005D37F5">
        <w:t>27.</w:t>
      </w:r>
      <w:r w:rsidRPr="005D37F5">
        <w:tab/>
        <w:t xml:space="preserve">az összes uniós részvételi eszköz – többek között az európai polgári kezdeményezés, a Parlamenthez benyújtható petíciók, az európai ombudsmanhoz benyújtható panaszok, a nyilvános konzultációk és a civil párbeszédek – egyablakos rendszerének létrehozását, </w:t>
      </w:r>
      <w:r w:rsidRPr="005D37F5">
        <w:lastRenderedPageBreak/>
        <w:t>valamint ezen eszközök hatékonyságának növelését szorgalmazza, különösen annak biztosítása révén, hogy ezek az eszközök hozzájáruljanak az európai menetrend meghatározásához, garantálva egyúttal a képviseleti demokrácia megerősítését a döntéshozatali folyamatban; kéri a Bizottságot, a tagállamokat, valamint a regionális és helyi önkormányzatokat,</w:t>
      </w:r>
      <w:proofErr w:type="gramEnd"/>
      <w:r w:rsidRPr="005D37F5">
        <w:t xml:space="preserve"> </w:t>
      </w:r>
      <w:proofErr w:type="gramStart"/>
      <w:r w:rsidRPr="005D37F5">
        <w:t>hogy</w:t>
      </w:r>
      <w:proofErr w:type="gramEnd"/>
      <w:r w:rsidRPr="005D37F5">
        <w:t xml:space="preserve"> fokozzák arra irányuló erőfeszítéseiket, hogy tájékoztassák a nyilvánosságot a meglévő részvételi eszközökről;</w:t>
      </w:r>
    </w:p>
    <w:p w:rsidR="004A24BB" w:rsidRPr="005D37F5" w:rsidRDefault="004A24BB" w:rsidP="004F1AAB">
      <w:pPr>
        <w:pStyle w:val="NormalHanging12a"/>
        <w:widowControl/>
        <w:shd w:val="clear" w:color="auto" w:fill="FFFFFF" w:themeFill="background1"/>
      </w:pPr>
      <w:proofErr w:type="gramStart"/>
      <w:r w:rsidRPr="005D37F5">
        <w:t>28.</w:t>
      </w:r>
      <w:r w:rsidRPr="005D37F5">
        <w:tab/>
        <w:t>megismétli arra irányuló javaslatát, hogy a képviseleti parlamenti demokrácia kiegészítése, nem pedig felváltása céljából hozzanak létre egy állandó polgári konzultációs mechanizmust, amely lehetővé teszi a polgárok, különösen a fiatalok számára, hogy megvitassák az EU prioritásait és szakpolitikáit, hozzájárulva többek között az „ifjúsági ellenőrzés” jogalkotás során való alkalmazásához; javasolja, hogy a Parlament képviselőit tájékoztassák ezekről a tanácskozásokról, hogy adott esetben értékelhessék a nyomon követés szükségességét;</w:t>
      </w:r>
      <w:proofErr w:type="gramEnd"/>
    </w:p>
    <w:p w:rsidR="004A24BB" w:rsidRPr="005D37F5" w:rsidRDefault="004A24BB" w:rsidP="004F1AAB">
      <w:pPr>
        <w:pStyle w:val="NormalHanging12a"/>
        <w:widowControl/>
      </w:pPr>
      <w:r w:rsidRPr="005D37F5">
        <w:t>29.</w:t>
      </w:r>
      <w:r w:rsidRPr="005D37F5">
        <w:tab/>
        <w:t>javasolja, hogy vegyék fontolóra egy európai polgárkártya bevezetését, amely például megkönnyíthetné a polgársághoz fűződő jogok gyakorlását és az európai választásokon való szavazást, valamint a részvételi eszközök használatát;</w:t>
      </w:r>
    </w:p>
    <w:p w:rsidR="004A24BB" w:rsidRPr="005D37F5" w:rsidRDefault="004A24BB" w:rsidP="004F1AAB">
      <w:pPr>
        <w:pStyle w:val="NormalHanging12a"/>
        <w:widowControl/>
        <w:shd w:val="clear" w:color="auto" w:fill="FFFFFF" w:themeFill="background1"/>
      </w:pPr>
      <w:r w:rsidRPr="005D37F5">
        <w:t>30.</w:t>
      </w:r>
      <w:r w:rsidRPr="005D37F5">
        <w:rPr>
          <w:b/>
          <w:i/>
        </w:rPr>
        <w:tab/>
      </w:r>
      <w:r w:rsidRPr="005D37F5">
        <w:t xml:space="preserve">hangsúlyozza, hogy </w:t>
      </w:r>
      <w:proofErr w:type="gramStart"/>
      <w:r w:rsidRPr="005D37F5">
        <w:t>a</w:t>
      </w:r>
      <w:proofErr w:type="gramEnd"/>
      <w:r w:rsidRPr="005D37F5">
        <w:t xml:space="preserve"> Europe Direct irodák jelentős szerepet játszanak abban, hogy növeljék a polgároknak az EU demokratikus életében való helyi szintű részvételét; arra ösztönzi a tagállamokat és a regionális és helyi szintű szervezeteket, hogy fokozzák az ezen irodákkal folytatott együttműködést;</w:t>
      </w:r>
    </w:p>
    <w:p w:rsidR="004A24BB" w:rsidRPr="005D37F5" w:rsidRDefault="004A24BB" w:rsidP="004F1AAB">
      <w:pPr>
        <w:pStyle w:val="NormalHanging12a"/>
        <w:widowControl/>
      </w:pPr>
      <w:proofErr w:type="gramStart"/>
      <w:r w:rsidRPr="005D37F5">
        <w:t>31.</w:t>
      </w:r>
      <w:r w:rsidRPr="005D37F5">
        <w:rPr>
          <w:b/>
          <w:i/>
        </w:rPr>
        <w:tab/>
      </w:r>
      <w:r w:rsidRPr="005D37F5">
        <w:t>kéri a Bizottságot, hogy fokozza a közösségi média és a digitális eszközök használatát, különös tekintettel a fiatalok és a fogyatékossággal élő személyek demokratikus folyamatokba való bevonásának fokozására, ezáltal elősegítve szerepvállalásukat, ugyanakkor azt is elismerve, hogy a tagállamokban az európai választásokon alacsonyabb a választójogi korhatár; e tekintetben arra kéri a Bizottságot, hogy a polgárokkal folytatott párbeszéd fokozása és a polgárok figyelmének az uniós jogszabályok mindennapi életükre gyakorolt hatására való felhívása révén támogassa a demokratikus részvétel előmozdítását;</w:t>
      </w:r>
      <w:proofErr w:type="gramEnd"/>
    </w:p>
    <w:p w:rsidR="004A24BB" w:rsidRPr="005D37F5" w:rsidRDefault="004A24BB" w:rsidP="004F1AAB">
      <w:pPr>
        <w:pStyle w:val="NormalHanging12a"/>
        <w:widowControl/>
      </w:pPr>
      <w:proofErr w:type="gramStart"/>
      <w:r w:rsidRPr="005D37F5">
        <w:t>32.</w:t>
      </w:r>
      <w:r w:rsidRPr="005D37F5">
        <w:rPr>
          <w:b/>
          <w:i/>
        </w:rPr>
        <w:tab/>
      </w:r>
      <w:r w:rsidRPr="005D37F5">
        <w:t>úgy véli, hogy a digitális tér, különösen a közösségi média és a mesterséges intelligencia polgárok életére gyakorolt növekvő hatásának fényében továbbra is elengedhetetlen, hogy a tagállamok és az európai intézmények a továbbiakban is az új közpolitikák kialakítására, valamint az alapvető jogok online térben való védelmére és a külföldi beavatkozás és dezinformáció elleni küzdelemre irányuló hatékony mechanizmusok végrehajtására összpontosítsanak, mivel ezek egzisztenciális fenyegetést jelentenek a demokráciára és a polgárok jogainak gyakorlására nézve;</w:t>
      </w:r>
      <w:proofErr w:type="gramEnd"/>
    </w:p>
    <w:p w:rsidR="004A24BB" w:rsidRPr="005D37F5" w:rsidRDefault="004A24BB" w:rsidP="004F1AAB">
      <w:pPr>
        <w:widowControl/>
        <w:spacing w:after="240"/>
        <w:ind w:left="567" w:hanging="567"/>
        <w:rPr>
          <w:rFonts w:eastAsiaTheme="minorHAnsi" w:cstheme="minorBidi"/>
          <w:szCs w:val="22"/>
        </w:rPr>
      </w:pPr>
      <w:r w:rsidRPr="005D37F5">
        <w:t>33.</w:t>
      </w:r>
      <w:r w:rsidRPr="005D37F5">
        <w:tab/>
        <w:t>sürgeti a Tanácsot és a Bizottságot, hogy kezdjék újra az 1049/2001/EK rendelet</w:t>
      </w:r>
      <w:r w:rsidRPr="005D37F5">
        <w:rPr>
          <w:rFonts w:eastAsiaTheme="minorHAnsi" w:cstheme="minorBidi"/>
          <w:szCs w:val="22"/>
          <w:vertAlign w:val="superscript"/>
          <w:lang w:eastAsia="en-US"/>
        </w:rPr>
        <w:footnoteReference w:id="26"/>
      </w:r>
      <w:r w:rsidRPr="005D37F5">
        <w:t xml:space="preserve"> felülvizsgálatáról szóló tárgyalásokat annak biztosítása érdekében, hogy az uniós polgárok teljes mértékben gyakorolhassák a </w:t>
      </w:r>
      <w:proofErr w:type="gramStart"/>
      <w:r w:rsidRPr="005D37F5">
        <w:t>dokumentumokhoz</w:t>
      </w:r>
      <w:proofErr w:type="gramEnd"/>
      <w:r w:rsidRPr="005D37F5">
        <w:t xml:space="preserve"> való hozzáférési jogukat, és ellenőrizhessék az uniós intézményeket, szerveket, hivatalokat és ügynökségeket;</w:t>
      </w:r>
    </w:p>
    <w:p w:rsidR="004A24BB" w:rsidRPr="005D37F5" w:rsidRDefault="004A24BB" w:rsidP="004F1AAB">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rStyle w:val="doceo-font-family-base"/>
          <w:rFonts w:eastAsiaTheme="minorHAnsi"/>
          <w:b w:val="0"/>
          <w:color w:val="000000"/>
          <w:szCs w:val="24"/>
        </w:rPr>
      </w:pPr>
      <w:r w:rsidRPr="005D37F5">
        <w:rPr>
          <w:rStyle w:val="doceo-font-family-base"/>
          <w:b w:val="0"/>
          <w:color w:val="000000"/>
        </w:rPr>
        <w:lastRenderedPageBreak/>
        <w:t>34.</w:t>
      </w:r>
      <w:r w:rsidRPr="005D37F5">
        <w:rPr>
          <w:rStyle w:val="doceo-font-family-base"/>
          <w:color w:val="000000"/>
        </w:rPr>
        <w:tab/>
      </w:r>
      <w:r w:rsidRPr="005D37F5">
        <w:rPr>
          <w:b w:val="0"/>
        </w:rPr>
        <w:t xml:space="preserve">megismétli, hogy az EUMSZ 25. cikke alapján olyan uniós polgársági alapokmányt kell kidolgozni, amely összegyűjti a meglévő és jövőbeli polgársághoz fűződő jogokat annak érdekében, hogy erősítsék a polgársághoz fűződő jogok hatékony érvényesíthetőségét és biztosítsák a polgárok egyenlőségét, ily módon javítva a </w:t>
      </w:r>
      <w:proofErr w:type="gramStart"/>
      <w:r w:rsidRPr="005D37F5">
        <w:rPr>
          <w:b w:val="0"/>
        </w:rPr>
        <w:t>kohéziót</w:t>
      </w:r>
      <w:proofErr w:type="gramEnd"/>
      <w:r w:rsidRPr="005D37F5">
        <w:rPr>
          <w:b w:val="0"/>
        </w:rPr>
        <w:t xml:space="preserve"> és válasszal szolgálva a társadalmi, gazdasági, politikai és digitális változásokra; emlékeztet arra, hogy ezt a Szerződések keretén belül kell megvalósítani</w:t>
      </w:r>
      <w:r w:rsidRPr="005D37F5">
        <w:rPr>
          <w:rStyle w:val="doceo-font-family-base"/>
          <w:b w:val="0"/>
          <w:color w:val="000000"/>
        </w:rPr>
        <w:t>;</w:t>
      </w:r>
    </w:p>
    <w:p w:rsidR="004A24BB" w:rsidRPr="005D37F5" w:rsidRDefault="004A24BB" w:rsidP="004F1AAB">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rPr>
          <w:b w:val="0"/>
        </w:rPr>
      </w:pPr>
      <w:r w:rsidRPr="005D37F5">
        <w:rPr>
          <w:b w:val="0"/>
        </w:rPr>
        <w:t>35.</w:t>
      </w:r>
      <w:r w:rsidRPr="005D37F5">
        <w:rPr>
          <w:b w:val="0"/>
        </w:rPr>
        <w:tab/>
        <w:t>javasolja, hogy a részvétel és a politikai jogok, a mozgás szabadsága és a digitális polgárság területén, a hatályos és a jövőbeli uniós jogszabályokkal összhangban a polgárok különösen a következőkhöz rendelkezzenek jogokkal:</w:t>
      </w:r>
    </w:p>
    <w:p w:rsidR="004A24BB" w:rsidRPr="005D37F5" w:rsidRDefault="004A24BB" w:rsidP="004F1AAB">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1134" w:hanging="567"/>
        <w:rPr>
          <w:b w:val="0"/>
        </w:rPr>
      </w:pPr>
      <w:r w:rsidRPr="005D37F5">
        <w:rPr>
          <w:b w:val="0"/>
        </w:rPr>
        <w:t>–</w:t>
      </w:r>
      <w:r w:rsidR="004F1AAB">
        <w:rPr>
          <w:b w:val="0"/>
        </w:rPr>
        <w:tab/>
      </w:r>
      <w:r w:rsidRPr="005D37F5">
        <w:rPr>
          <w:b w:val="0"/>
        </w:rPr>
        <w:t>a választási listákon a nemi szempontból kiegyensúlyozott demokratikus képviselet</w:t>
      </w:r>
      <w:r w:rsidR="00917E0C">
        <w:rPr>
          <w:b w:val="0"/>
        </w:rPr>
        <w:t>,</w:t>
      </w:r>
    </w:p>
    <w:p w:rsidR="004A24BB" w:rsidRPr="005D37F5" w:rsidRDefault="004A24BB" w:rsidP="004F1AAB">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1134" w:hanging="567"/>
        <w:rPr>
          <w:b w:val="0"/>
        </w:rPr>
      </w:pPr>
      <w:r w:rsidRPr="005D37F5">
        <w:rPr>
          <w:b w:val="0"/>
        </w:rPr>
        <w:t>–</w:t>
      </w:r>
      <w:r w:rsidR="004F1AAB">
        <w:rPr>
          <w:b w:val="0"/>
        </w:rPr>
        <w:tab/>
      </w:r>
      <w:r w:rsidRPr="005D37F5">
        <w:rPr>
          <w:b w:val="0"/>
        </w:rPr>
        <w:t>állandó interaktív digitális platform, amelyen keresztül a polgárok az összes hivatalos uniós nyelven benyújthatják javaslataikat és ötleteiket</w:t>
      </w:r>
      <w:r w:rsidR="00917E0C">
        <w:rPr>
          <w:b w:val="0"/>
        </w:rPr>
        <w:t>,</w:t>
      </w:r>
    </w:p>
    <w:p w:rsidR="004A24BB" w:rsidRPr="005D37F5" w:rsidRDefault="004A24BB" w:rsidP="004F1AAB">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1134" w:hanging="567"/>
        <w:rPr>
          <w:b w:val="0"/>
        </w:rPr>
      </w:pPr>
      <w:r w:rsidRPr="005D37F5">
        <w:rPr>
          <w:b w:val="0"/>
        </w:rPr>
        <w:t>–</w:t>
      </w:r>
      <w:r w:rsidR="004F1AAB">
        <w:rPr>
          <w:b w:val="0"/>
        </w:rPr>
        <w:tab/>
      </w:r>
      <w:r w:rsidRPr="005D37F5">
        <w:rPr>
          <w:b w:val="0"/>
        </w:rPr>
        <w:t xml:space="preserve">a képesítéseken és szakmai </w:t>
      </w:r>
      <w:proofErr w:type="gramStart"/>
      <w:r w:rsidRPr="005D37F5">
        <w:rPr>
          <w:b w:val="0"/>
        </w:rPr>
        <w:t>kompetenciákon</w:t>
      </w:r>
      <w:proofErr w:type="gramEnd"/>
      <w:r w:rsidRPr="005D37F5">
        <w:rPr>
          <w:b w:val="0"/>
        </w:rPr>
        <w:t xml:space="preserve"> felül a tanulmányi időszakok egyenértékűként való elismerése, lehetővé téve a más tagállamban való munkavállalást</w:t>
      </w:r>
      <w:r w:rsidR="00917E0C">
        <w:rPr>
          <w:b w:val="0"/>
        </w:rPr>
        <w:t>,</w:t>
      </w:r>
    </w:p>
    <w:p w:rsidR="004A24BB" w:rsidRPr="005D37F5" w:rsidRDefault="004A24BB" w:rsidP="004F1AAB">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1134" w:hanging="567"/>
        <w:rPr>
          <w:b w:val="0"/>
        </w:rPr>
      </w:pPr>
      <w:r w:rsidRPr="005D37F5">
        <w:rPr>
          <w:b w:val="0"/>
        </w:rPr>
        <w:t>–</w:t>
      </w:r>
      <w:r w:rsidR="004F1AAB">
        <w:rPr>
          <w:b w:val="0"/>
        </w:rPr>
        <w:tab/>
      </w:r>
      <w:r w:rsidRPr="005D37F5">
        <w:rPr>
          <w:b w:val="0"/>
        </w:rPr>
        <w:t>az egyetemes internet-hozzáférés, hogy biztosítsák a polgárok bevonását és digitális környezethez való egyenlő hozzáférését</w:t>
      </w:r>
      <w:r w:rsidR="00917E0C">
        <w:rPr>
          <w:b w:val="0"/>
        </w:rPr>
        <w:t>,</w:t>
      </w:r>
    </w:p>
    <w:p w:rsidR="004A24BB" w:rsidRPr="005D37F5" w:rsidRDefault="004A24BB" w:rsidP="004F1AAB">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1134" w:hanging="567"/>
        <w:rPr>
          <w:b w:val="0"/>
        </w:rPr>
      </w:pPr>
      <w:r w:rsidRPr="005D37F5">
        <w:rPr>
          <w:b w:val="0"/>
        </w:rPr>
        <w:t>–</w:t>
      </w:r>
      <w:r w:rsidR="004F1AAB">
        <w:rPr>
          <w:b w:val="0"/>
        </w:rPr>
        <w:tab/>
      </w:r>
      <w:r w:rsidRPr="005D37F5">
        <w:rPr>
          <w:b w:val="0"/>
        </w:rPr>
        <w:t>a saját digitális identitás kezelése, amely túlmutat a személyes adatok digitális környezeten belül már biztosított védelmén</w:t>
      </w:r>
      <w:r w:rsidR="00917E0C">
        <w:rPr>
          <w:b w:val="0"/>
        </w:rPr>
        <w:t>,</w:t>
      </w:r>
    </w:p>
    <w:p w:rsidR="004A24BB" w:rsidRPr="005D37F5" w:rsidRDefault="004A24BB" w:rsidP="004F1AAB">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1134" w:hanging="567"/>
        <w:rPr>
          <w:b w:val="0"/>
        </w:rPr>
      </w:pPr>
      <w:r w:rsidRPr="005D37F5">
        <w:rPr>
          <w:b w:val="0"/>
        </w:rPr>
        <w:t>–</w:t>
      </w:r>
      <w:r w:rsidR="004F1AAB">
        <w:rPr>
          <w:b w:val="0"/>
        </w:rPr>
        <w:tab/>
      </w:r>
      <w:r w:rsidRPr="005D37F5">
        <w:rPr>
          <w:b w:val="0"/>
        </w:rPr>
        <w:t>az elhunyt személy digitális adatait érintő digitális öröksége</w:t>
      </w:r>
      <w:r w:rsidR="00917E0C">
        <w:rPr>
          <w:b w:val="0"/>
        </w:rPr>
        <w:t>,</w:t>
      </w:r>
    </w:p>
    <w:p w:rsidR="004A24BB" w:rsidRPr="005D37F5" w:rsidRDefault="004A24BB" w:rsidP="004F1AAB">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1134" w:hanging="567"/>
        <w:rPr>
          <w:b w:val="0"/>
        </w:rPr>
      </w:pPr>
      <w:r w:rsidRPr="005D37F5">
        <w:rPr>
          <w:b w:val="0"/>
        </w:rPr>
        <w:t>–</w:t>
      </w:r>
      <w:r w:rsidR="004F1AAB">
        <w:rPr>
          <w:b w:val="0"/>
        </w:rPr>
        <w:tab/>
      </w:r>
      <w:r w:rsidRPr="005D37F5">
        <w:rPr>
          <w:b w:val="0"/>
        </w:rPr>
        <w:t>olyan mesterségesintelligencia-rendszerek fejlesztése, amelyek biztonságosak, átláthatóak és nyomon követhetőek, és amelyeket emberek és szabályozó szervek felügyelnek;</w:t>
      </w:r>
    </w:p>
    <w:p w:rsidR="004A24BB" w:rsidRPr="005D37F5" w:rsidRDefault="004A24BB" w:rsidP="004F1AAB">
      <w:pPr>
        <w:pStyle w:val="NormalHanging12a"/>
        <w:widowControl/>
        <w:rPr>
          <w:rStyle w:val="doceo-font-family-base"/>
          <w:color w:val="000000"/>
          <w:u w:val="single"/>
        </w:rPr>
      </w:pPr>
      <w:r w:rsidRPr="005D37F5">
        <w:rPr>
          <w:rStyle w:val="doceo-font-family-base"/>
          <w:color w:val="000000"/>
        </w:rPr>
        <w:t>36.</w:t>
      </w:r>
      <w:r w:rsidRPr="005D37F5">
        <w:rPr>
          <w:rStyle w:val="doceo-font-family-base"/>
          <w:color w:val="000000"/>
        </w:rPr>
        <w:tab/>
      </w:r>
      <w:r w:rsidRPr="005D37F5">
        <w:t xml:space="preserve">kéri, hogy az uniós polgársági alapokmányba építsenek be egy </w:t>
      </w:r>
      <w:proofErr w:type="gramStart"/>
      <w:r w:rsidRPr="005D37F5">
        <w:t>horizontális</w:t>
      </w:r>
      <w:proofErr w:type="gramEnd"/>
      <w:r w:rsidRPr="005D37F5">
        <w:t xml:space="preserve"> megkülönböztetésmentességi záradékot, amely a polgársághoz fűződő jogok gyakorlása során az egyenlőség további biztosítékaként garantálja a megkülönböztetésmentességet és a polgárok – különösen a kiszolgáltatott és marginalizált csoportok tagjainak és a határon átnyúló uniós régiókban élő személyek – védelmét;</w:t>
      </w:r>
    </w:p>
    <w:p w:rsidR="004A24BB" w:rsidRPr="005D37F5" w:rsidRDefault="004A24BB" w:rsidP="004F1AAB">
      <w:pPr>
        <w:pStyle w:val="NormalHanging12a"/>
        <w:widowControl/>
        <w:rPr>
          <w:rStyle w:val="doceo-font-family-base"/>
          <w:color w:val="000000"/>
          <w:szCs w:val="24"/>
        </w:rPr>
      </w:pPr>
      <w:r w:rsidRPr="005D37F5">
        <w:rPr>
          <w:rStyle w:val="doceo-font-family-base"/>
          <w:color w:val="000000"/>
        </w:rPr>
        <w:t>37.</w:t>
      </w:r>
      <w:r w:rsidRPr="005D37F5">
        <w:rPr>
          <w:rStyle w:val="doceo-font-family-base"/>
          <w:color w:val="000000"/>
        </w:rPr>
        <w:tab/>
        <w:t>kéri a Bizottságot, hogy folytasson célzott figyelemfelhívó kampányokat</w:t>
      </w:r>
      <w:r w:rsidRPr="005D37F5">
        <w:t xml:space="preserve"> az </w:t>
      </w:r>
      <w:r w:rsidRPr="005D37F5">
        <w:rPr>
          <w:rStyle w:val="doceo-font-family-base"/>
          <w:color w:val="000000"/>
        </w:rPr>
        <w:t>uniós polgárságból és az alapokmányból eredő jogokkal és polgári kötelezettségekkel kapcsolatban, többek között az uniós polgársággal kapcsolatos tájékoztatásra irányuló uniós csomag bevezetése révén, valamint fordítson több forrást az uniós polgárságra; hangsúlyozza, hogy a digitális és technológiai forradalommal a polgárok váltak demokratikus rendszereink valódi pilléreivé, és ők lesznek azok, akik megvédik azokat;</w:t>
      </w:r>
    </w:p>
    <w:p w:rsidR="004A24BB" w:rsidRPr="005D37F5" w:rsidRDefault="004A24BB" w:rsidP="004F1AAB">
      <w:pPr>
        <w:pStyle w:val="NormalHanging12a"/>
        <w:widowControl/>
        <w:rPr>
          <w:rStyle w:val="doceo-font-family-base"/>
          <w:color w:val="000000"/>
          <w:szCs w:val="24"/>
        </w:rPr>
      </w:pPr>
      <w:r w:rsidRPr="005D37F5">
        <w:rPr>
          <w:rStyle w:val="doceo-font-family-base"/>
          <w:color w:val="000000"/>
        </w:rPr>
        <w:t>38.</w:t>
      </w:r>
      <w:r w:rsidRPr="005D37F5">
        <w:rPr>
          <w:rStyle w:val="doceo-font-family-base"/>
          <w:color w:val="000000"/>
        </w:rPr>
        <w:tab/>
      </w:r>
      <w:r w:rsidR="00BB76BB" w:rsidRPr="00917E0C">
        <w:rPr>
          <w:color w:val="000000"/>
        </w:rPr>
        <w:t>tudomásul veszi az uniós polgársági csomagot, különösen az uniós polgárságról szóló 2023. évi jelentést, amelyet a Bizottság 2023. december 6-án tett közzé az uniós polgárság további előmozdítása érdekében, és azért, hogy annak előnyeit kézzelfoghatóbbá tegye az uniós polgárok számára; felszólítja a Bizottságot</w:t>
      </w:r>
      <w:r w:rsidR="00BB76BB" w:rsidRPr="00BB76BB">
        <w:rPr>
          <w:color w:val="000000"/>
        </w:rPr>
        <w:t xml:space="preserve">, </w:t>
      </w:r>
      <w:r w:rsidR="00BB76BB" w:rsidRPr="00917E0C">
        <w:rPr>
          <w:color w:val="000000"/>
        </w:rPr>
        <w:t>hogy vegye figyelembe az e</w:t>
      </w:r>
      <w:r w:rsidR="00BB76BB" w:rsidRPr="00BB76BB">
        <w:rPr>
          <w:color w:val="000000"/>
        </w:rPr>
        <w:t xml:space="preserve"> jelentésében</w:t>
      </w:r>
      <w:r w:rsidR="00BB76BB" w:rsidRPr="00917E0C">
        <w:rPr>
          <w:color w:val="000000"/>
        </w:rPr>
        <w:t xml:space="preserve"> foglalt ajánlásokat, és tegye meg a végrehajtásukhoz szükséges lépéseket a Szerződésekben meghatározott eljárást követve;</w:t>
      </w:r>
    </w:p>
    <w:p w:rsidR="004A24BB" w:rsidRPr="005D37F5" w:rsidRDefault="004A24BB" w:rsidP="004F1AAB">
      <w:pPr>
        <w:pStyle w:val="NormalHanging12a"/>
        <w:widowControl/>
      </w:pPr>
      <w:r w:rsidRPr="005D37F5">
        <w:rPr>
          <w:rStyle w:val="doceo-font-family-base"/>
          <w:color w:val="000000"/>
        </w:rPr>
        <w:lastRenderedPageBreak/>
        <w:t>39.</w:t>
      </w:r>
      <w:r w:rsidRPr="005D37F5">
        <w:rPr>
          <w:rStyle w:val="doceo-font-family-base"/>
          <w:color w:val="000000"/>
        </w:rPr>
        <w:tab/>
        <w:t>i</w:t>
      </w:r>
      <w:r w:rsidRPr="005D37F5">
        <w:t>smételten kéri a Szerződések felülvizsgálatát végző konvent összehívását az EUSZ 48. cikkében foglaltaknak megfelelően; határozottan úgy véli, hogy a konventnek alaposan fel kell mérnie, hogyan lehetne az uniós polgárságot tovább erősíteni;</w:t>
      </w:r>
    </w:p>
    <w:p w:rsidR="004A24BB" w:rsidRPr="005D37F5" w:rsidRDefault="004A24BB" w:rsidP="004F1AAB">
      <w:pPr>
        <w:pStyle w:val="NormalHanging12a"/>
        <w:widowControl/>
        <w:jc w:val="center"/>
      </w:pPr>
      <w:r w:rsidRPr="005D37F5">
        <w:t>°</w:t>
      </w:r>
    </w:p>
    <w:p w:rsidR="004A24BB" w:rsidRPr="005D37F5" w:rsidRDefault="004A24BB" w:rsidP="004F1AAB">
      <w:pPr>
        <w:pStyle w:val="NormalHanging12a"/>
        <w:widowControl/>
        <w:jc w:val="center"/>
      </w:pPr>
      <w:r w:rsidRPr="005D37F5">
        <w:t>°</w:t>
      </w:r>
      <w:r w:rsidRPr="005D37F5">
        <w:tab/>
        <w:t>°</w:t>
      </w:r>
    </w:p>
    <w:p w:rsidR="00E365E1" w:rsidRPr="005D37F5" w:rsidRDefault="004A24BB" w:rsidP="004F1AAB">
      <w:pPr>
        <w:widowControl/>
        <w:spacing w:after="240"/>
        <w:ind w:left="567" w:hanging="567"/>
      </w:pPr>
      <w:r w:rsidRPr="005D37F5">
        <w:t>40.</w:t>
      </w:r>
      <w:r w:rsidRPr="005D37F5">
        <w:tab/>
        <w:t>utasítja elnökét, hogy továbbítsa ezt az állásfoglalást a Tanácsnak és a Bizottságnak.</w:t>
      </w:r>
      <w:bookmarkStart w:id="9" w:name="TextBodyEnd"/>
      <w:bookmarkEnd w:id="9"/>
    </w:p>
    <w:sectPr w:rsidR="00E365E1" w:rsidRPr="005D37F5" w:rsidSect="005D37F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26DC" w:rsidRPr="005D37F5" w:rsidRDefault="006226DC">
      <w:r w:rsidRPr="005D37F5">
        <w:separator/>
      </w:r>
    </w:p>
  </w:endnote>
  <w:endnote w:type="continuationSeparator" w:id="0">
    <w:p w:rsidR="006226DC" w:rsidRPr="005D37F5" w:rsidRDefault="006226DC">
      <w:r w:rsidRPr="005D37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37F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37F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37F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26DC" w:rsidRPr="005D37F5" w:rsidRDefault="006226DC">
      <w:r w:rsidRPr="005D37F5">
        <w:separator/>
      </w:r>
    </w:p>
  </w:footnote>
  <w:footnote w:type="continuationSeparator" w:id="0">
    <w:p w:rsidR="006226DC" w:rsidRPr="005D37F5" w:rsidRDefault="006226DC">
      <w:r w:rsidRPr="005D37F5">
        <w:continuationSeparator/>
      </w:r>
    </w:p>
  </w:footnote>
  <w:footnote w:id="1">
    <w:p w:rsidR="004A24BB" w:rsidRPr="005D37F5" w:rsidRDefault="004A24BB" w:rsidP="005D37F5">
      <w:pPr>
        <w:pStyle w:val="FootnoteText"/>
        <w:ind w:left="567" w:hanging="567"/>
        <w:rPr>
          <w:sz w:val="24"/>
          <w:lang w:val="hu-HU"/>
        </w:rPr>
      </w:pPr>
      <w:r w:rsidRPr="005D37F5">
        <w:rPr>
          <w:rStyle w:val="FootnoteReference"/>
          <w:sz w:val="24"/>
          <w:lang w:val="hu-HU"/>
        </w:rPr>
        <w:footnoteRef/>
      </w:r>
      <w:r w:rsidR="005D37F5" w:rsidRPr="005D37F5">
        <w:rPr>
          <w:sz w:val="24"/>
          <w:lang w:val="hu-HU"/>
        </w:rPr>
        <w:t xml:space="preserve"> </w:t>
      </w:r>
      <w:r w:rsidR="005D37F5" w:rsidRPr="005D37F5">
        <w:rPr>
          <w:sz w:val="24"/>
          <w:lang w:val="hu-HU"/>
        </w:rPr>
        <w:tab/>
      </w:r>
      <w:r w:rsidRPr="005D37F5">
        <w:rPr>
          <w:sz w:val="24"/>
          <w:lang w:val="hu-HU"/>
        </w:rPr>
        <w:t>HL L 158., 2004.4.30</w:t>
      </w:r>
      <w:proofErr w:type="gramStart"/>
      <w:r w:rsidRPr="005D37F5">
        <w:rPr>
          <w:sz w:val="24"/>
          <w:lang w:val="hu-HU"/>
        </w:rPr>
        <w:t>.,</w:t>
      </w:r>
      <w:proofErr w:type="gramEnd"/>
      <w:r w:rsidRPr="005D37F5">
        <w:rPr>
          <w:sz w:val="24"/>
          <w:lang w:val="hu-HU"/>
        </w:rPr>
        <w:t xml:space="preserve"> 77. o.</w:t>
      </w:r>
    </w:p>
  </w:footnote>
  <w:footnote w:id="2">
    <w:p w:rsidR="004A24BB" w:rsidRPr="005D37F5" w:rsidRDefault="004A24BB" w:rsidP="005D37F5">
      <w:pPr>
        <w:pStyle w:val="FootnoteText"/>
        <w:ind w:left="567" w:hanging="567"/>
        <w:rPr>
          <w:sz w:val="24"/>
          <w:lang w:val="hu-HU"/>
        </w:rPr>
      </w:pPr>
      <w:r w:rsidRPr="005D37F5">
        <w:rPr>
          <w:rStyle w:val="FootnoteReference"/>
          <w:sz w:val="24"/>
          <w:lang w:val="hu-HU"/>
        </w:rPr>
        <w:footnoteRef/>
      </w:r>
      <w:r w:rsidR="005D37F5" w:rsidRPr="005D37F5">
        <w:rPr>
          <w:sz w:val="24"/>
          <w:lang w:val="hu-HU"/>
        </w:rPr>
        <w:t xml:space="preserve"> </w:t>
      </w:r>
      <w:r w:rsidR="005D37F5" w:rsidRPr="005D37F5">
        <w:rPr>
          <w:sz w:val="24"/>
          <w:lang w:val="hu-HU"/>
        </w:rPr>
        <w:tab/>
      </w:r>
      <w:r w:rsidRPr="005D37F5">
        <w:rPr>
          <w:sz w:val="24"/>
          <w:lang w:val="hu-HU"/>
        </w:rPr>
        <w:t>HL L 156., 2021.5.5</w:t>
      </w:r>
      <w:proofErr w:type="gramStart"/>
      <w:r w:rsidRPr="005D37F5">
        <w:rPr>
          <w:sz w:val="24"/>
          <w:lang w:val="hu-HU"/>
        </w:rPr>
        <w:t>.,</w:t>
      </w:r>
      <w:proofErr w:type="gramEnd"/>
      <w:r w:rsidRPr="005D37F5">
        <w:rPr>
          <w:sz w:val="24"/>
          <w:lang w:val="hu-HU"/>
        </w:rPr>
        <w:t xml:space="preserve"> 1. o</w:t>
      </w:r>
      <w:r w:rsidRPr="005D37F5">
        <w:rPr>
          <w:rStyle w:val="Emphasis"/>
          <w:color w:val="333333"/>
          <w:sz w:val="24"/>
          <w:shd w:val="clear" w:color="auto" w:fill="FFFFFF"/>
          <w:lang w:val="hu-HU"/>
        </w:rPr>
        <w:t>.</w:t>
      </w:r>
    </w:p>
  </w:footnote>
  <w:footnote w:id="3">
    <w:p w:rsidR="004A24BB" w:rsidRPr="005D37F5" w:rsidRDefault="004A24BB" w:rsidP="005D37F5">
      <w:pPr>
        <w:pStyle w:val="FootnoteText"/>
        <w:ind w:left="567" w:hanging="567"/>
        <w:rPr>
          <w:sz w:val="24"/>
          <w:lang w:val="hu-HU"/>
        </w:rPr>
      </w:pPr>
      <w:r w:rsidRPr="005D37F5">
        <w:rPr>
          <w:rStyle w:val="FootnoteReference"/>
          <w:sz w:val="24"/>
          <w:lang w:val="hu-HU"/>
        </w:rPr>
        <w:footnoteRef/>
      </w:r>
      <w:r w:rsidR="005D37F5" w:rsidRPr="005D37F5">
        <w:rPr>
          <w:sz w:val="24"/>
          <w:lang w:val="hu-HU"/>
        </w:rPr>
        <w:t xml:space="preserve"> </w:t>
      </w:r>
      <w:r w:rsidR="005D37F5" w:rsidRPr="005D37F5">
        <w:rPr>
          <w:sz w:val="24"/>
          <w:lang w:val="hu-HU"/>
        </w:rPr>
        <w:tab/>
      </w:r>
      <w:r w:rsidRPr="005D37F5">
        <w:rPr>
          <w:sz w:val="24"/>
          <w:lang w:val="hu-HU"/>
        </w:rPr>
        <w:t>HL L 141., 2011.5.27</w:t>
      </w:r>
      <w:proofErr w:type="gramStart"/>
      <w:r w:rsidRPr="005D37F5">
        <w:rPr>
          <w:sz w:val="24"/>
          <w:lang w:val="hu-HU"/>
        </w:rPr>
        <w:t>.,</w:t>
      </w:r>
      <w:proofErr w:type="gramEnd"/>
      <w:r w:rsidRPr="005D37F5">
        <w:rPr>
          <w:sz w:val="24"/>
          <w:lang w:val="hu-HU"/>
        </w:rPr>
        <w:t xml:space="preserve"> 1. o.</w:t>
      </w:r>
    </w:p>
  </w:footnote>
  <w:footnote w:id="4">
    <w:p w:rsidR="004A24BB" w:rsidRPr="005D37F5" w:rsidRDefault="004A24BB" w:rsidP="005D37F5">
      <w:pPr>
        <w:pStyle w:val="FootnoteText"/>
        <w:ind w:left="567" w:hanging="567"/>
        <w:rPr>
          <w:sz w:val="24"/>
          <w:lang w:val="hu-HU"/>
        </w:rPr>
      </w:pPr>
      <w:r w:rsidRPr="005D37F5">
        <w:rPr>
          <w:rStyle w:val="FootnoteReference"/>
          <w:sz w:val="24"/>
          <w:lang w:val="hu-HU"/>
        </w:rPr>
        <w:footnoteRef/>
      </w:r>
      <w:r w:rsidR="005D37F5" w:rsidRPr="005D37F5">
        <w:rPr>
          <w:sz w:val="24"/>
          <w:lang w:val="hu-HU"/>
        </w:rPr>
        <w:t xml:space="preserve"> </w:t>
      </w:r>
      <w:r w:rsidR="005D37F5" w:rsidRPr="005D37F5">
        <w:rPr>
          <w:sz w:val="24"/>
          <w:lang w:val="hu-HU"/>
        </w:rPr>
        <w:tab/>
      </w:r>
      <w:r w:rsidRPr="005D37F5">
        <w:rPr>
          <w:sz w:val="24"/>
          <w:lang w:val="hu-HU"/>
        </w:rPr>
        <w:t>HL L 186., 2019.7.11</w:t>
      </w:r>
      <w:proofErr w:type="gramStart"/>
      <w:r w:rsidRPr="005D37F5">
        <w:rPr>
          <w:sz w:val="24"/>
          <w:lang w:val="hu-HU"/>
        </w:rPr>
        <w:t>.,</w:t>
      </w:r>
      <w:proofErr w:type="gramEnd"/>
      <w:r w:rsidRPr="005D37F5">
        <w:rPr>
          <w:sz w:val="24"/>
          <w:lang w:val="hu-HU"/>
        </w:rPr>
        <w:t xml:space="preserve"> 21. o.</w:t>
      </w:r>
    </w:p>
  </w:footnote>
  <w:footnote w:id="5">
    <w:p w:rsidR="004A24BB" w:rsidRPr="005D37F5" w:rsidRDefault="004A24BB" w:rsidP="005D37F5">
      <w:pPr>
        <w:pStyle w:val="FootnoteText"/>
        <w:ind w:left="567" w:hanging="567"/>
        <w:rPr>
          <w:sz w:val="24"/>
          <w:lang w:val="hu-HU"/>
        </w:rPr>
      </w:pPr>
      <w:r w:rsidRPr="005D37F5">
        <w:rPr>
          <w:rStyle w:val="FootnoteReference"/>
          <w:sz w:val="24"/>
          <w:lang w:val="hu-HU"/>
        </w:rPr>
        <w:footnoteRef/>
      </w:r>
      <w:r w:rsidR="005D37F5" w:rsidRPr="005D37F5">
        <w:rPr>
          <w:sz w:val="24"/>
          <w:lang w:val="hu-HU"/>
        </w:rPr>
        <w:t xml:space="preserve"> </w:t>
      </w:r>
      <w:r w:rsidR="005D37F5" w:rsidRPr="005D37F5">
        <w:rPr>
          <w:sz w:val="24"/>
          <w:lang w:val="hu-HU"/>
        </w:rPr>
        <w:tab/>
      </w:r>
      <w:r w:rsidRPr="005D37F5">
        <w:rPr>
          <w:sz w:val="24"/>
          <w:lang w:val="hu-HU"/>
        </w:rPr>
        <w:t>HL L 173., 2018.7.9</w:t>
      </w:r>
      <w:proofErr w:type="gramStart"/>
      <w:r w:rsidRPr="005D37F5">
        <w:rPr>
          <w:sz w:val="24"/>
          <w:lang w:val="hu-HU"/>
        </w:rPr>
        <w:t>.,</w:t>
      </w:r>
      <w:proofErr w:type="gramEnd"/>
      <w:r w:rsidRPr="005D37F5">
        <w:rPr>
          <w:sz w:val="24"/>
          <w:lang w:val="hu-HU"/>
        </w:rPr>
        <w:t xml:space="preserve"> 16. o.</w:t>
      </w:r>
    </w:p>
  </w:footnote>
  <w:footnote w:id="6">
    <w:p w:rsidR="004A24BB" w:rsidRPr="005D37F5" w:rsidRDefault="004A24BB" w:rsidP="005D37F5">
      <w:pPr>
        <w:pStyle w:val="FootnoteText"/>
        <w:ind w:left="567" w:hanging="567"/>
        <w:rPr>
          <w:sz w:val="24"/>
          <w:lang w:val="hu-HU"/>
        </w:rPr>
      </w:pPr>
      <w:r w:rsidRPr="005D37F5">
        <w:rPr>
          <w:rStyle w:val="FootnoteReference"/>
          <w:sz w:val="24"/>
          <w:lang w:val="hu-HU"/>
        </w:rPr>
        <w:footnoteRef/>
      </w:r>
      <w:r w:rsidR="005D37F5" w:rsidRPr="005D37F5">
        <w:rPr>
          <w:sz w:val="24"/>
          <w:lang w:val="hu-HU"/>
        </w:rPr>
        <w:t xml:space="preserve"> </w:t>
      </w:r>
      <w:r w:rsidR="005D37F5" w:rsidRPr="005D37F5">
        <w:rPr>
          <w:sz w:val="24"/>
          <w:lang w:val="hu-HU"/>
        </w:rPr>
        <w:tab/>
      </w:r>
      <w:r w:rsidRPr="005D37F5">
        <w:rPr>
          <w:sz w:val="24"/>
          <w:lang w:val="hu-HU"/>
        </w:rPr>
        <w:t>HL L 107., 2016.4.22</w:t>
      </w:r>
      <w:proofErr w:type="gramStart"/>
      <w:r w:rsidRPr="005D37F5">
        <w:rPr>
          <w:sz w:val="24"/>
          <w:lang w:val="hu-HU"/>
        </w:rPr>
        <w:t>.,</w:t>
      </w:r>
      <w:proofErr w:type="gramEnd"/>
      <w:r w:rsidRPr="005D37F5">
        <w:rPr>
          <w:sz w:val="24"/>
          <w:lang w:val="hu-HU"/>
        </w:rPr>
        <w:t xml:space="preserve"> 1. o.</w:t>
      </w:r>
    </w:p>
  </w:footnote>
  <w:footnote w:id="7">
    <w:p w:rsidR="004A24BB" w:rsidRPr="005D37F5" w:rsidRDefault="004A24BB" w:rsidP="005D37F5">
      <w:pPr>
        <w:pStyle w:val="FootnoteText"/>
        <w:ind w:left="567" w:hanging="567"/>
        <w:rPr>
          <w:sz w:val="24"/>
          <w:lang w:val="hu-HU"/>
        </w:rPr>
      </w:pPr>
      <w:r w:rsidRPr="005D37F5">
        <w:rPr>
          <w:rStyle w:val="FootnoteReference"/>
          <w:sz w:val="24"/>
          <w:lang w:val="hu-HU"/>
        </w:rPr>
        <w:footnoteRef/>
      </w:r>
      <w:r w:rsidR="005D37F5" w:rsidRPr="005D37F5">
        <w:rPr>
          <w:sz w:val="24"/>
          <w:lang w:val="hu-HU"/>
        </w:rPr>
        <w:t xml:space="preserve"> </w:t>
      </w:r>
      <w:r w:rsidR="005D37F5" w:rsidRPr="005D37F5">
        <w:rPr>
          <w:sz w:val="24"/>
          <w:lang w:val="hu-HU"/>
        </w:rPr>
        <w:tab/>
      </w:r>
      <w:r w:rsidRPr="005D37F5">
        <w:rPr>
          <w:sz w:val="24"/>
          <w:lang w:val="hu-HU"/>
        </w:rPr>
        <w:t>HL L 354., 2013.12.28</w:t>
      </w:r>
      <w:proofErr w:type="gramStart"/>
      <w:r w:rsidRPr="005D37F5">
        <w:rPr>
          <w:sz w:val="24"/>
          <w:lang w:val="hu-HU"/>
        </w:rPr>
        <w:t>.,</w:t>
      </w:r>
      <w:proofErr w:type="gramEnd"/>
      <w:r w:rsidRPr="005D37F5">
        <w:rPr>
          <w:sz w:val="24"/>
          <w:lang w:val="hu-HU"/>
        </w:rPr>
        <w:t xml:space="preserve"> 132. o.</w:t>
      </w:r>
    </w:p>
  </w:footnote>
  <w:footnote w:id="8">
    <w:p w:rsidR="004A24BB" w:rsidRPr="005D37F5" w:rsidRDefault="004A24BB" w:rsidP="005D37F5">
      <w:pPr>
        <w:pStyle w:val="FootnoteText"/>
        <w:ind w:left="567" w:hanging="567"/>
        <w:rPr>
          <w:sz w:val="24"/>
          <w:lang w:val="hu-HU"/>
        </w:rPr>
      </w:pPr>
      <w:r w:rsidRPr="005D37F5">
        <w:rPr>
          <w:rStyle w:val="FootnoteReference"/>
          <w:sz w:val="24"/>
          <w:lang w:val="hu-HU"/>
        </w:rPr>
        <w:footnoteRef/>
      </w:r>
      <w:r w:rsidR="005D37F5" w:rsidRPr="005D37F5">
        <w:rPr>
          <w:sz w:val="24"/>
          <w:lang w:val="hu-HU"/>
        </w:rPr>
        <w:t xml:space="preserve"> </w:t>
      </w:r>
      <w:r w:rsidR="005D37F5" w:rsidRPr="005D37F5">
        <w:rPr>
          <w:sz w:val="24"/>
          <w:lang w:val="hu-HU"/>
        </w:rPr>
        <w:tab/>
      </w:r>
      <w:r w:rsidRPr="005D37F5">
        <w:rPr>
          <w:sz w:val="24"/>
          <w:lang w:val="hu-HU"/>
        </w:rPr>
        <w:t>HL L 106., 2015.4.24</w:t>
      </w:r>
      <w:proofErr w:type="gramStart"/>
      <w:r w:rsidRPr="005D37F5">
        <w:rPr>
          <w:sz w:val="24"/>
          <w:lang w:val="hu-HU"/>
        </w:rPr>
        <w:t>.,</w:t>
      </w:r>
      <w:proofErr w:type="gramEnd"/>
      <w:r w:rsidRPr="005D37F5">
        <w:rPr>
          <w:sz w:val="24"/>
          <w:lang w:val="hu-HU"/>
        </w:rPr>
        <w:t xml:space="preserve"> 1. o.</w:t>
      </w:r>
    </w:p>
  </w:footnote>
  <w:footnote w:id="9">
    <w:p w:rsidR="004A24BB" w:rsidRPr="005D37F5" w:rsidRDefault="004A24BB" w:rsidP="005D37F5">
      <w:pPr>
        <w:pStyle w:val="FootnoteText"/>
        <w:ind w:left="567" w:hanging="567"/>
        <w:rPr>
          <w:sz w:val="24"/>
          <w:lang w:val="hu-HU"/>
        </w:rPr>
      </w:pPr>
      <w:r w:rsidRPr="005D37F5">
        <w:rPr>
          <w:rStyle w:val="FootnoteReference"/>
          <w:sz w:val="24"/>
          <w:lang w:val="hu-HU"/>
        </w:rPr>
        <w:footnoteRef/>
      </w:r>
      <w:r w:rsidR="005D37F5" w:rsidRPr="005D37F5">
        <w:rPr>
          <w:sz w:val="24"/>
          <w:lang w:val="hu-HU"/>
        </w:rPr>
        <w:t xml:space="preserve"> </w:t>
      </w:r>
      <w:r w:rsidR="005D37F5" w:rsidRPr="005D37F5">
        <w:rPr>
          <w:sz w:val="24"/>
          <w:lang w:val="hu-HU"/>
        </w:rPr>
        <w:tab/>
      </w:r>
      <w:r w:rsidRPr="005D37F5">
        <w:rPr>
          <w:sz w:val="24"/>
          <w:lang w:val="hu-HU"/>
        </w:rPr>
        <w:t>HL L 163., 2019.6.20</w:t>
      </w:r>
      <w:proofErr w:type="gramStart"/>
      <w:r w:rsidRPr="005D37F5">
        <w:rPr>
          <w:sz w:val="24"/>
          <w:lang w:val="hu-HU"/>
        </w:rPr>
        <w:t>.,</w:t>
      </w:r>
      <w:proofErr w:type="gramEnd"/>
      <w:r w:rsidRPr="005D37F5">
        <w:rPr>
          <w:sz w:val="24"/>
          <w:lang w:val="hu-HU"/>
        </w:rPr>
        <w:t xml:space="preserve"> 1. o.</w:t>
      </w:r>
    </w:p>
  </w:footnote>
  <w:footnote w:id="10">
    <w:p w:rsidR="004A24BB" w:rsidRPr="005D37F5" w:rsidRDefault="004A24BB" w:rsidP="005D37F5">
      <w:pPr>
        <w:pStyle w:val="FootnoteText"/>
        <w:ind w:left="567" w:hanging="567"/>
        <w:rPr>
          <w:sz w:val="24"/>
          <w:lang w:val="hu-HU"/>
        </w:rPr>
      </w:pPr>
      <w:r w:rsidRPr="005D37F5">
        <w:rPr>
          <w:rStyle w:val="FootnoteReference"/>
          <w:sz w:val="24"/>
          <w:lang w:val="hu-HU"/>
        </w:rPr>
        <w:footnoteRef/>
      </w:r>
      <w:r w:rsidR="005D37F5" w:rsidRPr="005D37F5">
        <w:rPr>
          <w:sz w:val="24"/>
          <w:lang w:val="hu-HU"/>
        </w:rPr>
        <w:t xml:space="preserve"> </w:t>
      </w:r>
      <w:r w:rsidR="005D37F5" w:rsidRPr="005D37F5">
        <w:rPr>
          <w:sz w:val="24"/>
          <w:lang w:val="hu-HU"/>
        </w:rPr>
        <w:tab/>
      </w:r>
      <w:r w:rsidRPr="005D37F5">
        <w:rPr>
          <w:sz w:val="24"/>
          <w:lang w:val="hu-HU"/>
        </w:rPr>
        <w:t>HL L 130., 2019.5.17</w:t>
      </w:r>
      <w:proofErr w:type="gramStart"/>
      <w:r w:rsidRPr="005D37F5">
        <w:rPr>
          <w:sz w:val="24"/>
          <w:lang w:val="hu-HU"/>
        </w:rPr>
        <w:t>.,</w:t>
      </w:r>
      <w:proofErr w:type="gramEnd"/>
      <w:r w:rsidRPr="005D37F5">
        <w:rPr>
          <w:sz w:val="24"/>
          <w:lang w:val="hu-HU"/>
        </w:rPr>
        <w:t xml:space="preserve"> 55. o.</w:t>
      </w:r>
    </w:p>
  </w:footnote>
  <w:footnote w:id="11">
    <w:p w:rsidR="004A24BB" w:rsidRPr="005D37F5" w:rsidRDefault="004A24BB" w:rsidP="005D37F5">
      <w:pPr>
        <w:pStyle w:val="FootnoteText"/>
        <w:ind w:left="567" w:hanging="567"/>
        <w:rPr>
          <w:sz w:val="24"/>
          <w:lang w:val="hu-HU"/>
        </w:rPr>
      </w:pPr>
      <w:r w:rsidRPr="005D37F5">
        <w:rPr>
          <w:rStyle w:val="FootnoteReference"/>
          <w:sz w:val="24"/>
          <w:lang w:val="hu-HU"/>
        </w:rPr>
        <w:footnoteRef/>
      </w:r>
      <w:r w:rsidR="005D37F5" w:rsidRPr="005D37F5">
        <w:rPr>
          <w:sz w:val="24"/>
          <w:lang w:val="hu-HU"/>
        </w:rPr>
        <w:t xml:space="preserve"> </w:t>
      </w:r>
      <w:r w:rsidR="005D37F5" w:rsidRPr="005D37F5">
        <w:rPr>
          <w:sz w:val="24"/>
          <w:lang w:val="hu-HU"/>
        </w:rPr>
        <w:tab/>
      </w:r>
      <w:r w:rsidRPr="005D37F5">
        <w:rPr>
          <w:sz w:val="24"/>
          <w:lang w:val="hu-HU"/>
        </w:rPr>
        <w:t>HL L 231., 2020.7.17</w:t>
      </w:r>
      <w:proofErr w:type="gramStart"/>
      <w:r w:rsidRPr="005D37F5">
        <w:rPr>
          <w:sz w:val="24"/>
          <w:lang w:val="hu-HU"/>
        </w:rPr>
        <w:t>.,</w:t>
      </w:r>
      <w:proofErr w:type="gramEnd"/>
      <w:r w:rsidRPr="005D37F5">
        <w:rPr>
          <w:sz w:val="24"/>
          <w:lang w:val="hu-HU"/>
        </w:rPr>
        <w:t xml:space="preserve"> 7. o.</w:t>
      </w:r>
    </w:p>
  </w:footnote>
  <w:footnote w:id="12">
    <w:p w:rsidR="004A24BB" w:rsidRPr="005D37F5" w:rsidRDefault="004A24BB" w:rsidP="005D37F5">
      <w:pPr>
        <w:pStyle w:val="FootnoteText"/>
        <w:ind w:left="567" w:hanging="567"/>
        <w:rPr>
          <w:sz w:val="24"/>
          <w:lang w:val="hu-HU"/>
        </w:rPr>
      </w:pPr>
      <w:r w:rsidRPr="005D37F5">
        <w:rPr>
          <w:rStyle w:val="FootnoteReference"/>
          <w:sz w:val="24"/>
          <w:lang w:val="hu-HU"/>
        </w:rPr>
        <w:footnoteRef/>
      </w:r>
      <w:r w:rsidR="005D37F5" w:rsidRPr="005D37F5">
        <w:rPr>
          <w:sz w:val="24"/>
          <w:lang w:val="hu-HU"/>
        </w:rPr>
        <w:t xml:space="preserve"> </w:t>
      </w:r>
      <w:r w:rsidR="005D37F5" w:rsidRPr="005D37F5">
        <w:rPr>
          <w:sz w:val="24"/>
          <w:lang w:val="hu-HU"/>
        </w:rPr>
        <w:tab/>
      </w:r>
      <w:r w:rsidRPr="005D37F5">
        <w:rPr>
          <w:sz w:val="24"/>
          <w:lang w:val="hu-HU"/>
        </w:rPr>
        <w:t>HL C 283., 2023.8.11</w:t>
      </w:r>
      <w:proofErr w:type="gramStart"/>
      <w:r w:rsidRPr="005D37F5">
        <w:rPr>
          <w:sz w:val="24"/>
          <w:lang w:val="hu-HU"/>
        </w:rPr>
        <w:t>.,</w:t>
      </w:r>
      <w:proofErr w:type="gramEnd"/>
      <w:r w:rsidRPr="005D37F5">
        <w:rPr>
          <w:sz w:val="24"/>
          <w:lang w:val="hu-HU"/>
        </w:rPr>
        <w:t xml:space="preserve"> 76. o.</w:t>
      </w:r>
    </w:p>
  </w:footnote>
  <w:footnote w:id="13">
    <w:p w:rsidR="004A24BB" w:rsidRPr="005D37F5" w:rsidRDefault="004A24BB" w:rsidP="005D37F5">
      <w:pPr>
        <w:pStyle w:val="FootnoteText"/>
        <w:ind w:left="567" w:hanging="567"/>
        <w:rPr>
          <w:sz w:val="24"/>
          <w:lang w:val="hu-HU"/>
        </w:rPr>
      </w:pPr>
      <w:r w:rsidRPr="005D37F5">
        <w:rPr>
          <w:rStyle w:val="FootnoteReference"/>
          <w:sz w:val="24"/>
          <w:lang w:val="hu-HU"/>
        </w:rPr>
        <w:footnoteRef/>
      </w:r>
      <w:r w:rsidR="005D37F5" w:rsidRPr="005D37F5">
        <w:rPr>
          <w:sz w:val="24"/>
          <w:lang w:val="hu-HU"/>
        </w:rPr>
        <w:t xml:space="preserve"> </w:t>
      </w:r>
      <w:r w:rsidR="005D37F5" w:rsidRPr="005D37F5">
        <w:rPr>
          <w:sz w:val="24"/>
          <w:lang w:val="hu-HU"/>
        </w:rPr>
        <w:tab/>
      </w:r>
      <w:r w:rsidRPr="005D37F5">
        <w:rPr>
          <w:sz w:val="24"/>
          <w:lang w:val="hu-HU"/>
        </w:rPr>
        <w:t>HL C 283., 2023.8.11</w:t>
      </w:r>
      <w:proofErr w:type="gramStart"/>
      <w:r w:rsidRPr="005D37F5">
        <w:rPr>
          <w:sz w:val="24"/>
          <w:lang w:val="hu-HU"/>
        </w:rPr>
        <w:t>.,</w:t>
      </w:r>
      <w:proofErr w:type="gramEnd"/>
      <w:r w:rsidRPr="005D37F5">
        <w:rPr>
          <w:sz w:val="24"/>
          <w:lang w:val="hu-HU"/>
        </w:rPr>
        <w:t xml:space="preserve"> 100. o.</w:t>
      </w:r>
    </w:p>
  </w:footnote>
  <w:footnote w:id="14">
    <w:p w:rsidR="004A24BB" w:rsidRPr="005D37F5" w:rsidRDefault="004A24BB" w:rsidP="005D37F5">
      <w:pPr>
        <w:pStyle w:val="FootnoteText"/>
        <w:ind w:left="567" w:hanging="567"/>
        <w:rPr>
          <w:sz w:val="24"/>
          <w:lang w:val="hu-HU"/>
        </w:rPr>
      </w:pPr>
      <w:r w:rsidRPr="005D37F5">
        <w:rPr>
          <w:rStyle w:val="FootnoteReference"/>
          <w:sz w:val="24"/>
          <w:lang w:val="hu-HU"/>
        </w:rPr>
        <w:footnoteRef/>
      </w:r>
      <w:r w:rsidR="005D37F5" w:rsidRPr="005D37F5">
        <w:rPr>
          <w:sz w:val="24"/>
          <w:lang w:val="hu-HU"/>
        </w:rPr>
        <w:t xml:space="preserve"> </w:t>
      </w:r>
      <w:r w:rsidR="005D37F5" w:rsidRPr="005D37F5">
        <w:rPr>
          <w:sz w:val="24"/>
          <w:lang w:val="hu-HU"/>
        </w:rPr>
        <w:tab/>
      </w:r>
      <w:r w:rsidRPr="005D37F5">
        <w:rPr>
          <w:sz w:val="24"/>
          <w:lang w:val="hu-HU"/>
        </w:rPr>
        <w:t>HL C 449., 2020.12.23</w:t>
      </w:r>
      <w:proofErr w:type="gramStart"/>
      <w:r w:rsidRPr="005D37F5">
        <w:rPr>
          <w:sz w:val="24"/>
          <w:lang w:val="hu-HU"/>
        </w:rPr>
        <w:t>.,</w:t>
      </w:r>
      <w:proofErr w:type="gramEnd"/>
      <w:r w:rsidRPr="005D37F5">
        <w:rPr>
          <w:sz w:val="24"/>
          <w:lang w:val="hu-HU"/>
        </w:rPr>
        <w:t xml:space="preserve"> 6. o.</w:t>
      </w:r>
    </w:p>
  </w:footnote>
  <w:footnote w:id="15">
    <w:p w:rsidR="004A24BB" w:rsidRPr="005D37F5" w:rsidRDefault="004A24BB" w:rsidP="005D37F5">
      <w:pPr>
        <w:pStyle w:val="FootnoteText"/>
        <w:ind w:left="567" w:hanging="567"/>
        <w:rPr>
          <w:sz w:val="24"/>
          <w:lang w:val="hu-HU"/>
        </w:rPr>
      </w:pPr>
      <w:r w:rsidRPr="005D37F5">
        <w:rPr>
          <w:rStyle w:val="FootnoteReference"/>
          <w:sz w:val="24"/>
          <w:lang w:val="hu-HU"/>
        </w:rPr>
        <w:footnoteRef/>
      </w:r>
      <w:r w:rsidR="005D37F5" w:rsidRPr="005D37F5">
        <w:rPr>
          <w:sz w:val="24"/>
          <w:lang w:val="hu-HU"/>
        </w:rPr>
        <w:t xml:space="preserve"> </w:t>
      </w:r>
      <w:r w:rsidR="005D37F5" w:rsidRPr="005D37F5">
        <w:rPr>
          <w:sz w:val="24"/>
          <w:lang w:val="hu-HU"/>
        </w:rPr>
        <w:tab/>
      </w:r>
      <w:r w:rsidRPr="005D37F5">
        <w:rPr>
          <w:sz w:val="24"/>
          <w:lang w:val="hu-HU"/>
        </w:rPr>
        <w:t>HL C 347., 2022.9.9</w:t>
      </w:r>
      <w:proofErr w:type="gramStart"/>
      <w:r w:rsidRPr="005D37F5">
        <w:rPr>
          <w:sz w:val="24"/>
          <w:lang w:val="hu-HU"/>
        </w:rPr>
        <w:t>.,</w:t>
      </w:r>
      <w:proofErr w:type="gramEnd"/>
      <w:r w:rsidRPr="005D37F5">
        <w:rPr>
          <w:sz w:val="24"/>
          <w:lang w:val="hu-HU"/>
        </w:rPr>
        <w:t xml:space="preserve"> 97. o.</w:t>
      </w:r>
    </w:p>
  </w:footnote>
  <w:footnote w:id="16">
    <w:p w:rsidR="004A24BB" w:rsidRPr="005D37F5" w:rsidRDefault="004A24BB" w:rsidP="005D37F5">
      <w:pPr>
        <w:pStyle w:val="FootnoteText"/>
        <w:ind w:left="567" w:hanging="567"/>
        <w:rPr>
          <w:sz w:val="24"/>
          <w:lang w:val="hu-HU"/>
        </w:rPr>
      </w:pPr>
      <w:r w:rsidRPr="005D37F5">
        <w:rPr>
          <w:rStyle w:val="FootnoteReference"/>
          <w:sz w:val="24"/>
          <w:lang w:val="hu-HU"/>
        </w:rPr>
        <w:footnoteRef/>
      </w:r>
      <w:r w:rsidR="005D37F5" w:rsidRPr="005D37F5">
        <w:rPr>
          <w:sz w:val="24"/>
          <w:lang w:val="hu-HU"/>
        </w:rPr>
        <w:t xml:space="preserve"> </w:t>
      </w:r>
      <w:r w:rsidR="005D37F5" w:rsidRPr="005D37F5">
        <w:rPr>
          <w:sz w:val="24"/>
          <w:lang w:val="hu-HU"/>
        </w:rPr>
        <w:tab/>
      </w:r>
      <w:r w:rsidRPr="005D37F5">
        <w:rPr>
          <w:sz w:val="24"/>
          <w:lang w:val="hu-HU"/>
        </w:rPr>
        <w:t>HL C 347., 2022.9.9</w:t>
      </w:r>
      <w:proofErr w:type="gramStart"/>
      <w:r w:rsidRPr="005D37F5">
        <w:rPr>
          <w:sz w:val="24"/>
          <w:lang w:val="hu-HU"/>
        </w:rPr>
        <w:t>.,</w:t>
      </w:r>
      <w:proofErr w:type="gramEnd"/>
      <w:r w:rsidRPr="005D37F5">
        <w:rPr>
          <w:sz w:val="24"/>
          <w:lang w:val="hu-HU"/>
        </w:rPr>
        <w:t xml:space="preserve"> 202. o.</w:t>
      </w:r>
    </w:p>
  </w:footnote>
  <w:footnote w:id="17">
    <w:p w:rsidR="004A24BB" w:rsidRPr="005D37F5" w:rsidRDefault="004A24BB" w:rsidP="005D37F5">
      <w:pPr>
        <w:pStyle w:val="FootnoteText"/>
        <w:ind w:left="567" w:hanging="567"/>
        <w:rPr>
          <w:sz w:val="24"/>
          <w:lang w:val="hu-HU"/>
        </w:rPr>
      </w:pPr>
      <w:r w:rsidRPr="005D37F5">
        <w:rPr>
          <w:rStyle w:val="FootnoteReference"/>
          <w:sz w:val="24"/>
          <w:lang w:val="hu-HU"/>
        </w:rPr>
        <w:footnoteRef/>
      </w:r>
      <w:r w:rsidR="005D37F5" w:rsidRPr="005D37F5">
        <w:rPr>
          <w:sz w:val="24"/>
          <w:lang w:val="hu-HU"/>
        </w:rPr>
        <w:t xml:space="preserve"> </w:t>
      </w:r>
      <w:r w:rsidR="005D37F5" w:rsidRPr="005D37F5">
        <w:rPr>
          <w:sz w:val="24"/>
          <w:lang w:val="hu-HU"/>
        </w:rPr>
        <w:tab/>
      </w:r>
      <w:r w:rsidRPr="005D37F5">
        <w:rPr>
          <w:sz w:val="24"/>
          <w:lang w:val="hu-HU"/>
        </w:rPr>
        <w:t>Elfogadott szövegek, P9_</w:t>
      </w:r>
      <w:proofErr w:type="gramStart"/>
      <w:r w:rsidRPr="005D37F5">
        <w:rPr>
          <w:sz w:val="24"/>
          <w:lang w:val="hu-HU"/>
        </w:rPr>
        <w:t>TA(</w:t>
      </w:r>
      <w:proofErr w:type="gramEnd"/>
      <w:r w:rsidRPr="005D37F5">
        <w:rPr>
          <w:sz w:val="24"/>
          <w:lang w:val="hu-HU"/>
        </w:rPr>
        <w:t>2023)0230.</w:t>
      </w:r>
    </w:p>
  </w:footnote>
  <w:footnote w:id="18">
    <w:p w:rsidR="004A24BB" w:rsidRPr="005D37F5" w:rsidRDefault="004A24BB" w:rsidP="005D37F5">
      <w:pPr>
        <w:pStyle w:val="FootnoteText"/>
        <w:ind w:left="567" w:hanging="567"/>
        <w:rPr>
          <w:sz w:val="24"/>
          <w:lang w:val="hu-HU"/>
        </w:rPr>
      </w:pPr>
      <w:r w:rsidRPr="005D37F5">
        <w:rPr>
          <w:rStyle w:val="FootnoteReference"/>
          <w:sz w:val="24"/>
          <w:lang w:val="hu-HU"/>
        </w:rPr>
        <w:footnoteRef/>
      </w:r>
      <w:r w:rsidR="005D37F5" w:rsidRPr="005D37F5">
        <w:rPr>
          <w:sz w:val="24"/>
          <w:lang w:val="hu-HU"/>
        </w:rPr>
        <w:t xml:space="preserve"> </w:t>
      </w:r>
      <w:r w:rsidR="005D37F5" w:rsidRPr="005D37F5">
        <w:rPr>
          <w:sz w:val="24"/>
          <w:lang w:val="hu-HU"/>
        </w:rPr>
        <w:tab/>
      </w:r>
      <w:r w:rsidRPr="005D37F5">
        <w:rPr>
          <w:sz w:val="24"/>
          <w:lang w:val="hu-HU"/>
        </w:rPr>
        <w:t>Elfogadott szövegek, P9_</w:t>
      </w:r>
      <w:proofErr w:type="gramStart"/>
      <w:r w:rsidRPr="005D37F5">
        <w:rPr>
          <w:sz w:val="24"/>
          <w:lang w:val="hu-HU"/>
        </w:rPr>
        <w:t>TA(</w:t>
      </w:r>
      <w:proofErr w:type="gramEnd"/>
      <w:r w:rsidRPr="005D37F5">
        <w:rPr>
          <w:sz w:val="24"/>
          <w:lang w:val="hu-HU"/>
        </w:rPr>
        <w:t>2023)0330.</w:t>
      </w:r>
    </w:p>
  </w:footnote>
  <w:footnote w:id="19">
    <w:p w:rsidR="004A24BB" w:rsidRPr="005D37F5" w:rsidRDefault="004A24BB" w:rsidP="005D37F5">
      <w:pPr>
        <w:pStyle w:val="FootnoteText"/>
        <w:ind w:left="567" w:hanging="567"/>
        <w:rPr>
          <w:sz w:val="24"/>
          <w:lang w:val="hu-HU"/>
        </w:rPr>
      </w:pPr>
      <w:r w:rsidRPr="005D37F5">
        <w:rPr>
          <w:rStyle w:val="FootnoteReference"/>
          <w:sz w:val="24"/>
          <w:lang w:val="hu-HU"/>
        </w:rPr>
        <w:footnoteRef/>
      </w:r>
      <w:r w:rsidR="005D37F5" w:rsidRPr="005D37F5">
        <w:rPr>
          <w:sz w:val="24"/>
          <w:lang w:val="hu-HU"/>
        </w:rPr>
        <w:t xml:space="preserve"> </w:t>
      </w:r>
      <w:r w:rsidR="005D37F5" w:rsidRPr="005D37F5">
        <w:rPr>
          <w:sz w:val="24"/>
          <w:lang w:val="hu-HU"/>
        </w:rPr>
        <w:tab/>
      </w:r>
      <w:r w:rsidRPr="005D37F5">
        <w:rPr>
          <w:sz w:val="24"/>
          <w:lang w:val="hu-HU"/>
        </w:rPr>
        <w:t>HL C 99., 2022.3.1</w:t>
      </w:r>
      <w:proofErr w:type="gramStart"/>
      <w:r w:rsidRPr="005D37F5">
        <w:rPr>
          <w:sz w:val="24"/>
          <w:lang w:val="hu-HU"/>
        </w:rPr>
        <w:t>.,</w:t>
      </w:r>
      <w:proofErr w:type="gramEnd"/>
      <w:r w:rsidRPr="005D37F5">
        <w:rPr>
          <w:sz w:val="24"/>
          <w:lang w:val="hu-HU"/>
        </w:rPr>
        <w:t xml:space="preserve"> 96. o.</w:t>
      </w:r>
    </w:p>
  </w:footnote>
  <w:footnote w:id="20">
    <w:p w:rsidR="004A24BB" w:rsidRPr="005D37F5" w:rsidRDefault="004A24BB" w:rsidP="005D37F5">
      <w:pPr>
        <w:pStyle w:val="FootnoteText"/>
        <w:ind w:left="567" w:hanging="567"/>
        <w:rPr>
          <w:sz w:val="24"/>
          <w:lang w:val="hu-HU"/>
        </w:rPr>
      </w:pPr>
      <w:r w:rsidRPr="005D37F5">
        <w:rPr>
          <w:rStyle w:val="FootnoteReference"/>
          <w:sz w:val="24"/>
          <w:lang w:val="hu-HU"/>
        </w:rPr>
        <w:footnoteRef/>
      </w:r>
      <w:r w:rsidR="005D37F5" w:rsidRPr="005D37F5">
        <w:rPr>
          <w:sz w:val="24"/>
          <w:lang w:val="hu-HU"/>
        </w:rPr>
        <w:t xml:space="preserve"> </w:t>
      </w:r>
      <w:r w:rsidR="005D37F5" w:rsidRPr="005D37F5">
        <w:rPr>
          <w:sz w:val="24"/>
          <w:lang w:val="hu-HU"/>
        </w:rPr>
        <w:tab/>
      </w:r>
      <w:r w:rsidRPr="005D37F5">
        <w:rPr>
          <w:sz w:val="24"/>
          <w:lang w:val="hu-HU"/>
        </w:rPr>
        <w:t>HL C 347., 2022.9.9</w:t>
      </w:r>
      <w:proofErr w:type="gramStart"/>
      <w:r w:rsidRPr="005D37F5">
        <w:rPr>
          <w:sz w:val="24"/>
          <w:lang w:val="hu-HU"/>
        </w:rPr>
        <w:t>.,</w:t>
      </w:r>
      <w:proofErr w:type="gramEnd"/>
      <w:r w:rsidRPr="005D37F5">
        <w:rPr>
          <w:sz w:val="24"/>
          <w:lang w:val="hu-HU"/>
        </w:rPr>
        <w:t xml:space="preserve"> 110. o.</w:t>
      </w:r>
    </w:p>
  </w:footnote>
  <w:footnote w:id="21">
    <w:p w:rsidR="004A24BB" w:rsidRPr="005D37F5" w:rsidRDefault="004A24BB" w:rsidP="005D37F5">
      <w:pPr>
        <w:pStyle w:val="FootnoteText"/>
        <w:ind w:left="567" w:hanging="567"/>
        <w:rPr>
          <w:sz w:val="24"/>
          <w:lang w:val="hu-HU"/>
        </w:rPr>
      </w:pPr>
      <w:r w:rsidRPr="005D37F5">
        <w:rPr>
          <w:rStyle w:val="FootnoteReference"/>
          <w:sz w:val="24"/>
          <w:lang w:val="hu-HU"/>
        </w:rPr>
        <w:footnoteRef/>
      </w:r>
      <w:r w:rsidR="005D37F5" w:rsidRPr="005D37F5">
        <w:rPr>
          <w:sz w:val="24"/>
          <w:lang w:val="hu-HU"/>
        </w:rPr>
        <w:t xml:space="preserve"> </w:t>
      </w:r>
      <w:r w:rsidR="005D37F5" w:rsidRPr="005D37F5">
        <w:rPr>
          <w:sz w:val="24"/>
          <w:lang w:val="hu-HU"/>
        </w:rPr>
        <w:tab/>
      </w:r>
      <w:r w:rsidRPr="005D37F5">
        <w:rPr>
          <w:sz w:val="24"/>
          <w:lang w:val="hu-HU"/>
        </w:rPr>
        <w:t>HL C 263., 2018.7.25</w:t>
      </w:r>
      <w:proofErr w:type="gramStart"/>
      <w:r w:rsidRPr="005D37F5">
        <w:rPr>
          <w:sz w:val="24"/>
          <w:lang w:val="hu-HU"/>
        </w:rPr>
        <w:t>.,</w:t>
      </w:r>
      <w:proofErr w:type="gramEnd"/>
      <w:r w:rsidRPr="005D37F5">
        <w:rPr>
          <w:sz w:val="24"/>
          <w:lang w:val="hu-HU"/>
        </w:rPr>
        <w:t xml:space="preserve"> 98. o.</w:t>
      </w:r>
    </w:p>
  </w:footnote>
  <w:footnote w:id="22">
    <w:p w:rsidR="004A24BB" w:rsidRPr="005D37F5" w:rsidRDefault="004A24BB" w:rsidP="005D37F5">
      <w:pPr>
        <w:pStyle w:val="FootnoteText"/>
        <w:ind w:left="567" w:hanging="567"/>
        <w:rPr>
          <w:sz w:val="24"/>
          <w:lang w:val="hu-HU"/>
        </w:rPr>
      </w:pPr>
      <w:r w:rsidRPr="005D37F5">
        <w:rPr>
          <w:rStyle w:val="FootnoteReference"/>
          <w:sz w:val="24"/>
          <w:lang w:val="hu-HU"/>
        </w:rPr>
        <w:footnoteRef/>
      </w:r>
      <w:r w:rsidR="005D37F5" w:rsidRPr="005D37F5">
        <w:rPr>
          <w:sz w:val="24"/>
          <w:lang w:val="hu-HU"/>
        </w:rPr>
        <w:t xml:space="preserve"> </w:t>
      </w:r>
      <w:r w:rsidR="005D37F5" w:rsidRPr="005D37F5">
        <w:rPr>
          <w:sz w:val="24"/>
          <w:lang w:val="hu-HU"/>
        </w:rPr>
        <w:tab/>
      </w:r>
      <w:r w:rsidRPr="005D37F5">
        <w:rPr>
          <w:sz w:val="24"/>
          <w:lang w:val="hu-HU"/>
        </w:rPr>
        <w:t>Eurostat, ‘</w:t>
      </w:r>
      <w:hyperlink r:id="rId1" w:history="1">
        <w:r w:rsidRPr="00BB76BB">
          <w:rPr>
            <w:rStyle w:val="Hyperlink"/>
            <w:color w:val="auto"/>
            <w:sz w:val="24"/>
            <w:u w:val="none"/>
            <w:lang w:val="hu-HU"/>
          </w:rPr>
          <w:t>Archive:</w:t>
        </w:r>
      </w:hyperlink>
      <w:hyperlink r:id="rId2" w:history="1">
        <w:r w:rsidRPr="00BB76BB">
          <w:rPr>
            <w:rStyle w:val="Hyperlink"/>
            <w:color w:val="auto"/>
            <w:sz w:val="24"/>
            <w:u w:val="none"/>
            <w:lang w:val="hu-HU"/>
          </w:rPr>
          <w:t xml:space="preserve"> </w:t>
        </w:r>
      </w:hyperlink>
      <w:hyperlink r:id="rId3" w:history="1">
        <w:r w:rsidRPr="00BB76BB">
          <w:rPr>
            <w:rStyle w:val="Hyperlink"/>
            <w:color w:val="auto"/>
            <w:sz w:val="24"/>
            <w:u w:val="none"/>
            <w:lang w:val="hu-HU"/>
          </w:rPr>
          <w:t>EU citizens living in another Member State - statistical overview</w:t>
        </w:r>
      </w:hyperlink>
      <w:r w:rsidRPr="005D37F5">
        <w:rPr>
          <w:sz w:val="24"/>
          <w:lang w:val="hu-HU"/>
        </w:rPr>
        <w:t>’.</w:t>
      </w:r>
    </w:p>
  </w:footnote>
  <w:footnote w:id="23">
    <w:p w:rsidR="00917E0C" w:rsidRPr="005D37F5" w:rsidRDefault="00917E0C" w:rsidP="00917E0C">
      <w:pPr>
        <w:pStyle w:val="FootnoteText"/>
        <w:ind w:left="567" w:hanging="567"/>
        <w:rPr>
          <w:sz w:val="24"/>
          <w:lang w:val="hu-HU"/>
        </w:rPr>
      </w:pPr>
      <w:r w:rsidRPr="005D37F5">
        <w:rPr>
          <w:rStyle w:val="FootnoteReference"/>
          <w:sz w:val="24"/>
          <w:lang w:val="hu-HU"/>
        </w:rPr>
        <w:footnoteRef/>
      </w:r>
      <w:r w:rsidRPr="005D37F5">
        <w:rPr>
          <w:sz w:val="24"/>
          <w:lang w:val="hu-HU"/>
        </w:rPr>
        <w:t xml:space="preserve"> </w:t>
      </w:r>
      <w:r w:rsidRPr="005D37F5">
        <w:rPr>
          <w:sz w:val="24"/>
          <w:lang w:val="hu-HU"/>
        </w:rPr>
        <w:tab/>
        <w:t xml:space="preserve">Európai Bizottság: „EU Citizenship 2020 – Final Report: Results of the Public Consultation on EU Citizenship Rights 2020” [Uniós polgárság 2020 – zárójelentés: Az uniós polgársággal kapcsolatos jogokra vonatkozó 2020. évi nyilvános </w:t>
      </w:r>
      <w:proofErr w:type="gramStart"/>
      <w:r w:rsidRPr="005D37F5">
        <w:rPr>
          <w:sz w:val="24"/>
          <w:lang w:val="hu-HU"/>
        </w:rPr>
        <w:t>konzultáció</w:t>
      </w:r>
      <w:proofErr w:type="gramEnd"/>
      <w:r w:rsidRPr="005D37F5">
        <w:rPr>
          <w:sz w:val="24"/>
          <w:lang w:val="hu-HU"/>
        </w:rPr>
        <w:t xml:space="preserve"> eredményei], 2020. december.</w:t>
      </w:r>
    </w:p>
  </w:footnote>
  <w:footnote w:id="24">
    <w:p w:rsidR="004A24BB" w:rsidRPr="005D37F5" w:rsidRDefault="004A24BB" w:rsidP="005D37F5">
      <w:pPr>
        <w:pStyle w:val="FootnoteText"/>
        <w:ind w:left="567" w:hanging="567"/>
        <w:rPr>
          <w:sz w:val="24"/>
          <w:lang w:val="hu-HU"/>
        </w:rPr>
      </w:pPr>
      <w:r w:rsidRPr="005D37F5">
        <w:rPr>
          <w:rStyle w:val="FootnoteReference"/>
          <w:sz w:val="24"/>
          <w:lang w:val="hu-HU"/>
        </w:rPr>
        <w:footnoteRef/>
      </w:r>
      <w:r w:rsidR="005D37F5" w:rsidRPr="005D37F5">
        <w:rPr>
          <w:sz w:val="24"/>
          <w:lang w:val="hu-HU"/>
        </w:rPr>
        <w:t xml:space="preserve"> </w:t>
      </w:r>
      <w:r w:rsidR="005D37F5" w:rsidRPr="005D37F5">
        <w:rPr>
          <w:sz w:val="24"/>
          <w:lang w:val="hu-HU"/>
        </w:rPr>
        <w:tab/>
      </w:r>
      <w:r w:rsidRPr="005D37F5">
        <w:rPr>
          <w:sz w:val="24"/>
          <w:lang w:val="hu-HU"/>
        </w:rPr>
        <w:t xml:space="preserve">Adatok: A jövedelmekre és életkörülményekre vonatkozó európai uniós statisztikák (EU-SILC) és az Európai Unió munkaerő-felmérése (LFS); Grammenos, S. </w:t>
      </w:r>
      <w:proofErr w:type="gramStart"/>
      <w:r w:rsidRPr="005D37F5">
        <w:rPr>
          <w:sz w:val="24"/>
          <w:lang w:val="hu-HU"/>
        </w:rPr>
        <w:t>és</w:t>
      </w:r>
      <w:proofErr w:type="gramEnd"/>
      <w:r w:rsidRPr="005D37F5">
        <w:rPr>
          <w:sz w:val="24"/>
          <w:lang w:val="hu-HU"/>
        </w:rPr>
        <w:t xml:space="preserve"> Priestley, M.: „Europe 2020 data and people with disabilities – tables” [Európa 2020 adatok és a fogyatékkal élők – táblázatok]. Eurostat, 2020.</w:t>
      </w:r>
    </w:p>
  </w:footnote>
  <w:footnote w:id="25">
    <w:p w:rsidR="004A24BB" w:rsidRPr="005D37F5" w:rsidRDefault="004A24BB" w:rsidP="005D37F5">
      <w:pPr>
        <w:pStyle w:val="FootnoteText"/>
        <w:ind w:left="567" w:hanging="567"/>
        <w:rPr>
          <w:sz w:val="24"/>
          <w:lang w:val="hu-HU"/>
        </w:rPr>
      </w:pPr>
      <w:r w:rsidRPr="005D37F5">
        <w:rPr>
          <w:rStyle w:val="FootnoteReference"/>
          <w:sz w:val="24"/>
          <w:lang w:val="hu-HU"/>
        </w:rPr>
        <w:footnoteRef/>
      </w:r>
      <w:r w:rsidR="005D37F5" w:rsidRPr="005D37F5">
        <w:rPr>
          <w:sz w:val="24"/>
          <w:lang w:val="hu-HU"/>
        </w:rPr>
        <w:t xml:space="preserve"> </w:t>
      </w:r>
      <w:r w:rsidR="005D37F5" w:rsidRPr="005D37F5">
        <w:rPr>
          <w:sz w:val="24"/>
          <w:lang w:val="hu-HU"/>
        </w:rPr>
        <w:tab/>
      </w:r>
      <w:r w:rsidRPr="005D37F5">
        <w:rPr>
          <w:sz w:val="24"/>
          <w:lang w:val="hu-HU"/>
        </w:rPr>
        <w:t xml:space="preserve">A Bizottság 2022. június 17-i közleménye: Az Európa jövőjéről szóló </w:t>
      </w:r>
      <w:proofErr w:type="gramStart"/>
      <w:r w:rsidRPr="005D37F5">
        <w:rPr>
          <w:sz w:val="24"/>
          <w:lang w:val="hu-HU"/>
        </w:rPr>
        <w:t>konferencia</w:t>
      </w:r>
      <w:proofErr w:type="gramEnd"/>
      <w:r w:rsidRPr="005D37F5">
        <w:rPr>
          <w:sz w:val="24"/>
          <w:lang w:val="hu-HU"/>
        </w:rPr>
        <w:t xml:space="preserve"> – A jövőkép konkrét</w:t>
      </w:r>
      <w:r w:rsidR="00935B3B">
        <w:rPr>
          <w:sz w:val="24"/>
          <w:lang w:val="hu-HU"/>
        </w:rPr>
        <w:t xml:space="preserve"> intézkedésekre váltása (COM(2022</w:t>
      </w:r>
      <w:bookmarkStart w:id="8" w:name="_GoBack"/>
      <w:bookmarkEnd w:id="8"/>
      <w:r w:rsidRPr="005D37F5">
        <w:rPr>
          <w:sz w:val="24"/>
          <w:lang w:val="hu-HU"/>
        </w:rPr>
        <w:t>)0404).</w:t>
      </w:r>
    </w:p>
  </w:footnote>
  <w:footnote w:id="26">
    <w:p w:rsidR="004A24BB" w:rsidRPr="005D37F5" w:rsidRDefault="004A24BB" w:rsidP="005D37F5">
      <w:pPr>
        <w:pStyle w:val="FootnoteText"/>
        <w:ind w:left="567" w:hanging="567"/>
        <w:rPr>
          <w:sz w:val="24"/>
          <w:lang w:val="hu-HU"/>
        </w:rPr>
      </w:pPr>
      <w:r w:rsidRPr="005D37F5">
        <w:rPr>
          <w:rStyle w:val="FootnoteReference"/>
          <w:sz w:val="24"/>
          <w:lang w:val="hu-HU"/>
        </w:rPr>
        <w:footnoteRef/>
      </w:r>
      <w:r w:rsidR="005D37F5" w:rsidRPr="005D37F5">
        <w:rPr>
          <w:sz w:val="24"/>
          <w:lang w:val="hu-HU"/>
        </w:rPr>
        <w:t xml:space="preserve"> </w:t>
      </w:r>
      <w:r w:rsidR="005D37F5" w:rsidRPr="005D37F5">
        <w:rPr>
          <w:sz w:val="24"/>
          <w:lang w:val="hu-HU"/>
        </w:rPr>
        <w:tab/>
      </w:r>
      <w:r w:rsidRPr="005D37F5">
        <w:rPr>
          <w:sz w:val="24"/>
          <w:lang w:val="hu-HU"/>
        </w:rPr>
        <w:t xml:space="preserve">Az Európai Parlament és a Tanács 1049/2001/EK rendelete (2001. május 30.) az Európai Parlament, a Tanács és a Bizottság </w:t>
      </w:r>
      <w:proofErr w:type="gramStart"/>
      <w:r w:rsidRPr="005D37F5">
        <w:rPr>
          <w:sz w:val="24"/>
          <w:lang w:val="hu-HU"/>
        </w:rPr>
        <w:t>dokumentumaihoz</w:t>
      </w:r>
      <w:proofErr w:type="gramEnd"/>
      <w:r w:rsidRPr="005D37F5">
        <w:rPr>
          <w:sz w:val="24"/>
          <w:lang w:val="hu-HU"/>
        </w:rPr>
        <w:t xml:space="preserve"> való nyilvános hozzáférésről </w:t>
      </w:r>
      <w:r w:rsidR="004F1AAB">
        <w:rPr>
          <w:sz w:val="24"/>
          <w:lang w:val="hu-HU"/>
        </w:rPr>
        <w:t>(</w:t>
      </w:r>
      <w:r w:rsidRPr="005D37F5">
        <w:rPr>
          <w:sz w:val="24"/>
          <w:lang w:val="hu-HU"/>
        </w:rPr>
        <w:t>HL L 145., 2001.5.31., 43. o.</w:t>
      </w:r>
      <w:r w:rsidR="004F1AAB">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37F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37F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37F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6/2023"/>
    <w:docVar w:name="dvlangue" w:val="HU"/>
    <w:docVar w:name="dvnumam" w:val="0"/>
    <w:docVar w:name="dvpe" w:val="754.647"/>
    <w:docVar w:name="dvrapporteur" w:val="Előadó: "/>
    <w:docVar w:name="dvtitre" w:val="Az Európai Parlament 2024.  ...-i állásfoglalása a Szerződés uniós polgárságra vonatkozó rendelkezéseinek végrehajtásáról(2023/2085(INI))"/>
  </w:docVars>
  <w:rsids>
    <w:rsidRoot w:val="006226D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24BB"/>
    <w:rsid w:val="004C0004"/>
    <w:rsid w:val="004C5D52"/>
    <w:rsid w:val="004F1AAB"/>
    <w:rsid w:val="0050519A"/>
    <w:rsid w:val="005072A1"/>
    <w:rsid w:val="00514517"/>
    <w:rsid w:val="00545827"/>
    <w:rsid w:val="00560270"/>
    <w:rsid w:val="005C2568"/>
    <w:rsid w:val="005D37F5"/>
    <w:rsid w:val="006037C0"/>
    <w:rsid w:val="006226D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7E0C"/>
    <w:rsid w:val="00930C23"/>
    <w:rsid w:val="0093193B"/>
    <w:rsid w:val="00935B3B"/>
    <w:rsid w:val="009509D8"/>
    <w:rsid w:val="00950B64"/>
    <w:rsid w:val="00981893"/>
    <w:rsid w:val="00A1687D"/>
    <w:rsid w:val="00A43E52"/>
    <w:rsid w:val="00A4678D"/>
    <w:rsid w:val="00A477FF"/>
    <w:rsid w:val="00A778C7"/>
    <w:rsid w:val="00AB441E"/>
    <w:rsid w:val="00AB6293"/>
    <w:rsid w:val="00AE0928"/>
    <w:rsid w:val="00AF3B82"/>
    <w:rsid w:val="00B12E95"/>
    <w:rsid w:val="00B22876"/>
    <w:rsid w:val="00B558F0"/>
    <w:rsid w:val="00BB76B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DB3DE6"/>
  <w15:chartTrackingRefBased/>
  <w15:docId w15:val="{EB85EFCE-0FB4-4F72-B949-3BD84DD94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A24BB"/>
    <w:pPr>
      <w:spacing w:after="240"/>
      <w:ind w:left="567" w:hanging="567"/>
    </w:pPr>
  </w:style>
  <w:style w:type="character" w:styleId="Hyperlink">
    <w:name w:val="Hyperlink"/>
    <w:basedOn w:val="DefaultParagraphFont"/>
    <w:uiPriority w:val="99"/>
    <w:unhideWhenUsed/>
    <w:rsid w:val="004A24BB"/>
    <w:rPr>
      <w:color w:val="0563C1" w:themeColor="hyperlink"/>
      <w:u w:val="single"/>
    </w:rPr>
  </w:style>
  <w:style w:type="paragraph" w:customStyle="1" w:styleId="Normal12">
    <w:name w:val="Normal12"/>
    <w:basedOn w:val="Normal"/>
    <w:rsid w:val="004A24BB"/>
    <w:pPr>
      <w:spacing w:after="240"/>
    </w:pPr>
  </w:style>
  <w:style w:type="character" w:customStyle="1" w:styleId="doceo-font-family-base">
    <w:name w:val="doceo-font-family-base"/>
    <w:basedOn w:val="DefaultParagraphFont"/>
    <w:rsid w:val="004A24BB"/>
  </w:style>
  <w:style w:type="character" w:customStyle="1" w:styleId="y2iqfc">
    <w:name w:val="y2iqfc"/>
    <w:basedOn w:val="DefaultParagraphFont"/>
    <w:rsid w:val="004A24BB"/>
  </w:style>
  <w:style w:type="character" w:customStyle="1" w:styleId="Bold">
    <w:name w:val="Bold"/>
    <w:uiPriority w:val="1"/>
    <w:rsid w:val="004A24BB"/>
    <w:rPr>
      <w:b/>
      <w:bCs w:val="0"/>
    </w:rPr>
  </w:style>
  <w:style w:type="character" w:styleId="Emphasis">
    <w:name w:val="Emphasis"/>
    <w:basedOn w:val="DefaultParagraphFont"/>
    <w:uiPriority w:val="20"/>
    <w:qFormat/>
    <w:rsid w:val="004A24BB"/>
    <w:rPr>
      <w:i/>
      <w:iCs/>
    </w:rPr>
  </w:style>
  <w:style w:type="paragraph" w:customStyle="1" w:styleId="AMNumberTabs">
    <w:name w:val="AMNumberTabs"/>
    <w:basedOn w:val="Normal"/>
    <w:rsid w:val="004A24B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NormalHanging12aChar">
    <w:name w:val="NormalHanging12a Char"/>
    <w:basedOn w:val="DefaultParagraphFont"/>
    <w:link w:val="NormalHanging12a"/>
    <w:locked/>
    <w:rsid w:val="004A24BB"/>
    <w:rPr>
      <w:sz w:val="24"/>
      <w:lang w:val="hu-HU"/>
    </w:rPr>
  </w:style>
  <w:style w:type="paragraph" w:styleId="BalloonText">
    <w:name w:val="Balloon Text"/>
    <w:basedOn w:val="Normal"/>
    <w:link w:val="BalloonTextChar"/>
    <w:rsid w:val="00917E0C"/>
    <w:rPr>
      <w:rFonts w:ascii="Segoe UI" w:hAnsi="Segoe UI" w:cs="Segoe UI"/>
      <w:sz w:val="18"/>
      <w:szCs w:val="18"/>
    </w:rPr>
  </w:style>
  <w:style w:type="character" w:customStyle="1" w:styleId="BalloonTextChar">
    <w:name w:val="Balloon Text Char"/>
    <w:basedOn w:val="DefaultParagraphFont"/>
    <w:link w:val="BalloonText"/>
    <w:rsid w:val="00917E0C"/>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urostat/statistics-explained/index.php?title=Archive:EU_citizens_living_in_another_Member_State_-_statistical_overview" TargetMode="External"/><Relationship Id="rId2" Type="http://schemas.openxmlformats.org/officeDocument/2006/relationships/hyperlink" Target="https://ec.europa.eu/eurostat/statistics-explained/index.php?title=Archive:EU_citizens_living_in_another_Member_State_-_statistical_overview" TargetMode="External"/><Relationship Id="rId1" Type="http://schemas.openxmlformats.org/officeDocument/2006/relationships/hyperlink" Target="https://ec.europa.eu/eurostat/statistics-explained/index.php?title=Archive:EU_citizens_living_in_another_Member_State_-_statistical_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02CD0B-711A-48A3-9062-7358FC2C7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2256</Words>
  <Characters>27841</Characters>
  <Application>Microsoft Office Word</Application>
  <DocSecurity>0</DocSecurity>
  <Lines>592</Lines>
  <Paragraphs>276</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P9_TA(2024)0000</vt:lpstr>
      <vt:lpstr>    xA Szerződés uniós polgárságra vonatkozó rendelkezéseinek végrehajtásaxx</vt:lpstr>
      <vt:lpstr>        Az Európai Parlament 2024. január ... 17-i állásfoglalása a Szerződés uniós polg</vt:lpstr>
    </vt:vector>
  </TitlesOfParts>
  <Company/>
  <LinksUpToDate>false</LinksUpToDate>
  <CharactersWithSpaces>29821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KOVACS-BOKOR Karoly</cp:lastModifiedBy>
  <cp:revision>2</cp:revision>
  <cp:lastPrinted>2004-11-19T15:42:00Z</cp:lastPrinted>
  <dcterms:created xsi:type="dcterms:W3CDTF">2024-02-14T09:28:00Z</dcterms:created>
  <dcterms:modified xsi:type="dcterms:W3CDTF">2024-02-14T09:28:00Z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A9-0436/2023</vt:lpwstr>
  </property>
  <property fmtid="{D5CDD505-2E9C-101B-9397-08002B2CF9AE}" pid="4" name="&lt;Type&gt;">
    <vt:lpwstr>RR</vt:lpwstr>
  </property>
</Properties>
</file>