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184A" w:rsidTr="0010095E">
        <w:trPr>
          <w:trHeight w:hRule="exact" w:val="1418"/>
        </w:trPr>
        <w:tc>
          <w:tcPr>
            <w:tcW w:w="6804" w:type="dxa"/>
            <w:shd w:val="clear" w:color="auto" w:fill="auto"/>
            <w:vAlign w:val="center"/>
          </w:tcPr>
          <w:p w:rsidR="00751A4A" w:rsidRPr="0055184A" w:rsidRDefault="00EC1BC5" w:rsidP="0010095E">
            <w:pPr>
              <w:pStyle w:val="EPName"/>
            </w:pPr>
            <w:r w:rsidRPr="0055184A">
              <w:t>Eiropas Parlaments</w:t>
            </w:r>
          </w:p>
          <w:p w:rsidR="00751A4A" w:rsidRPr="0055184A" w:rsidRDefault="00817416" w:rsidP="00756632">
            <w:pPr>
              <w:pStyle w:val="EPTerm"/>
              <w:rPr>
                <w:rStyle w:val="HideTWBExt"/>
                <w:noProof w:val="0"/>
                <w:vanish w:val="0"/>
                <w:color w:val="auto"/>
              </w:rPr>
            </w:pPr>
            <w:r w:rsidRPr="0055184A">
              <w:t>2019-2024</w:t>
            </w:r>
          </w:p>
        </w:tc>
        <w:tc>
          <w:tcPr>
            <w:tcW w:w="2268" w:type="dxa"/>
            <w:shd w:val="clear" w:color="auto" w:fill="auto"/>
          </w:tcPr>
          <w:p w:rsidR="00751A4A" w:rsidRPr="0055184A" w:rsidRDefault="00187494" w:rsidP="0010095E">
            <w:pPr>
              <w:pStyle w:val="EPLogo"/>
            </w:pPr>
            <w:r w:rsidRPr="0055184A">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5184A" w:rsidRDefault="00D058B8" w:rsidP="004C5D52">
      <w:pPr>
        <w:pStyle w:val="LineTop"/>
      </w:pPr>
    </w:p>
    <w:p w:rsidR="00680577" w:rsidRPr="0055184A" w:rsidRDefault="00EC1BC5" w:rsidP="00680577">
      <w:pPr>
        <w:pStyle w:val="EPBodyTA1"/>
      </w:pPr>
      <w:r w:rsidRPr="0055184A">
        <w:t>PIEŅEMTIE TEKSTI</w:t>
      </w:r>
    </w:p>
    <w:p w:rsidR="00D058B8" w:rsidRPr="0055184A" w:rsidRDefault="00D058B8" w:rsidP="00D058B8">
      <w:pPr>
        <w:pStyle w:val="LineBottom"/>
      </w:pPr>
    </w:p>
    <w:p w:rsidR="00EC1BC5" w:rsidRPr="0055184A" w:rsidRDefault="00EC1BC5" w:rsidP="00EC1BC5">
      <w:pPr>
        <w:pStyle w:val="ATHeading1"/>
      </w:pPr>
      <w:bookmarkStart w:id="0" w:name="TANumber"/>
      <w:r w:rsidRPr="0055184A">
        <w:t>P9_TA(2024)00</w:t>
      </w:r>
      <w:r w:rsidR="002B22B4" w:rsidRPr="0055184A">
        <w:t>24</w:t>
      </w:r>
      <w:bookmarkEnd w:id="0"/>
    </w:p>
    <w:p w:rsidR="00EC1BC5" w:rsidRPr="0055184A" w:rsidRDefault="007C20FB" w:rsidP="00EC1BC5">
      <w:pPr>
        <w:pStyle w:val="ATHeading2"/>
      </w:pPr>
      <w:bookmarkStart w:id="1" w:name="title"/>
      <w:r w:rsidRPr="0055184A">
        <w:t>Līguma noteikumu par ES pilsonību īstenošana</w:t>
      </w:r>
      <w:bookmarkEnd w:id="1"/>
    </w:p>
    <w:p w:rsidR="00EC1BC5" w:rsidRPr="0055184A" w:rsidRDefault="00EC1BC5" w:rsidP="00EC1BC5">
      <w:pPr>
        <w:rPr>
          <w:i/>
          <w:vanish/>
        </w:rPr>
      </w:pPr>
      <w:r w:rsidRPr="0055184A">
        <w:rPr>
          <w:i/>
        </w:rPr>
        <w:fldChar w:fldCharType="begin"/>
      </w:r>
      <w:r w:rsidRPr="0055184A">
        <w:rPr>
          <w:i/>
        </w:rPr>
        <w:instrText xml:space="preserve"> TC"(</w:instrText>
      </w:r>
      <w:bookmarkStart w:id="2" w:name="DocNumber"/>
      <w:r w:rsidRPr="0055184A">
        <w:rPr>
          <w:i/>
        </w:rPr>
        <w:instrText>A9-0436/2023</w:instrText>
      </w:r>
      <w:bookmarkEnd w:id="2"/>
      <w:r w:rsidRPr="0055184A">
        <w:rPr>
          <w:i/>
        </w:rPr>
        <w:instrText xml:space="preserve"> - Referente: Maite Pagazaurtundúa)"\l3 \n&gt; \* MERGEFORMAT </w:instrText>
      </w:r>
      <w:r w:rsidRPr="0055184A">
        <w:rPr>
          <w:i/>
        </w:rPr>
        <w:fldChar w:fldCharType="end"/>
      </w:r>
    </w:p>
    <w:p w:rsidR="00EC1BC5" w:rsidRPr="0055184A" w:rsidRDefault="00EC1BC5" w:rsidP="00EC1BC5">
      <w:pPr>
        <w:rPr>
          <w:vanish/>
        </w:rPr>
      </w:pPr>
      <w:bookmarkStart w:id="3" w:name="Commission"/>
      <w:r w:rsidRPr="0055184A">
        <w:rPr>
          <w:vanish/>
        </w:rPr>
        <w:t>Konstitucionālo jautājumu komiteja</w:t>
      </w:r>
      <w:bookmarkEnd w:id="3"/>
    </w:p>
    <w:p w:rsidR="00EC1BC5" w:rsidRPr="0055184A" w:rsidRDefault="00EC1BC5" w:rsidP="00EC1BC5">
      <w:pPr>
        <w:rPr>
          <w:vanish/>
        </w:rPr>
      </w:pPr>
      <w:bookmarkStart w:id="4" w:name="PE"/>
      <w:r w:rsidRPr="0055184A">
        <w:rPr>
          <w:vanish/>
        </w:rPr>
        <w:t>PE754.647</w:t>
      </w:r>
      <w:bookmarkEnd w:id="4"/>
    </w:p>
    <w:p w:rsidR="00EC1BC5" w:rsidRPr="0055184A" w:rsidRDefault="00EC1BC5" w:rsidP="00EC1BC5">
      <w:pPr>
        <w:pStyle w:val="ATHeading3"/>
      </w:pPr>
      <w:bookmarkStart w:id="5" w:name="Sujet"/>
      <w:r w:rsidRPr="0055184A">
        <w:t xml:space="preserve">Eiropas Parlamenta 2024. gada </w:t>
      </w:r>
      <w:r w:rsidR="007C20FB" w:rsidRPr="0055184A">
        <w:t>17. janvāra</w:t>
      </w:r>
      <w:r w:rsidRPr="0055184A">
        <w:t xml:space="preserve"> rezolūcija par Līguma noteikumu par ES pilsonību īstenošanu</w:t>
      </w:r>
      <w:bookmarkEnd w:id="5"/>
      <w:r w:rsidRPr="0055184A">
        <w:t xml:space="preserve"> </w:t>
      </w:r>
      <w:bookmarkStart w:id="6" w:name="References"/>
      <w:r w:rsidRPr="0055184A">
        <w:t>(2023/2085(INI))</w:t>
      </w:r>
      <w:bookmarkEnd w:id="6"/>
    </w:p>
    <w:p w:rsidR="00AD7FDB" w:rsidRPr="0055184A" w:rsidRDefault="00AD7FDB" w:rsidP="00AD7FDB">
      <w:pPr>
        <w:pStyle w:val="EPComma"/>
      </w:pPr>
      <w:bookmarkStart w:id="7" w:name="TextBodyBegin"/>
      <w:bookmarkEnd w:id="7"/>
      <w:r w:rsidRPr="0055184A">
        <w:rPr>
          <w:i/>
        </w:rPr>
        <w:t>Eiropas Parlaments</w:t>
      </w:r>
      <w:r w:rsidRPr="0055184A">
        <w:t>,</w:t>
      </w:r>
    </w:p>
    <w:p w:rsidR="00AD7FDB" w:rsidRPr="0055184A" w:rsidRDefault="00AD7FDB" w:rsidP="00AD7FDB">
      <w:pPr>
        <w:pStyle w:val="NormalHanging12a"/>
      </w:pPr>
      <w:r w:rsidRPr="0055184A">
        <w:t>–</w:t>
      </w:r>
      <w:r w:rsidRPr="0055184A">
        <w:tab/>
        <w:t>ņemot vērā Līguma par Eiropas Savienību (LES) 2., 3., 6., 9., 10., 11., 12., 21. un 23. pantu,</w:t>
      </w:r>
    </w:p>
    <w:p w:rsidR="00AD7FDB" w:rsidRPr="0055184A" w:rsidRDefault="00AD7FDB" w:rsidP="00AD7FDB">
      <w:pPr>
        <w:pStyle w:val="NormalHanging12a"/>
      </w:pPr>
      <w:r w:rsidRPr="0055184A">
        <w:t>–</w:t>
      </w:r>
      <w:r w:rsidRPr="0055184A">
        <w:tab/>
        <w:t>ņemot vērā Līguma par Eiropas Savienības darbību (LESD) 15., 20., 21., 22., 24., 26., 45., 46., 47., 48., 153. un 165. pantu,</w:t>
      </w:r>
    </w:p>
    <w:p w:rsidR="00AD7FDB" w:rsidRPr="0055184A" w:rsidRDefault="00AD7FDB" w:rsidP="00AD7FDB">
      <w:pPr>
        <w:pStyle w:val="NormalHanging12a"/>
      </w:pPr>
      <w:r w:rsidRPr="0055184A">
        <w:t>–</w:t>
      </w:r>
      <w:r w:rsidRPr="0055184A">
        <w:tab/>
        <w:t xml:space="preserve">ņemot vērā Eiropas Savienības </w:t>
      </w:r>
      <w:proofErr w:type="spellStart"/>
      <w:r w:rsidRPr="0055184A">
        <w:t>Pamattiesību</w:t>
      </w:r>
      <w:proofErr w:type="spellEnd"/>
      <w:r w:rsidRPr="0055184A">
        <w:t xml:space="preserve"> hartu,</w:t>
      </w:r>
    </w:p>
    <w:p w:rsidR="00AD7FDB" w:rsidRPr="0055184A" w:rsidRDefault="00AD7FDB" w:rsidP="00AD7FDB">
      <w:pPr>
        <w:pStyle w:val="NormalHanging12a"/>
      </w:pPr>
      <w:r w:rsidRPr="0055184A">
        <w:t>–</w:t>
      </w:r>
      <w:r w:rsidRPr="0055184A">
        <w:tab/>
        <w:t>ņemot vērā Eiropas Parlamenta un Padomes 2004. gada 29. aprīļa Direktīvu 2004/38/EK par Savienības pilsoņu un viņu ģimenes locekļu tiesībām brīvi pārvietoties un uzturēties dalībvalstu teritorijā, ar ko groza Regulu (EEK) Nr. 1612/68 un atceļ Direktīvas 64/221/EEK, 68/360/EEK, 72/194/EEK, 73/148/EEK, 75/34/EEK, 75/35/EEK, 90/364/EEK, 90/365/EEK un 93/96/EEK</w:t>
      </w:r>
      <w:r w:rsidRPr="0055184A">
        <w:rPr>
          <w:rStyle w:val="FootnoteReference"/>
        </w:rPr>
        <w:footnoteReference w:id="1"/>
      </w:r>
      <w:r w:rsidRPr="0055184A">
        <w:t>,</w:t>
      </w:r>
    </w:p>
    <w:p w:rsidR="00AD7FDB" w:rsidRPr="0055184A" w:rsidRDefault="00AD7FDB" w:rsidP="00AD7FDB">
      <w:pPr>
        <w:pStyle w:val="NormalHanging12a"/>
      </w:pPr>
      <w:r w:rsidRPr="0055184A">
        <w:t>–</w:t>
      </w:r>
      <w:r w:rsidRPr="0055184A">
        <w:tab/>
        <w:t xml:space="preserve">ņemot vērā Eiropas Parlamenta </w:t>
      </w:r>
      <w:r w:rsidR="00550BBB">
        <w:t>un Padomes 2021. gada 28. aprīļa</w:t>
      </w:r>
      <w:r w:rsidRPr="0055184A">
        <w:t xml:space="preserve"> Regulu (ES) 2021/692, ar ko izveido programmu “Pilsoņi, vienlīdzība, tiesības un vērtības” un atceļ Eiropas Parlamenta un Padomes Regulu (ES) Nr. 1381/2013 un Padomes Regulu (ES) Nr. 390/2014</w:t>
      </w:r>
      <w:r w:rsidRPr="0055184A">
        <w:rPr>
          <w:rStyle w:val="FootnoteReference"/>
        </w:rPr>
        <w:footnoteReference w:id="2"/>
      </w:r>
      <w:r w:rsidRPr="0055184A">
        <w:t>,</w:t>
      </w:r>
    </w:p>
    <w:p w:rsidR="00AD7FDB" w:rsidRPr="0055184A" w:rsidRDefault="00AD7FDB" w:rsidP="00AD7FDB">
      <w:pPr>
        <w:pStyle w:val="NormalHanging12a"/>
      </w:pPr>
      <w:r w:rsidRPr="0055184A">
        <w:t>–</w:t>
      </w:r>
      <w:r w:rsidRPr="0055184A">
        <w:tab/>
        <w:t>ņemot vērā Eiropas Parlamenta un Padomes 2011. gada 5. aprīļa Regulu (ES) Nr. 492/2011 par darba ņēmēju brīvu pārvietošanos Savienībā</w:t>
      </w:r>
      <w:r w:rsidRPr="0055184A">
        <w:rPr>
          <w:rStyle w:val="FootnoteReference"/>
        </w:rPr>
        <w:footnoteReference w:id="3"/>
      </w:r>
      <w:r w:rsidRPr="0055184A">
        <w:t>,</w:t>
      </w:r>
    </w:p>
    <w:p w:rsidR="00AD7FDB" w:rsidRPr="0055184A" w:rsidRDefault="00AD7FDB" w:rsidP="00AD7FDB">
      <w:pPr>
        <w:pStyle w:val="NormalHanging12a"/>
      </w:pPr>
      <w:r w:rsidRPr="0055184A">
        <w:t>–</w:t>
      </w:r>
      <w:r w:rsidRPr="0055184A">
        <w:tab/>
        <w:t xml:space="preserve">ņemot vērā Eiropas Parlamenta un Padomes 2019. gada 20. jūnija Regulu (ES) </w:t>
      </w:r>
      <w:r w:rsidR="00550BBB">
        <w:t>Nr. </w:t>
      </w:r>
      <w:r w:rsidRPr="0055184A">
        <w:t xml:space="preserve">2019/1149, ar ko izveido Eiropas Darba iestādi, groza Regulas (EK) Nr. 883/2004, </w:t>
      </w:r>
      <w:r w:rsidRPr="0055184A">
        <w:lastRenderedPageBreak/>
        <w:t>(ES) Nr. 492/2011 un (ES) 2016/589 un atceļ Lēmumu (ES) 2016/344</w:t>
      </w:r>
      <w:r w:rsidRPr="0055184A">
        <w:rPr>
          <w:rStyle w:val="FootnoteReference"/>
        </w:rPr>
        <w:footnoteReference w:id="4"/>
      </w:r>
      <w:r w:rsidRPr="0055184A">
        <w:t>,</w:t>
      </w:r>
    </w:p>
    <w:p w:rsidR="00AD7FDB" w:rsidRPr="0055184A" w:rsidRDefault="00AD7FDB" w:rsidP="00AD7FDB">
      <w:pPr>
        <w:pStyle w:val="NormalHanging12a"/>
      </w:pPr>
      <w:r w:rsidRPr="0055184A">
        <w:t>–</w:t>
      </w:r>
      <w:r w:rsidRPr="0055184A">
        <w:tab/>
        <w:t>ņemot vērā Eiropas Parlamenta un Padomes 2018. gada 28. jūnija Direktīvu (ES) 2018/957, ar ko groza Direktīvu 96/71/EK par darba ņēmēju norīkošanu darbā pakalpojumu sniegšanas jomā</w:t>
      </w:r>
      <w:r w:rsidRPr="0055184A">
        <w:rPr>
          <w:rStyle w:val="FootnoteReference"/>
        </w:rPr>
        <w:footnoteReference w:id="5"/>
      </w:r>
      <w:r w:rsidRPr="0055184A">
        <w:t>,</w:t>
      </w:r>
    </w:p>
    <w:p w:rsidR="00AD7FDB" w:rsidRPr="0055184A" w:rsidRDefault="00AD7FDB" w:rsidP="00AD7FDB">
      <w:pPr>
        <w:pStyle w:val="NormalHanging12a"/>
      </w:pPr>
      <w:r w:rsidRPr="0055184A">
        <w:t>–</w:t>
      </w:r>
      <w:r w:rsidRPr="0055184A">
        <w:tab/>
        <w:t>ņemot vērā Eiropas Parlamenta un Padomes 2016. gada 13. aprīļa Regulu (ES) 2016/589 par Eiropas Nodarbinātības dienestu tīklu (</w:t>
      </w:r>
      <w:r w:rsidRPr="0055184A">
        <w:rPr>
          <w:i/>
        </w:rPr>
        <w:t>EURES</w:t>
      </w:r>
      <w:r w:rsidRPr="0055184A">
        <w:t>), darba ņēmēju piekļuvi mobilitātes pakalpojumiem un turpmāku darba tirgu integrāciju un ar ko groza Regulas (ES) Nr. 492/2011 un (ES) Nr. 1296/2013</w:t>
      </w:r>
      <w:r w:rsidRPr="0055184A">
        <w:rPr>
          <w:rStyle w:val="FootnoteReference"/>
        </w:rPr>
        <w:footnoteReference w:id="6"/>
      </w:r>
      <w:r w:rsidRPr="0055184A">
        <w:t>,</w:t>
      </w:r>
    </w:p>
    <w:p w:rsidR="00AD7FDB" w:rsidRPr="0055184A" w:rsidRDefault="00AD7FDB" w:rsidP="00AD7FDB">
      <w:pPr>
        <w:pStyle w:val="NormalHanging12a"/>
      </w:pPr>
      <w:r w:rsidRPr="0055184A">
        <w:t>–</w:t>
      </w:r>
      <w:r w:rsidRPr="0055184A">
        <w:tab/>
        <w:t>ņemot vērā Eiropas Parlamenta un Padomes 2013. gada 20. novembra Direktīvu 2013/55/ES, ar ko groza Direktīvu 2005/36/EK par profesionālo kvalifikāciju atzīšanu un Regulu (ES) Nr. 1024/2012 par administratīvo sadarbību, izmantojot Iekšējā tirgus informācijas sistēmu</w:t>
      </w:r>
      <w:r w:rsidRPr="0055184A">
        <w:rPr>
          <w:rStyle w:val="FootnoteReference"/>
        </w:rPr>
        <w:footnoteReference w:id="7"/>
      </w:r>
      <w:r w:rsidRPr="0055184A">
        <w:t>,</w:t>
      </w:r>
    </w:p>
    <w:p w:rsidR="00AD7FDB" w:rsidRPr="0055184A" w:rsidRDefault="00AD7FDB" w:rsidP="00AD7FDB">
      <w:pPr>
        <w:pStyle w:val="NormalHanging12a"/>
      </w:pPr>
      <w:r w:rsidRPr="0055184A">
        <w:t>–</w:t>
      </w:r>
      <w:r w:rsidRPr="0055184A">
        <w:tab/>
        <w:t>ņemot vērā Padomes 2015. gada 20. aprīļa Direktīvu (ES) 2015/637 par koordinācijas un sadarbības pasākumiem, ar ko veicina nepārstāvēto Savienības pilsoņu konsulāro aizsardzību trešās valstīs, un ar ko atceļ Lēmumu 95/553/EK</w:t>
      </w:r>
      <w:r w:rsidRPr="0055184A">
        <w:rPr>
          <w:rStyle w:val="FootnoteReference"/>
        </w:rPr>
        <w:footnoteReference w:id="8"/>
      </w:r>
      <w:r w:rsidRPr="0055184A">
        <w:t>,</w:t>
      </w:r>
    </w:p>
    <w:p w:rsidR="00AD7FDB" w:rsidRPr="0055184A" w:rsidRDefault="00AD7FDB" w:rsidP="00AD7FDB">
      <w:pPr>
        <w:pStyle w:val="NormalHanging12a"/>
      </w:pPr>
      <w:r w:rsidRPr="0055184A">
        <w:t>–</w:t>
      </w:r>
      <w:r w:rsidRPr="0055184A">
        <w:tab/>
        <w:t>ņemot vērā Padomes 2019. gada 18. jūnija Direktīvu (ES) 2019/997, ar ko izveido ES pagaidu ceļošanas dokumentu un atceļ Lēmumu 96/409/KĀDP</w:t>
      </w:r>
      <w:r w:rsidRPr="0055184A">
        <w:rPr>
          <w:rStyle w:val="FootnoteReference"/>
        </w:rPr>
        <w:footnoteReference w:id="9"/>
      </w:r>
      <w:r w:rsidRPr="0055184A">
        <w:t>,</w:t>
      </w:r>
    </w:p>
    <w:p w:rsidR="00AD7FDB" w:rsidRPr="0055184A" w:rsidRDefault="00AD7FDB" w:rsidP="00AD7FDB">
      <w:pPr>
        <w:pStyle w:val="NormalHanging12a"/>
      </w:pPr>
      <w:r w:rsidRPr="0055184A">
        <w:t>–</w:t>
      </w:r>
      <w:r w:rsidRPr="0055184A">
        <w:tab/>
        <w:t>ņemot vērā Komisijas 2009. gada 2. jūlija paziņojumu par norādījumiem, kā labāk transponēt un piemērot Komisijas Direktīvu 2004/38/EK par Eiropas Savienības pilsoņu un viņu ģimenes locekļu tiesībām brīvi pārvietoties un uzturēties dalībvalstu teritorijā (COM(2009)0313),</w:t>
      </w:r>
    </w:p>
    <w:p w:rsidR="00AD7FDB" w:rsidRPr="0055184A" w:rsidRDefault="00AD7FDB" w:rsidP="00AD7FDB">
      <w:pPr>
        <w:pStyle w:val="NormalHanging12a"/>
      </w:pPr>
      <w:r w:rsidRPr="0055184A">
        <w:t>–</w:t>
      </w:r>
      <w:r w:rsidRPr="0055184A">
        <w:tab/>
        <w:t>ņemot vērā Eiropas Parlamenta un Padomes 2019. gada 17. aprīļa Regulu (ES) 2019/788 par Eiropas pilsoņu iniciatīvu</w:t>
      </w:r>
      <w:r w:rsidRPr="0055184A">
        <w:rPr>
          <w:vertAlign w:val="superscript"/>
        </w:rPr>
        <w:footnoteReference w:id="10"/>
      </w:r>
      <w:r w:rsidRPr="0055184A">
        <w:t>,</w:t>
      </w:r>
    </w:p>
    <w:p w:rsidR="00AD7FDB" w:rsidRPr="0055184A" w:rsidRDefault="00AD7FDB" w:rsidP="00AD7FDB">
      <w:pPr>
        <w:pStyle w:val="NormalHanging12a"/>
      </w:pPr>
      <w:r w:rsidRPr="0055184A">
        <w:t>–</w:t>
      </w:r>
      <w:r w:rsidRPr="0055184A">
        <w:tab/>
        <w:t>ņemot vērā Eiropas Parlamenta un Padomes 2020. gada 15. jūlija Regulu (ES) 2020/1042, ar ko paredz pagaidu pasākumus attiecībā uz Regulā (ES) 2019/788 par Eiropas pilsoņu iniciatīvu paredzēto vākšanas, verificēšanas un izskatīšanas posmu termiņiem, ņemot vērā Covid-19 uzliesmojumu</w:t>
      </w:r>
      <w:r w:rsidRPr="0055184A">
        <w:rPr>
          <w:rStyle w:val="FootnoteReference"/>
        </w:rPr>
        <w:footnoteReference w:id="11"/>
      </w:r>
      <w:r w:rsidRPr="0055184A">
        <w:t>,</w:t>
      </w:r>
    </w:p>
    <w:p w:rsidR="00AD7FDB" w:rsidRPr="0055184A" w:rsidRDefault="00AD7FDB" w:rsidP="00AD7FDB">
      <w:pPr>
        <w:pStyle w:val="NormalHanging12a"/>
      </w:pPr>
      <w:r w:rsidRPr="0055184A">
        <w:t>–</w:t>
      </w:r>
      <w:r w:rsidRPr="0055184A">
        <w:tab/>
        <w:t xml:space="preserve">ņemot vērā Komisijas 2020. gada 2. decembra paziņojumu “Stratēģija, lai stiprinātu </w:t>
      </w:r>
      <w:proofErr w:type="spellStart"/>
      <w:r w:rsidRPr="0055184A">
        <w:t>Pamattiesību</w:t>
      </w:r>
      <w:proofErr w:type="spellEnd"/>
      <w:r w:rsidRPr="0055184A">
        <w:t xml:space="preserve"> hartas piemērošanu ES” (COM(2020)0711),</w:t>
      </w:r>
    </w:p>
    <w:p w:rsidR="00AD7FDB" w:rsidRPr="0055184A" w:rsidRDefault="00AD7FDB" w:rsidP="00AD7FDB">
      <w:pPr>
        <w:pStyle w:val="NormalHanging12a"/>
      </w:pPr>
      <w:r w:rsidRPr="0055184A">
        <w:t>–</w:t>
      </w:r>
      <w:r w:rsidRPr="0055184A">
        <w:tab/>
        <w:t>ņemot vērā Komisijas 2020. gada 3. decembra paziņojumu “Eiropas Demokrātijas rīcības plāns” (COM(2020)0790),</w:t>
      </w:r>
    </w:p>
    <w:p w:rsidR="00AD7FDB" w:rsidRPr="0055184A" w:rsidRDefault="00AD7FDB" w:rsidP="00AD7FDB">
      <w:pPr>
        <w:pStyle w:val="NormalHanging12a"/>
      </w:pPr>
      <w:r w:rsidRPr="0055184A">
        <w:t>–</w:t>
      </w:r>
      <w:r w:rsidRPr="0055184A">
        <w:tab/>
        <w:t xml:space="preserve">ņemot vērā Komisijas </w:t>
      </w:r>
      <w:r w:rsidRPr="0055184A">
        <w:rPr>
          <w:shd w:val="clear" w:color="auto" w:fill="FFFFFF"/>
        </w:rPr>
        <w:t>2021. gada 25. novembra</w:t>
      </w:r>
      <w:r w:rsidRPr="0055184A">
        <w:t xml:space="preserve"> paziņojumu “Vēlēšanu integritātes </w:t>
      </w:r>
      <w:r w:rsidRPr="0055184A">
        <w:lastRenderedPageBreak/>
        <w:t>aizsardzība un demokrātiskas līdzdalības veicināšana ” (COM(2021)0730),</w:t>
      </w:r>
    </w:p>
    <w:p w:rsidR="00AD7FDB" w:rsidRPr="0055184A" w:rsidRDefault="00AD7FDB" w:rsidP="00AD7FDB">
      <w:pPr>
        <w:pStyle w:val="NormalHanging12a"/>
      </w:pPr>
      <w:r w:rsidRPr="0055184A">
        <w:t>–</w:t>
      </w:r>
      <w:r w:rsidRPr="0055184A">
        <w:tab/>
        <w:t>ņemot vērā Komisijas 2020. gada 15. decembra ziņojumu “2020. gada ziņojums par ES pilsonību: pilsoņu līdzdalības veicināšana un viņu tiesību aizsardzība” (COM(2020)0730),</w:t>
      </w:r>
    </w:p>
    <w:p w:rsidR="00AD7FDB" w:rsidRPr="0055184A" w:rsidRDefault="00AD7FDB" w:rsidP="00AD7FDB">
      <w:pPr>
        <w:pStyle w:val="NormalHanging12a"/>
      </w:pPr>
      <w:r w:rsidRPr="0055184A">
        <w:t>–</w:t>
      </w:r>
      <w:r w:rsidRPr="0055184A">
        <w:tab/>
        <w:t>ņemot vērā Komisijas 2020. gada 15. decembra ziņojumu saskaņā ar LESD 25. pantu par panākto virzībā uz reālu ES pilsonību 2016.–2020. gadā (COM(2020)0731),</w:t>
      </w:r>
    </w:p>
    <w:p w:rsidR="00AD7FDB" w:rsidRPr="0055184A" w:rsidRDefault="00AD7FDB" w:rsidP="00AD7FDB">
      <w:pPr>
        <w:pStyle w:val="NormalHanging12a"/>
      </w:pPr>
      <w:r w:rsidRPr="0055184A">
        <w:t>–</w:t>
      </w:r>
      <w:r w:rsidRPr="0055184A">
        <w:tab/>
        <w:t>ņemot vērā Parlamenta 2023. gada 14. februāra nostāju par priekšlikumu Padomes direktīvai, ar ko nosaka sīki izstrādātu kārtību balsstiesību un tiesību kandidēt Eiropas Parlamenta vēlēšanās izmantošanai Savienības pilsoņiem, kas dzīvo dalībvalstī, kuras pilsoņi tie nav</w:t>
      </w:r>
      <w:r w:rsidRPr="0055184A">
        <w:rPr>
          <w:rStyle w:val="FootnoteReference"/>
        </w:rPr>
        <w:footnoteReference w:id="12"/>
      </w:r>
      <w:r w:rsidRPr="0055184A">
        <w:t>,</w:t>
      </w:r>
    </w:p>
    <w:p w:rsidR="00AD7FDB" w:rsidRPr="0055184A" w:rsidRDefault="00AD7FDB" w:rsidP="00AD7FDB">
      <w:pPr>
        <w:pStyle w:val="NormalHanging12a"/>
      </w:pPr>
      <w:r w:rsidRPr="0055184A">
        <w:t>–</w:t>
      </w:r>
      <w:r w:rsidRPr="0055184A">
        <w:tab/>
        <w:t>ņemot vērā Parlamenta 2023. gada 14. februāra nostāju par Padomes Direktīvu, ar ko nosaka sīki izstrādātu kārtību balsstiesību un tiesību kandidēt Eiropas Parlamenta vēlēšanās izmantošanai Savienības pilsoņiem, kas dzīvo dalībvalstī, kuras pilsoņi tie nav</w:t>
      </w:r>
      <w:r w:rsidRPr="0055184A">
        <w:rPr>
          <w:rStyle w:val="FootnoteReference"/>
        </w:rPr>
        <w:footnoteReference w:id="13"/>
      </w:r>
      <w:r w:rsidRPr="0055184A">
        <w:t>,</w:t>
      </w:r>
    </w:p>
    <w:p w:rsidR="00AD7FDB" w:rsidRPr="0055184A" w:rsidRDefault="00AD7FDB" w:rsidP="00AD7FDB">
      <w:pPr>
        <w:pStyle w:val="NormalHanging12a"/>
      </w:pPr>
      <w:r w:rsidRPr="0055184A">
        <w:t>–</w:t>
      </w:r>
      <w:r w:rsidRPr="0055184A">
        <w:tab/>
        <w:t>ņemot vērā Parlamenta 2019. gada 12. februāra rezolūciju par līguma noteikumu par ES pilsonību īstenošanu</w:t>
      </w:r>
      <w:r w:rsidRPr="0055184A">
        <w:rPr>
          <w:rStyle w:val="FootnoteReference"/>
        </w:rPr>
        <w:footnoteReference w:id="14"/>
      </w:r>
      <w:r w:rsidRPr="0055184A">
        <w:t>,</w:t>
      </w:r>
    </w:p>
    <w:p w:rsidR="00AD7FDB" w:rsidRPr="0055184A" w:rsidRDefault="00AD7FDB" w:rsidP="00AD7FDB">
      <w:pPr>
        <w:pStyle w:val="NormalHanging12a"/>
      </w:pPr>
      <w:r w:rsidRPr="0055184A">
        <w:t>–</w:t>
      </w:r>
      <w:r w:rsidRPr="0055184A">
        <w:tab/>
        <w:t>ņemot vērā Parlamenta 2022. gada 9. marta rezolūciju ar priekšlikumiem Komisijai par shēmām pilsonības un uzturēšanās atļauju piešķiršanai saistībā ar ieguldījumiem</w:t>
      </w:r>
      <w:r w:rsidRPr="0055184A">
        <w:rPr>
          <w:rStyle w:val="FootnoteReference"/>
        </w:rPr>
        <w:footnoteReference w:id="15"/>
      </w:r>
      <w:r w:rsidRPr="0055184A">
        <w:t>,</w:t>
      </w:r>
    </w:p>
    <w:p w:rsidR="00AD7FDB" w:rsidRPr="0055184A" w:rsidRDefault="00AD7FDB" w:rsidP="00AD7FDB">
      <w:pPr>
        <w:pStyle w:val="NormalHanging12a"/>
      </w:pPr>
      <w:r w:rsidRPr="0055184A">
        <w:t>–</w:t>
      </w:r>
      <w:r w:rsidRPr="0055184A">
        <w:tab/>
        <w:t>ņemot vērā Parlamenta 2022. gada 10. marta rezolūciju par 2020. gada ziņojumu par ES pilsonību: iespēju nodrošināšana pilsoņiem un viņu tiesību aizsardzība</w:t>
      </w:r>
      <w:r w:rsidRPr="0055184A">
        <w:rPr>
          <w:rStyle w:val="FootnoteReference"/>
        </w:rPr>
        <w:footnoteReference w:id="16"/>
      </w:r>
      <w:r w:rsidRPr="0055184A">
        <w:t>,</w:t>
      </w:r>
    </w:p>
    <w:p w:rsidR="00AD7FDB" w:rsidRPr="0055184A" w:rsidRDefault="00AD7FDB" w:rsidP="00AD7FDB">
      <w:pPr>
        <w:pStyle w:val="NormalHanging12a"/>
      </w:pPr>
      <w:r w:rsidRPr="0055184A">
        <w:t>–</w:t>
      </w:r>
      <w:r w:rsidRPr="0055184A">
        <w:tab/>
        <w:t>ņemot vērā Parlamenta 2023. gada 13. jūnija rezolūciju par regulu par Eiropas pilsoņu iniciatīvu īstenošanu</w:t>
      </w:r>
      <w:r w:rsidRPr="0055184A">
        <w:rPr>
          <w:rStyle w:val="FootnoteReference"/>
        </w:rPr>
        <w:footnoteReference w:id="17"/>
      </w:r>
      <w:r w:rsidRPr="0055184A">
        <w:t>,</w:t>
      </w:r>
    </w:p>
    <w:p w:rsidR="00AD7FDB" w:rsidRPr="0055184A" w:rsidRDefault="00AD7FDB" w:rsidP="00AD7FDB">
      <w:pPr>
        <w:pStyle w:val="NormalHanging12a"/>
      </w:pPr>
      <w:r w:rsidRPr="0055184A">
        <w:t>–</w:t>
      </w:r>
      <w:r w:rsidRPr="0055184A">
        <w:tab/>
        <w:t>ņemot vērā Parlamenta 2023. gada 14. septembra rezolūciju par parlamentārismu, Eiropas pilsonību un demokrātiju</w:t>
      </w:r>
      <w:r w:rsidRPr="0055184A">
        <w:rPr>
          <w:rStyle w:val="FootnoteReference"/>
        </w:rPr>
        <w:footnoteReference w:id="18"/>
      </w:r>
      <w:r w:rsidRPr="0055184A">
        <w:t>,</w:t>
      </w:r>
    </w:p>
    <w:p w:rsidR="00AD7FDB" w:rsidRPr="0055184A" w:rsidRDefault="00AD7FDB" w:rsidP="00AD7FDB">
      <w:pPr>
        <w:pStyle w:val="NormalHanging12a"/>
      </w:pPr>
      <w:r w:rsidRPr="0055184A">
        <w:t>–</w:t>
      </w:r>
      <w:r w:rsidRPr="0055184A">
        <w:tab/>
        <w:t xml:space="preserve">ņemot vērā Parlamenta 2021. gada 7. jūlija rezolūciju par </w:t>
      </w:r>
      <w:proofErr w:type="spellStart"/>
      <w:r w:rsidRPr="0055184A">
        <w:t>pilsoņdialogiem</w:t>
      </w:r>
      <w:proofErr w:type="spellEnd"/>
      <w:r w:rsidRPr="0055184A">
        <w:t xml:space="preserve"> un pilsoņu līdzdalību ES lēmumu pieņemšanas procesā</w:t>
      </w:r>
      <w:r w:rsidRPr="0055184A">
        <w:rPr>
          <w:rStyle w:val="FootnoteReference"/>
        </w:rPr>
        <w:footnoteReference w:id="19"/>
      </w:r>
      <w:r w:rsidRPr="0055184A">
        <w:t>,</w:t>
      </w:r>
    </w:p>
    <w:p w:rsidR="00AD7FDB" w:rsidRPr="0055184A" w:rsidRDefault="00AD7FDB" w:rsidP="00AD7FDB">
      <w:pPr>
        <w:pStyle w:val="NormalHanging12a"/>
      </w:pPr>
      <w:r w:rsidRPr="0055184A">
        <w:t>–</w:t>
      </w:r>
      <w:r w:rsidRPr="0055184A">
        <w:tab/>
        <w:t xml:space="preserve">ņemot vērā Parlamenta 2022. gada 9. marta rezolūciju par pilsoņu iesaistīšanu: tiesības iesniegt lūgumrakstu, tiesības vērsties pie Eiropas </w:t>
      </w:r>
      <w:proofErr w:type="spellStart"/>
      <w:r w:rsidRPr="0055184A">
        <w:t>Ombuda</w:t>
      </w:r>
      <w:proofErr w:type="spellEnd"/>
      <w:r w:rsidRPr="0055184A">
        <w:t xml:space="preserve"> un Eiropas pilsoņu iniciatīva</w:t>
      </w:r>
      <w:r w:rsidRPr="0055184A">
        <w:rPr>
          <w:rStyle w:val="FootnoteReference"/>
        </w:rPr>
        <w:footnoteReference w:id="20"/>
      </w:r>
      <w:r w:rsidRPr="0055184A">
        <w:t>,</w:t>
      </w:r>
    </w:p>
    <w:p w:rsidR="00AD7FDB" w:rsidRPr="0055184A" w:rsidRDefault="00AD7FDB" w:rsidP="00AD7FDB">
      <w:pPr>
        <w:pStyle w:val="NormalHanging12a"/>
        <w:rPr>
          <w:szCs w:val="23"/>
        </w:rPr>
      </w:pPr>
      <w:r w:rsidRPr="0055184A">
        <w:t>–</w:t>
      </w:r>
      <w:r w:rsidRPr="0055184A">
        <w:tab/>
        <w:t xml:space="preserve">ņemot vērā Parlamenta 2017. gada 15. marta rezolūciju par šķēršļiem ES pilsoņu </w:t>
      </w:r>
      <w:r w:rsidRPr="0055184A">
        <w:lastRenderedPageBreak/>
        <w:t>brīvībai pārvietoties un strādāt iekšējā tirgū</w:t>
      </w:r>
      <w:r w:rsidRPr="0055184A">
        <w:rPr>
          <w:rStyle w:val="FootnoteReference"/>
          <w:szCs w:val="23"/>
        </w:rPr>
        <w:footnoteReference w:id="21"/>
      </w:r>
      <w:r w:rsidRPr="0055184A">
        <w:t>,</w:t>
      </w:r>
    </w:p>
    <w:p w:rsidR="00AD7FDB" w:rsidRPr="0055184A" w:rsidRDefault="00AD7FDB" w:rsidP="00AD7FDB">
      <w:pPr>
        <w:pStyle w:val="NormalHanging12a"/>
        <w:rPr>
          <w:szCs w:val="23"/>
        </w:rPr>
      </w:pPr>
      <w:r w:rsidRPr="0055184A">
        <w:t>–</w:t>
      </w:r>
      <w:r w:rsidRPr="0055184A">
        <w:tab/>
        <w:t xml:space="preserve">ņemot vērā ES </w:t>
      </w:r>
      <w:proofErr w:type="spellStart"/>
      <w:r w:rsidRPr="0055184A">
        <w:t>Pamattiesību</w:t>
      </w:r>
      <w:proofErr w:type="spellEnd"/>
      <w:r w:rsidRPr="0055184A">
        <w:t xml:space="preserve"> aģentūras 2023. gada </w:t>
      </w:r>
      <w:proofErr w:type="spellStart"/>
      <w:r w:rsidRPr="0055184A">
        <w:t>pamattiesību</w:t>
      </w:r>
      <w:proofErr w:type="spellEnd"/>
      <w:r w:rsidRPr="0055184A">
        <w:t xml:space="preserve"> ziņojumu,</w:t>
      </w:r>
    </w:p>
    <w:p w:rsidR="00AD7FDB" w:rsidRPr="0055184A" w:rsidRDefault="00AD7FDB" w:rsidP="00AD7FDB">
      <w:pPr>
        <w:pStyle w:val="NormalHanging12a"/>
      </w:pPr>
      <w:r w:rsidRPr="0055184A">
        <w:t>–</w:t>
      </w:r>
      <w:r w:rsidRPr="0055184A">
        <w:tab/>
        <w:t>ņemot vērā ziņojumu par Konferences par Eiropas nākotni galīgajiem rezultātiem,</w:t>
      </w:r>
    </w:p>
    <w:p w:rsidR="00AD7FDB" w:rsidRPr="0055184A" w:rsidRDefault="00AD7FDB" w:rsidP="00AD7FDB">
      <w:pPr>
        <w:pStyle w:val="NormalHanging12a"/>
      </w:pPr>
      <w:r w:rsidRPr="0055184A">
        <w:t>–</w:t>
      </w:r>
      <w:r w:rsidRPr="0055184A">
        <w:tab/>
        <w:t>ņemot vē</w:t>
      </w:r>
      <w:r w:rsidR="00550BBB">
        <w:t xml:space="preserve">rā Eirobarometra </w:t>
      </w:r>
      <w:proofErr w:type="spellStart"/>
      <w:r w:rsidR="00550BBB">
        <w:t>zibensaptaujas</w:t>
      </w:r>
      <w:proofErr w:type="spellEnd"/>
      <w:r w:rsidRPr="0055184A">
        <w:t> 485/2020 un E</w:t>
      </w:r>
      <w:r w:rsidR="00550BBB">
        <w:t>irobarometra standarta aptaujas</w:t>
      </w:r>
      <w:r w:rsidRPr="0055184A">
        <w:t> 99/2023 rezultātus,</w:t>
      </w:r>
    </w:p>
    <w:p w:rsidR="002B22B4" w:rsidRPr="0055184A" w:rsidRDefault="002B22B4" w:rsidP="00AD7FDB">
      <w:pPr>
        <w:pStyle w:val="NormalHanging12a"/>
      </w:pPr>
      <w:r w:rsidRPr="0055184A">
        <w:t>–</w:t>
      </w:r>
      <w:r w:rsidRPr="0055184A">
        <w:tab/>
        <w:t>ņemot vērā Komisijas saskaņā ar LESD 25. pantu saga</w:t>
      </w:r>
      <w:bookmarkStart w:id="8" w:name="_GoBack"/>
      <w:bookmarkEnd w:id="8"/>
      <w:r w:rsidRPr="0055184A">
        <w:t>tavoto 2023. gada 6. decembra ziņojumu par panākto virzībā uz reālu ES pilsonību 2020.–2023. gadā (COM(2023)0931) (ziņojums par ES pilsonību),</w:t>
      </w:r>
    </w:p>
    <w:p w:rsidR="00AD7FDB" w:rsidRPr="0055184A" w:rsidRDefault="00AD7FDB" w:rsidP="00AD7FDB">
      <w:pPr>
        <w:pStyle w:val="NormalHanging12a"/>
      </w:pPr>
      <w:r w:rsidRPr="0055184A">
        <w:t>–</w:t>
      </w:r>
      <w:r w:rsidRPr="0055184A">
        <w:tab/>
        <w:t>ņemot vērā Reglamenta 54. pantu, kā arī 1. panta 1. punkta e) apakšpunktu un 3. pielikumu Priekšsēdētāju konferences 2002. gada 12. decembra lēmumā par procedūru patstāvīgo ziņojumu sagatavošanas atļaujas piešķiršanai,</w:t>
      </w:r>
    </w:p>
    <w:p w:rsidR="00AD7FDB" w:rsidRPr="0055184A" w:rsidRDefault="00AD7FDB" w:rsidP="00AD7FDB">
      <w:pPr>
        <w:pStyle w:val="NormalHanging12a"/>
      </w:pPr>
      <w:r w:rsidRPr="0055184A">
        <w:t>–</w:t>
      </w:r>
      <w:r w:rsidRPr="0055184A">
        <w:tab/>
        <w:t xml:space="preserve">ņemot vērā Pilsoņu brīvību, tieslietu un </w:t>
      </w:r>
      <w:proofErr w:type="spellStart"/>
      <w:r w:rsidRPr="0055184A">
        <w:t>iekšlietu</w:t>
      </w:r>
      <w:proofErr w:type="spellEnd"/>
      <w:r w:rsidRPr="0055184A">
        <w:t xml:space="preserve"> komitejas atzinumu,</w:t>
      </w:r>
    </w:p>
    <w:p w:rsidR="00AD7FDB" w:rsidRPr="0055184A" w:rsidRDefault="00AD7FDB" w:rsidP="00AD7FDB">
      <w:pPr>
        <w:pStyle w:val="NormalHanging12a"/>
      </w:pPr>
      <w:r w:rsidRPr="0055184A">
        <w:t>–</w:t>
      </w:r>
      <w:r w:rsidRPr="0055184A">
        <w:tab/>
        <w:t>ņemot vērā Konstitucionālo jautājumu komitejas ziņojumu (A9</w:t>
      </w:r>
      <w:r w:rsidRPr="0055184A">
        <w:noBreakHyphen/>
        <w:t>0436/2023),</w:t>
      </w:r>
    </w:p>
    <w:p w:rsidR="00AD7FDB" w:rsidRPr="0055184A" w:rsidRDefault="00AD7FDB" w:rsidP="00AD7FDB">
      <w:pPr>
        <w:pStyle w:val="NormalHanging12a"/>
      </w:pPr>
      <w:r w:rsidRPr="0055184A">
        <w:t>A.</w:t>
      </w:r>
      <w:r w:rsidRPr="0055184A">
        <w:tab/>
        <w:t>tā kā ES pilsonība tika izveidota līdz ar Māstrihtas līguma stāšanos spēkā 1993. gadā un tālāk uzlabota ar Lisabonas līgumu 2009. gadā; tā kā kopš tās izveides ir pagājuši trīsdesmit gadi un ir notikušas būtiskas sociālas, digitālas, ekonomiskas un politiskas pārmaiņas;</w:t>
      </w:r>
    </w:p>
    <w:p w:rsidR="00AD7FDB" w:rsidRPr="0055184A" w:rsidRDefault="00AD7FDB" w:rsidP="00AD7FDB">
      <w:pPr>
        <w:pStyle w:val="NormalHanging12a"/>
        <w:rPr>
          <w:b/>
          <w:i/>
        </w:rPr>
      </w:pPr>
      <w:r w:rsidRPr="0055184A">
        <w:t>B.</w:t>
      </w:r>
      <w:r w:rsidRPr="0055184A">
        <w:rPr>
          <w:b/>
          <w:i/>
        </w:rPr>
        <w:tab/>
      </w:r>
      <w:r w:rsidRPr="0055184A">
        <w:t>tā kā saskaņā ar LESD 20. panta 1. punktu ES pilsonība papildina, bet neaizstāj valsts pilsonību; tā kā ES pilsonība pagaidām neuzliek nekādus pienākumus Savienības pilsoņiem;</w:t>
      </w:r>
    </w:p>
    <w:p w:rsidR="00AD7FDB" w:rsidRPr="0055184A" w:rsidRDefault="00AD7FDB" w:rsidP="00AD7FDB">
      <w:pPr>
        <w:pStyle w:val="NormalHanging12a"/>
        <w:rPr>
          <w:shd w:val="clear" w:color="auto" w:fill="FFFFFF"/>
        </w:rPr>
      </w:pPr>
      <w:r w:rsidRPr="0055184A">
        <w:t>C.</w:t>
      </w:r>
      <w:r w:rsidRPr="0055184A">
        <w:tab/>
      </w:r>
      <w:r w:rsidRPr="0055184A">
        <w:rPr>
          <w:shd w:val="clear" w:color="auto" w:fill="FFFFFF"/>
        </w:rPr>
        <w:t>tā kā ES pilsonība ir unikāla konstrukcija, kas atspoguļo ES pilsoņu kopīgo demokrātisko identitāti un kopīgās vērtības un ir palīdzējusi veidot saiknes, veicināt līdztiesību un noraidīt visus rasisma un diskriminācijas veidus; tā kā ES pilsonība vēl nav sasniegusi savu potenciālu;</w:t>
      </w:r>
    </w:p>
    <w:p w:rsidR="00AD7FDB" w:rsidRPr="0055184A" w:rsidRDefault="00AD7FDB" w:rsidP="00AD7FDB">
      <w:pPr>
        <w:pStyle w:val="NormalHanging12a"/>
      </w:pPr>
      <w:r w:rsidRPr="0055184A">
        <w:rPr>
          <w:shd w:val="clear" w:color="auto" w:fill="FFFFFF"/>
        </w:rPr>
        <w:t>D.</w:t>
      </w:r>
      <w:r w:rsidRPr="0055184A">
        <w:rPr>
          <w:b/>
          <w:i/>
          <w:shd w:val="clear" w:color="auto" w:fill="FFFFFF"/>
        </w:rPr>
        <w:tab/>
      </w:r>
      <w:r w:rsidRPr="0055184A">
        <w:rPr>
          <w:shd w:val="clear" w:color="auto" w:fill="FFFFFF"/>
        </w:rPr>
        <w:t>tā kā pārvietošanās brīvība ir ļāvusi vairāk nekā 15 miljoniem ES pilsoņu</w:t>
      </w:r>
      <w:r w:rsidRPr="0055184A">
        <w:rPr>
          <w:rStyle w:val="FootnoteReference"/>
          <w:shd w:val="clear" w:color="auto" w:fill="FFFFFF"/>
        </w:rPr>
        <w:footnoteReference w:id="22"/>
      </w:r>
      <w:r w:rsidRPr="0055184A">
        <w:rPr>
          <w:shd w:val="clear" w:color="auto" w:fill="FFFFFF"/>
        </w:rPr>
        <w:t xml:space="preserve"> dzīvot un strādāt citā dalībvalstī un visiem ES pilsoņiem brīvi ceļot visā ES, padarot ES pilsonību svarīgāku nekā jebkad agrāk;</w:t>
      </w:r>
    </w:p>
    <w:p w:rsidR="00AD7FDB" w:rsidRPr="0055184A" w:rsidRDefault="00AD7FDB" w:rsidP="00AD7FDB">
      <w:pPr>
        <w:pStyle w:val="NormalHanging12a"/>
      </w:pPr>
      <w:r w:rsidRPr="0055184A">
        <w:t>E.</w:t>
      </w:r>
      <w:r w:rsidRPr="0055184A">
        <w:tab/>
      </w:r>
      <w:r w:rsidRPr="0055184A">
        <w:rPr>
          <w:shd w:val="clear" w:color="auto" w:fill="FFFFFF"/>
        </w:rPr>
        <w:t>tā kā ES pilsoņi pārāk bieži nav pietiekami informēti, nezin un neizprot tiesības, pilsoņu pienākumus un brīvības, kas izriet no ES pilsonības; tā kā ES pilsonības praktiskajā piemērošanā un pilnvērtīgā no tās izrietošo tiesību un brīvību izmantošanā joprojām pastāv būtiski trūkumi, no kuriem dažus rada ES tiesību aktu nevienveidīga īstenošana dalībvalstīs;</w:t>
      </w:r>
    </w:p>
    <w:p w:rsidR="00AD7FDB" w:rsidRPr="0055184A" w:rsidRDefault="00AD7FDB" w:rsidP="00AD7FDB">
      <w:pPr>
        <w:pStyle w:val="NormalHanging12a"/>
      </w:pPr>
      <w:r w:rsidRPr="0055184A">
        <w:t>F.</w:t>
      </w:r>
      <w:r w:rsidRPr="0055184A">
        <w:tab/>
        <w:t xml:space="preserve">tā kā 2020. gada sabiedriskās apspriešanas par ES pilsonību rezultāti atklāja, ka vairāk nekā 60 % aptaujāto neuzskata sevi par labi informētiem par savām ES pilsonības </w:t>
      </w:r>
      <w:r w:rsidRPr="0055184A">
        <w:lastRenderedPageBreak/>
        <w:t>tiesībām</w:t>
      </w:r>
      <w:r w:rsidRPr="0055184A">
        <w:rPr>
          <w:rStyle w:val="FootnoteReference"/>
          <w:szCs w:val="24"/>
        </w:rPr>
        <w:footnoteReference w:id="23"/>
      </w:r>
      <w:r w:rsidRPr="0055184A">
        <w:t>;</w:t>
      </w:r>
      <w:r w:rsidR="002B22B4" w:rsidRPr="0055184A">
        <w:t xml:space="preserve"> tā kā 2023. gada Eirobarometra </w:t>
      </w:r>
      <w:proofErr w:type="spellStart"/>
      <w:r w:rsidR="002B22B4" w:rsidRPr="0055184A">
        <w:t>zibensaptauja</w:t>
      </w:r>
      <w:proofErr w:type="spellEnd"/>
      <w:r w:rsidR="002B22B4" w:rsidRPr="0055184A">
        <w:t xml:space="preserve"> par pilsonību un demokrātiju liecina, ka puse respondentu sevi uzskata par labi informētiem par savām ES pilsoņu tiesībām;</w:t>
      </w:r>
    </w:p>
    <w:p w:rsidR="00AD7FDB" w:rsidRPr="0055184A" w:rsidRDefault="00AD7FDB" w:rsidP="00AD7FDB">
      <w:pPr>
        <w:pStyle w:val="NormalHanging12a"/>
      </w:pPr>
      <w:r w:rsidRPr="0055184A">
        <w:t>G.</w:t>
      </w:r>
      <w:r w:rsidRPr="0055184A">
        <w:tab/>
        <w:t xml:space="preserve">tā kā papildus digitālajai revolūcijai un ar to saistītajām sociālajām un ekonomiskajām pārmaiņām ES pilsoņi ir </w:t>
      </w:r>
      <w:proofErr w:type="spellStart"/>
      <w:r w:rsidRPr="0055184A">
        <w:t>saskārušies</w:t>
      </w:r>
      <w:proofErr w:type="spellEnd"/>
      <w:r w:rsidRPr="0055184A">
        <w:t xml:space="preserve"> ar vēl nepieredzētām problēmām Covid-19 pandēmijas dēļ;</w:t>
      </w:r>
    </w:p>
    <w:p w:rsidR="00AD7FDB" w:rsidRPr="0055184A" w:rsidRDefault="00AD7FDB" w:rsidP="00AD7FDB">
      <w:pPr>
        <w:pStyle w:val="NormalHanging12a"/>
        <w:shd w:val="clear" w:color="auto" w:fill="FFFFFF" w:themeFill="background1"/>
      </w:pPr>
      <w:r w:rsidRPr="0055184A">
        <w:t>H.</w:t>
      </w:r>
      <w:r w:rsidRPr="0055184A">
        <w:tab/>
        <w:t xml:space="preserve">tā kā esošo un nākotnes tiesību apkopošana un konsolidēšana palīdzētu labāk un </w:t>
      </w:r>
      <w:proofErr w:type="spellStart"/>
      <w:r w:rsidRPr="0055184A">
        <w:t>informētāk</w:t>
      </w:r>
      <w:proofErr w:type="spellEnd"/>
      <w:r w:rsidRPr="0055184A">
        <w:t xml:space="preserve"> izmantot no ES pilsonības izrietošās tiesību un brīvības;</w:t>
      </w:r>
    </w:p>
    <w:p w:rsidR="00AD7FDB" w:rsidRPr="0055184A" w:rsidRDefault="00AD7FDB" w:rsidP="00AD7FDB">
      <w:pPr>
        <w:pStyle w:val="NormalHanging12a"/>
        <w:shd w:val="clear" w:color="auto" w:fill="FFFFFF" w:themeFill="background1"/>
      </w:pPr>
      <w:r w:rsidRPr="0055184A">
        <w:t>I.</w:t>
      </w:r>
      <w:r w:rsidRPr="0055184A">
        <w:tab/>
        <w:t>tā kā Konference par Eiropas nākotni ir konkrēts piemērs pilsoņu līdzdalībai Savienības demokrātiskajā dzīvē; tā kā tās secinājumos ir iekļauti priekšlikumi un pasākumi, kas atspoguļo Eiropas iestāžu un ES pilsoņu vienošanos stiprināt ES pilsonību;</w:t>
      </w:r>
    </w:p>
    <w:p w:rsidR="00AD7FDB" w:rsidRPr="0055184A" w:rsidRDefault="00AD7FDB" w:rsidP="00AD7FDB">
      <w:pPr>
        <w:pStyle w:val="NormalHanging12a"/>
        <w:shd w:val="clear" w:color="auto" w:fill="FFFFFF" w:themeFill="background1"/>
      </w:pPr>
      <w:r w:rsidRPr="0055184A">
        <w:t>J.</w:t>
      </w:r>
      <w:r w:rsidRPr="0055184A">
        <w:tab/>
        <w:t xml:space="preserve">tā kā pašreizējie šķēršļi ES pilsonības tiesību izmantošanai rada nevienlīdzības un diskriminācijas situācijas starp ES pilsoņiem, jo īpaši mobilajiem ES pilsoņiem un viņu ģimenes locekļiem, sevišķi bērniem, personām, kas dzīvo ES pārrobežu reģionos un lauku apvidos, un neaizsargātu un </w:t>
      </w:r>
      <w:proofErr w:type="spellStart"/>
      <w:r w:rsidRPr="0055184A">
        <w:t>marginalizētu</w:t>
      </w:r>
      <w:proofErr w:type="spellEnd"/>
      <w:r w:rsidRPr="0055184A">
        <w:t xml:space="preserve"> grupu locekļiem, piemēram, minoritātēm, personām ar zemiem ienākumiem, bezpajumtniekiem, vecāka gadagājuma cilvēkiem, cilvēkiem ar invaliditāti, kā arī cilvēkiem, kuriem draud digitālā atstumtība;</w:t>
      </w:r>
    </w:p>
    <w:p w:rsidR="00AD7FDB" w:rsidRPr="0055184A" w:rsidRDefault="00AD7FDB" w:rsidP="00AD7FDB">
      <w:pPr>
        <w:pStyle w:val="NormalHanging12a"/>
        <w:rPr>
          <w:rStyle w:val="y2iqfc"/>
          <w:shd w:val="clear" w:color="auto" w:fill="FFFFFF"/>
        </w:rPr>
      </w:pPr>
      <w:r w:rsidRPr="0055184A">
        <w:t>K.</w:t>
      </w:r>
      <w:r w:rsidRPr="0055184A">
        <w:tab/>
        <w:t>tā kā gandrīz 87 miljoniem ES pilsoņu ir kāda veida invaliditāte</w:t>
      </w:r>
      <w:r w:rsidRPr="0055184A">
        <w:rPr>
          <w:rStyle w:val="FootnoteReference"/>
          <w:shd w:val="clear" w:color="auto" w:fill="FFFFFF"/>
        </w:rPr>
        <w:footnoteReference w:id="24"/>
      </w:r>
      <w:r w:rsidRPr="0055184A">
        <w:t xml:space="preserve"> un viņi saskaras ar grūtībām, īstenojot savas pilsonības tiesības, un šīs grūtības dažkārt tieši liedz viņiem brīvas pārvietošanās un uzturēšanās tiesības, kā arī ierobežo viņu politisko tiesību izmantošanu;</w:t>
      </w:r>
    </w:p>
    <w:p w:rsidR="00AD7FDB" w:rsidRPr="0055184A" w:rsidRDefault="00AD7FDB" w:rsidP="00AD7FDB">
      <w:pPr>
        <w:pStyle w:val="NormalHanging12a"/>
      </w:pPr>
      <w:r w:rsidRPr="0055184A">
        <w:rPr>
          <w:rStyle w:val="y2iqfc"/>
          <w:shd w:val="clear" w:color="auto" w:fill="FFFFFF"/>
        </w:rPr>
        <w:t>L.</w:t>
      </w:r>
      <w:r w:rsidRPr="0055184A">
        <w:rPr>
          <w:rStyle w:val="y2iqfc"/>
          <w:shd w:val="clear" w:color="auto" w:fill="FFFFFF"/>
        </w:rPr>
        <w:tab/>
      </w:r>
      <w:r w:rsidRPr="0055184A">
        <w:t>tā kā dažas dalībvalstis joprojām piedāvā tā dēvētās zelta vīzu programmas un investoru shēmas kā līdzekli šo valstu un līdz ar to arī ES pilsonības iegūšanai,</w:t>
      </w:r>
    </w:p>
    <w:p w:rsidR="00AD7FDB" w:rsidRPr="0055184A" w:rsidRDefault="00AD7FDB" w:rsidP="00AD7FDB">
      <w:pPr>
        <w:pStyle w:val="NormalHanging12a"/>
        <w:rPr>
          <w:b/>
          <w:i/>
        </w:rPr>
      </w:pPr>
      <w:r w:rsidRPr="0055184A">
        <w:rPr>
          <w:b/>
          <w:i/>
        </w:rPr>
        <w:t>Ievads</w:t>
      </w:r>
    </w:p>
    <w:p w:rsidR="00AD7FDB" w:rsidRPr="0055184A" w:rsidRDefault="00AD7FDB" w:rsidP="00AD7FDB">
      <w:pPr>
        <w:pStyle w:val="NormalHanging12a"/>
      </w:pPr>
      <w:r w:rsidRPr="0055184A">
        <w:t>1.</w:t>
      </w:r>
      <w:r w:rsidRPr="0055184A">
        <w:tab/>
        <w:t>uzskata, ka ES pilsonība ietver vienotu un kopīgu Eiropas demokrātisko identitāti un ar to saistītās īpašās tiesības, pilsoņu pienākumus un brīvības un ka šo tiesību īstenošana gan tiešsaistē, gan reālajā dzīvē stiprina pilsoņu saikni ar ES un tās demokrātisko leģitimitāti, kā arī nodrošina viņiem papildu tiesības;</w:t>
      </w:r>
    </w:p>
    <w:p w:rsidR="00AD7FDB" w:rsidRPr="0055184A" w:rsidRDefault="00AD7FDB" w:rsidP="00AD7FDB">
      <w:pPr>
        <w:pStyle w:val="NormalHanging12a"/>
      </w:pPr>
      <w:r w:rsidRPr="0055184A">
        <w:t>2.</w:t>
      </w:r>
      <w:r w:rsidRPr="0055184A">
        <w:tab/>
        <w:t xml:space="preserve">norāda, ka ES pilsonības veidošanā ir jāvirzās uz priekšu, lai apmierinātu ES 21. gadsimta vajadzības un risinātu problēmas, atzīstot digitālās inovācijas potenciālu un nepieciešamību pēc līdzsvarotas pieejas, kas aptvertu globalizācijas un jauno tehnoloģiju radīto sarežģītību; uzsver, ka demokrātisko procesu </w:t>
      </w:r>
      <w:proofErr w:type="spellStart"/>
      <w:r w:rsidRPr="0055184A">
        <w:t>digitalizācija</w:t>
      </w:r>
      <w:proofErr w:type="spellEnd"/>
      <w:r w:rsidRPr="0055184A">
        <w:t xml:space="preserve"> apvienojumā ar nepietiekamu digitālo </w:t>
      </w:r>
      <w:proofErr w:type="spellStart"/>
      <w:r w:rsidRPr="0055184A">
        <w:t>pratību</w:t>
      </w:r>
      <w:proofErr w:type="spellEnd"/>
      <w:r w:rsidRPr="0055184A">
        <w:t xml:space="preserve"> un piekļuvi informācijas un komunikācijas tehnoloģijām var veicināt pieaugošo digitālo plaisu pilsonības tiesību īstenošanā, atstājot daļu sabiedrības atsvešinātu no Eiropas projekta;</w:t>
      </w:r>
    </w:p>
    <w:p w:rsidR="00AD7FDB" w:rsidRPr="0055184A" w:rsidRDefault="00AD7FDB" w:rsidP="00AD7FDB">
      <w:pPr>
        <w:pStyle w:val="NormalHanging12a"/>
        <w:rPr>
          <w:rStyle w:val="doceo-font-family-base"/>
          <w:rFonts w:eastAsiaTheme="minorHAnsi"/>
          <w:b/>
          <w:i/>
        </w:rPr>
      </w:pPr>
      <w:r w:rsidRPr="0055184A">
        <w:rPr>
          <w:rStyle w:val="doceo-font-family-base"/>
        </w:rPr>
        <w:lastRenderedPageBreak/>
        <w:t>3.</w:t>
      </w:r>
      <w:r w:rsidRPr="0055184A">
        <w:rPr>
          <w:rStyle w:val="doceo-font-family-base"/>
        </w:rPr>
        <w:tab/>
        <w:t>uzskata, ka daudzvalodība ES iestādēs un to saziņā ar pilsoņiem ir būtisks aspekts, kas stiprinātu ES pilsonības jēdzienu; šajā sakarā uzsver, ka Padomes 2005. gada 13. jūnija secinājumos bija paredzēts, ka dalībvalstīs vai to teritorijas daļā atzītas valodas, kas nav oficiālās ES valodas, ES pilsoņi varētu izmantot saziņā ar ES iestādēm, kā arī oficiāli izmantot ES iestādēs vai struktūrās, tostarp Eiropas Parlamentā;</w:t>
      </w:r>
      <w:r w:rsidRPr="0055184A">
        <w:rPr>
          <w:rStyle w:val="doceo-font-family-base"/>
          <w:b/>
          <w:i/>
        </w:rPr>
        <w:t xml:space="preserve"> </w:t>
      </w:r>
    </w:p>
    <w:p w:rsidR="00AD7FDB" w:rsidRPr="0055184A" w:rsidRDefault="00AD7FDB" w:rsidP="00AD7FDB">
      <w:pPr>
        <w:pStyle w:val="NormalHanging12a"/>
        <w:rPr>
          <w:rStyle w:val="doceo-font-family-base"/>
        </w:rPr>
      </w:pPr>
      <w:r w:rsidRPr="0055184A">
        <w:rPr>
          <w:rStyle w:val="doceo-font-family-base"/>
        </w:rPr>
        <w:t>4.</w:t>
      </w:r>
      <w:r w:rsidRPr="0055184A">
        <w:rPr>
          <w:rStyle w:val="doceo-font-family-base"/>
        </w:rPr>
        <w:tab/>
      </w:r>
      <w:r w:rsidRPr="0055184A">
        <w:t>norāda, ka Parlaments ES pilsonības statūtus prasīja izveidot gan 2019. gada 12. februāra rezolūcijā par līguma noteikumu par ES pilsonību īstenošanu, gan 2022. gada 10. marta rezolūcijā par 2020. gada ziņojumu par ES pilsonību: iespēju nodrošināšana pilsoņiem un viņu tiesību aizsardzība;</w:t>
      </w:r>
      <w:r w:rsidRPr="0055184A">
        <w:rPr>
          <w:rStyle w:val="doceo-font-family-base"/>
        </w:rPr>
        <w:t xml:space="preserve"> </w:t>
      </w:r>
      <w:r w:rsidRPr="0055184A">
        <w:t>atgādina, ka Konference par Eiropas nākotni uzsvēra ES pilsonības stiprināšanas nozīmi, savos secinājumos norādot, ka šādi statūti būtu noderīgs instruments, lai ES principus un vērtības padarītu taustāmākus;</w:t>
      </w:r>
    </w:p>
    <w:p w:rsidR="00AD7FDB" w:rsidRPr="0055184A" w:rsidRDefault="00AD7FDB" w:rsidP="00AD7FDB">
      <w:pPr>
        <w:pStyle w:val="NormalHanging12a"/>
      </w:pPr>
      <w:r w:rsidRPr="0055184A">
        <w:t>5.</w:t>
      </w:r>
      <w:r w:rsidRPr="0055184A">
        <w:tab/>
        <w:t>pauž nožēlu par to, ka Komisija savā paziņojumā par pasākumiem pēc Konferences par Eiropas nākotni</w:t>
      </w:r>
      <w:r w:rsidRPr="0055184A">
        <w:rPr>
          <w:rStyle w:val="FootnoteReference"/>
        </w:rPr>
        <w:footnoteReference w:id="25"/>
      </w:r>
      <w:r w:rsidRPr="0055184A">
        <w:t xml:space="preserve"> nav īpaši pieminējusi ES pilsonības stiprināšanu un iespējamos veidus tā panākšanai; atgādina, ka Padome tehniskajā novērtējumā, ko tā publicēja saistībā ar Konferenci par Eiropas nākotni, izrādīja vēlmi stiprināt pilsonību, taču tā vēl nav ierosinājusi, sākusi vai veikusi pasākumus šā mērķa sasniegšanai;</w:t>
      </w:r>
    </w:p>
    <w:p w:rsidR="00AD7FDB" w:rsidRPr="0055184A" w:rsidRDefault="00AD7FDB" w:rsidP="00AD7FDB">
      <w:pPr>
        <w:pStyle w:val="NormalHanging12a"/>
      </w:pPr>
      <w:r w:rsidRPr="0055184A">
        <w:t>6.</w:t>
      </w:r>
      <w:r w:rsidRPr="0055184A">
        <w:tab/>
        <w:t>atgādina, ka Komisija līdz gada beigām publicēs 2023. gada ziņojumu par ES pilsonību, un sagaida, ka tajā tiks ierosinātas jaunas iniciatīvas ES pilsonības stiprināšanai un trūkumu tās īstenošanā novēršanai; pauž nožēlu par to, ka šoreiz Komisija ir izvēlējusies publicēt uzaicinājumu iesniegt atsauksmes, nevis rīko sabiedrisko apspriešanu, kā tas bija iepriekšējos gados; atgādina, ka uzaicinājuma iesniegt atsauksmes rezultāti neietver visaptverošu pārskatu par jaunākajām norisēm un īstenošanas nepilnībām; uzsver, ka ziņojums būtu jāsagatavo, pamatojoties uz atjauninātiem datiem;</w:t>
      </w:r>
    </w:p>
    <w:p w:rsidR="00AD7FDB" w:rsidRPr="0055184A" w:rsidRDefault="00AD7FDB" w:rsidP="00AD7FDB">
      <w:pPr>
        <w:pStyle w:val="NormalHanging12a"/>
        <w:rPr>
          <w:b/>
          <w:i/>
        </w:rPr>
      </w:pPr>
      <w:r w:rsidRPr="0055184A">
        <w:rPr>
          <w:b/>
          <w:i/>
        </w:rPr>
        <w:t>Problēmas saistībā ar ES pilsonību</w:t>
      </w:r>
    </w:p>
    <w:p w:rsidR="00AD7FDB" w:rsidRPr="0055184A" w:rsidRDefault="00AD7FDB" w:rsidP="00AD7FDB">
      <w:pPr>
        <w:pStyle w:val="NormalHanging12a"/>
        <w:rPr>
          <w:bCs/>
        </w:rPr>
      </w:pPr>
      <w:r w:rsidRPr="0055184A">
        <w:t>7.</w:t>
      </w:r>
      <w:r w:rsidRPr="0055184A">
        <w:tab/>
        <w:t>pauž bažas par konkrētām grūtībām, kas kavē pilnībā izmantot no ES pilsonības izrietošās tiesības un brīvības;</w:t>
      </w:r>
    </w:p>
    <w:p w:rsidR="00AD7FDB" w:rsidRPr="0055184A" w:rsidRDefault="00AD7FDB" w:rsidP="00AD7FDB">
      <w:pPr>
        <w:pStyle w:val="NormalHanging12a"/>
        <w:rPr>
          <w:b/>
          <w:i/>
        </w:rPr>
      </w:pPr>
      <w:r w:rsidRPr="0055184A">
        <w:rPr>
          <w:b/>
          <w:i/>
        </w:rPr>
        <w:t>Politiskās tiesības</w:t>
      </w:r>
    </w:p>
    <w:p w:rsidR="00AD7FDB" w:rsidRPr="0055184A" w:rsidRDefault="00AD7FDB" w:rsidP="00AD7FDB">
      <w:pPr>
        <w:pStyle w:val="NormalHanging12a"/>
        <w:rPr>
          <w:rStyle w:val="y2iqfc"/>
        </w:rPr>
      </w:pPr>
      <w:r w:rsidRPr="0055184A">
        <w:rPr>
          <w:rStyle w:val="y2iqfc"/>
        </w:rPr>
        <w:t>8.</w:t>
      </w:r>
      <w:r w:rsidRPr="0055184A">
        <w:rPr>
          <w:rStyle w:val="y2iqfc"/>
        </w:rPr>
        <w:tab/>
        <w:t>pauž nožēlu par to, ka mobilie pilsoņi retāk izmanto savas tiesības balsot un kandidēt Eiropas un pašvaldību vēlēšanās savās dzīvesvietas dalībvalstīs, tostarp nepietiekamas informācijas, valodas barjeras un grūtību reģistrēties balsošanai dēļ, kā arī tāpēc, ka ir neliels sekmīgo kandidātu skaits, kas nav attiecīgās valsts pilsoņi;</w:t>
      </w:r>
    </w:p>
    <w:p w:rsidR="00AD7FDB" w:rsidRPr="0055184A" w:rsidRDefault="00AD7FDB" w:rsidP="00AD7FDB">
      <w:pPr>
        <w:pStyle w:val="NormalHanging12a"/>
      </w:pPr>
      <w:r w:rsidRPr="0055184A">
        <w:t>9.</w:t>
      </w:r>
      <w:r w:rsidRPr="0055184A">
        <w:tab/>
        <w:t>pauž nopietnas bažas par dažu dalībvalstu praksi atņemt saviem pilsoņiem tiesības balsot valsts parlamenta vēlēšanās, ja viņi pastāvīgi vai uz laiku dzīvo ārvalstīs, kas noved pie viņu izslēgšanas no politiskās dzīves gan viņu izcelsmes valstī, gan dzīvesvietas valstī;</w:t>
      </w:r>
      <w:r w:rsidRPr="0055184A">
        <w:rPr>
          <w:b/>
          <w:i/>
        </w:rPr>
        <w:t xml:space="preserve"> </w:t>
      </w:r>
    </w:p>
    <w:p w:rsidR="00AD7FDB" w:rsidRPr="0055184A" w:rsidRDefault="00AD7FDB" w:rsidP="00AD7FDB">
      <w:pPr>
        <w:pStyle w:val="NormalHanging12a"/>
        <w:rPr>
          <w:b/>
          <w:i/>
        </w:rPr>
      </w:pPr>
      <w:r w:rsidRPr="0055184A">
        <w:rPr>
          <w:b/>
          <w:i/>
        </w:rPr>
        <w:t>Pārvietošanās un uzturēšanās brīvība</w:t>
      </w:r>
    </w:p>
    <w:p w:rsidR="00AD7FDB" w:rsidRPr="0055184A" w:rsidRDefault="00AD7FDB" w:rsidP="00AD7FDB">
      <w:pPr>
        <w:pStyle w:val="NormalHanging12a"/>
      </w:pPr>
      <w:r w:rsidRPr="0055184A">
        <w:t>10.</w:t>
      </w:r>
      <w:r w:rsidRPr="0055184A">
        <w:rPr>
          <w:b/>
          <w:i/>
        </w:rPr>
        <w:tab/>
      </w:r>
      <w:r w:rsidRPr="0055184A">
        <w:t xml:space="preserve">uzsver, ka Šengenas zona ir viens no lielākajiem ES sasniegumiem; uzsver, ka Eiropas Savienībā būtu jālikvidē visi šķēršļi pārvietošanās brīvībai, lai visiem Eiropas pilsoņiem </w:t>
      </w:r>
      <w:r w:rsidRPr="0055184A">
        <w:lastRenderedPageBreak/>
        <w:t>nodrošinātu vienlīdzīgas ES pilsonības tiesības; pieprasa Rumānijas un Bulgārijas pievienošanos Šengenas zonai saskaņā ar Parlamenta rezolūcijām;</w:t>
      </w:r>
    </w:p>
    <w:p w:rsidR="00AD7FDB" w:rsidRPr="0055184A" w:rsidRDefault="00AD7FDB" w:rsidP="00AD7FDB">
      <w:pPr>
        <w:pStyle w:val="NormalHanging12a"/>
        <w:rPr>
          <w:b/>
          <w:i/>
        </w:rPr>
      </w:pPr>
      <w:r w:rsidRPr="0055184A">
        <w:t>11.</w:t>
      </w:r>
      <w:r w:rsidRPr="0055184A">
        <w:tab/>
        <w:t>pauž bažas par to, ka attiecībā uz piekļuvi pabalstiem dzīvesvietas dalībvalstis pret mobilajiem ES pilsoņiem, jo īpaši tiem, kuri ir no neaizsargātām grupām, izturas citādi nekā pret saviem pilsoņiem;</w:t>
      </w:r>
      <w:r w:rsidRPr="0055184A">
        <w:rPr>
          <w:rStyle w:val="y2iqfc"/>
        </w:rPr>
        <w:t xml:space="preserve"> </w:t>
      </w:r>
      <w:r w:rsidRPr="0055184A">
        <w:t>aicina dalībvalstis pienācīgi īstenot ES Tiesas (EST) judikatūru, kas aizliedz šādu diskrimināciju;</w:t>
      </w:r>
      <w:r w:rsidRPr="0055184A">
        <w:rPr>
          <w:b/>
          <w:i/>
        </w:rPr>
        <w:t xml:space="preserve"> </w:t>
      </w:r>
    </w:p>
    <w:p w:rsidR="00AD7FDB" w:rsidRPr="0055184A" w:rsidRDefault="00AD7FDB" w:rsidP="00AD7FDB">
      <w:pPr>
        <w:pStyle w:val="NormalHanging12a"/>
      </w:pPr>
      <w:r w:rsidRPr="0055184A">
        <w:t>12.</w:t>
      </w:r>
      <w:r w:rsidRPr="0055184A">
        <w:rPr>
          <w:b/>
          <w:i/>
        </w:rPr>
        <w:tab/>
      </w:r>
      <w:r w:rsidRPr="0055184A">
        <w:t>pauž bažas par grūtībām un problēmām, ar kurām saskaras pilsoņi, kas dzīvo ES pārrobežu reģionos, jo īpaši robežu slēgšanas gadījumā ES mēroga vai reģionālu krīžu dēļ; šādos gadījumos aicina dalībvalstis saglabāt pārrobežu sadarbību un vajadzības gadījumā ciešu mijiedarbību ar attiecīgajām vietējām un reģionālajām pašvaldībām;</w:t>
      </w:r>
    </w:p>
    <w:p w:rsidR="00AD7FDB" w:rsidRPr="0055184A" w:rsidRDefault="00AD7FDB" w:rsidP="00AD7FDB">
      <w:pPr>
        <w:pStyle w:val="NormalHanging12a"/>
        <w:rPr>
          <w:b/>
          <w:i/>
        </w:rPr>
      </w:pPr>
      <w:r w:rsidRPr="0055184A">
        <w:rPr>
          <w:b/>
          <w:i/>
        </w:rPr>
        <w:t>Konsulārā aizsardzība</w:t>
      </w:r>
    </w:p>
    <w:p w:rsidR="00AD7FDB" w:rsidRPr="0055184A" w:rsidRDefault="00AD7FDB" w:rsidP="00AD7FDB">
      <w:pPr>
        <w:pStyle w:val="NormalHanging12a"/>
      </w:pPr>
      <w:r w:rsidRPr="0055184A">
        <w:t>13.</w:t>
      </w:r>
      <w:r w:rsidRPr="0055184A">
        <w:tab/>
        <w:t>pauž bažas par nepilnībām Konsulārās aizsardzības direktīvas īstenošanā un par trūkumiem dalībvalstu konsulāro tīklu darbībā, norādot, ka tie pastiprinājās pēc Apvienotās Karalistes izstāšanās no ES; šajā sakarā pauž nožēlu par to, ka ES pilsoņiem ir ierobežota piekļuve konsulārajai aizsardzībai un palīdzībai dažās trešās valstīs;</w:t>
      </w:r>
    </w:p>
    <w:p w:rsidR="00AD7FDB" w:rsidRPr="0055184A" w:rsidRDefault="00AD7FDB" w:rsidP="00AD7FDB">
      <w:pPr>
        <w:pStyle w:val="NormalHanging12a"/>
      </w:pPr>
      <w:r w:rsidRPr="0055184A">
        <w:t>14.</w:t>
      </w:r>
      <w:r w:rsidRPr="0055184A">
        <w:tab/>
        <w:t>norāda, ka ir bijuši gadījumi, kad divas personas, kas ir divu dažādu dalībvalstu pilsoņi, nav varējušas nokārtot konkrētas formalitātes, piemēram, noslēgt laulību, vienas dalībvalsts konsulārajā pārstāvniecībā, pat ja otrai dalībvalstij šajā valstī nav pieejamas konsulārās pārstāvniecības;</w:t>
      </w:r>
    </w:p>
    <w:p w:rsidR="00AD7FDB" w:rsidRPr="0055184A" w:rsidRDefault="00AD7FDB" w:rsidP="00AD7FDB">
      <w:pPr>
        <w:pStyle w:val="NormalHanging12a"/>
        <w:rPr>
          <w:b/>
          <w:i/>
        </w:rPr>
      </w:pPr>
      <w:r w:rsidRPr="0055184A">
        <w:rPr>
          <w:b/>
          <w:i/>
        </w:rPr>
        <w:t>Diskriminācija</w:t>
      </w:r>
    </w:p>
    <w:p w:rsidR="00AD7FDB" w:rsidRPr="0055184A" w:rsidRDefault="00AD7FDB" w:rsidP="00AD7FDB">
      <w:pPr>
        <w:pStyle w:val="NormalHanging12a"/>
      </w:pPr>
      <w:r w:rsidRPr="0055184A">
        <w:t>15.</w:t>
      </w:r>
      <w:r w:rsidRPr="0055184A">
        <w:tab/>
        <w:t>uzskata, ka dalībvalstu noteikumu par valsts pilsonības iegūšanu un zaudēšanu vienveidības trūkums ir radījis atšķirības attiecībā uz ES pilsonības iegūšanu un zaudēšanu un ka šīs atšķirības dažos gadījumos ir izraisījušas ES principu un vērtību pārkāpumus;</w:t>
      </w:r>
    </w:p>
    <w:p w:rsidR="00AD7FDB" w:rsidRPr="0055184A" w:rsidRDefault="00AD7FDB" w:rsidP="00AD7FDB">
      <w:pPr>
        <w:pStyle w:val="NormalHanging12a"/>
      </w:pPr>
      <w:r w:rsidRPr="0055184A">
        <w:t>16.</w:t>
      </w:r>
      <w:r w:rsidRPr="0055184A">
        <w:tab/>
        <w:t xml:space="preserve">uzsver, ka joprojām ir vairāki gadījumi, kad, neraugoties uz Tiesas judikatūras attīstību, tiek atteikta atvasinātu uzturēšanās tiesību iegūšana trešo valstu </w:t>
      </w:r>
      <w:proofErr w:type="spellStart"/>
      <w:r w:rsidRPr="0055184A">
        <w:t>valstspiederīgajiem</w:t>
      </w:r>
      <w:proofErr w:type="spellEnd"/>
      <w:r w:rsidRPr="0055184A">
        <w:t xml:space="preserve">, kuru nepilngadīgie apgādājamie ir ES pilsoņi; </w:t>
      </w:r>
    </w:p>
    <w:p w:rsidR="00AD7FDB" w:rsidRPr="0055184A" w:rsidRDefault="00AD7FDB" w:rsidP="00AD7FDB">
      <w:pPr>
        <w:pStyle w:val="NormalHanging12a"/>
      </w:pPr>
      <w:r w:rsidRPr="0055184A">
        <w:t>17.</w:t>
      </w:r>
      <w:r w:rsidRPr="0055184A">
        <w:rPr>
          <w:b/>
        </w:rPr>
        <w:tab/>
      </w:r>
      <w:r w:rsidRPr="0055184A">
        <w:t xml:space="preserve">atkārtoti pauž bažas par diskrimināciju, ar ko saskaras viendzimuma pāri un viņu bērni, īstenojot </w:t>
      </w:r>
      <w:proofErr w:type="spellStart"/>
      <w:r w:rsidRPr="0055184A">
        <w:t>pamattiesības</w:t>
      </w:r>
      <w:proofErr w:type="spellEnd"/>
      <w:r w:rsidRPr="0055184A">
        <w:t xml:space="preserve"> uz pārvietošanās brīvību Eiropas Savienībā; </w:t>
      </w:r>
    </w:p>
    <w:p w:rsidR="00AD7FDB" w:rsidRPr="0055184A" w:rsidRDefault="00AD7FDB" w:rsidP="00AD7FDB">
      <w:pPr>
        <w:pStyle w:val="NormalHanging12a"/>
        <w:rPr>
          <w:b/>
          <w:i/>
        </w:rPr>
      </w:pPr>
      <w:r w:rsidRPr="0055184A">
        <w:rPr>
          <w:b/>
          <w:i/>
        </w:rPr>
        <w:t>Ieteikumi</w:t>
      </w:r>
    </w:p>
    <w:p w:rsidR="00AD7FDB" w:rsidRPr="0055184A" w:rsidRDefault="00AD7FDB" w:rsidP="00AD7FDB">
      <w:pPr>
        <w:pStyle w:val="NormalHanging12a"/>
      </w:pPr>
      <w:r w:rsidRPr="0055184A">
        <w:t>18.</w:t>
      </w:r>
      <w:r w:rsidRPr="0055184A">
        <w:tab/>
        <w:t>aicina dalībvalstis un reģionālās un vietējās iestādes pilnībā īstenot spēkā esošās direktīvas par mobilo pilsoņu tiesībām un nekavējoties novērst dažādos pastāvošos trūkumus, ņemot vērā gaidāmās Eiropas vēlēšanas; prasa dzīvesvietas valstī veikt mērķtiecīgas izpratnes veicināšanas kampaņas, lai informētu mobilos ES pilsoņus par viņu tiesībām balsot un kandidēt Eiropas un pašvaldību vēlēšanās attiecīgajā valstī; atkārtoti aicina paplašināt mobilo pilsoņu tiesības arī uz valsts un reģionālajām vēlēšanām;</w:t>
      </w:r>
    </w:p>
    <w:p w:rsidR="00AD7FDB" w:rsidRPr="0055184A" w:rsidRDefault="00AD7FDB" w:rsidP="00AD7FDB">
      <w:pPr>
        <w:pStyle w:val="NormalHanging12a"/>
      </w:pPr>
      <w:r w:rsidRPr="0055184A">
        <w:t>19.</w:t>
      </w:r>
      <w:r w:rsidRPr="0055184A">
        <w:tab/>
        <w:t xml:space="preserve">aicina dalībvalstis garantēt savu emigrējušo pilsoņu tiesības balsot savā izcelsmes valstī, ja tiesības ir atzītas, izstrādājot regulatīvos nosacījumus, kas ļauj viņiem balsot, un novēršot jebkādus birokrātiskos šķēršļus, kas kavē un dažkārt neļauj izmantot šīs </w:t>
      </w:r>
      <w:r w:rsidRPr="0055184A">
        <w:lastRenderedPageBreak/>
        <w:t xml:space="preserve">tiesības; jo īpaši aicina dalībvalstis vienlīdz garantēt šādas tiesības un novērst jebkādu atšķirīgu attieksmi pret to </w:t>
      </w:r>
      <w:proofErr w:type="spellStart"/>
      <w:r w:rsidRPr="0055184A">
        <w:t>valstspiederīgajiem</w:t>
      </w:r>
      <w:proofErr w:type="spellEnd"/>
      <w:r w:rsidRPr="0055184A">
        <w:t>, kuri ir emigranti, attiecībā uz attālinātu balsošanu, jo īpaši balsošanu pa pastu, ja tāda ir paredzēta; prasa vienādi piemērot tiesības balsot Eiropas vēlēšanās ES pilsoņiem, kas dzīvo ārpus ES;</w:t>
      </w:r>
    </w:p>
    <w:p w:rsidR="00AD7FDB" w:rsidRPr="0055184A" w:rsidRDefault="00AD7FDB" w:rsidP="00AD7FDB">
      <w:pPr>
        <w:pStyle w:val="NormalHanging12a"/>
      </w:pPr>
      <w:r w:rsidRPr="0055184A">
        <w:t>20.</w:t>
      </w:r>
      <w:r w:rsidRPr="0055184A">
        <w:tab/>
      </w:r>
      <w:r w:rsidRPr="0055184A">
        <w:rPr>
          <w:rStyle w:val="doceo-font-family-base"/>
        </w:rPr>
        <w:t>aicina Komisiju</w:t>
      </w:r>
      <w:r w:rsidRPr="0055184A">
        <w:t xml:space="preserve"> pieņemt jaunu paziņojumu, kurā precizēti daži galvenie jēdzieni, kas ietverti Direktīvā 2004/38/EK par ES pilsoņu un viņu ģimenes locekļu tiesībām brīvi pārvietoties un uzturēties ES, lai dalībvalstīm sniegtu atjauninātas vadlīnijas, kas varētu palīdzēt uzlabot direktīvas īstenošanu valstu līmenī, tādējādi sniedzot labumu ES pilsoņiem un viņu ģimenes locekļiem;</w:t>
      </w:r>
    </w:p>
    <w:p w:rsidR="00AD7FDB" w:rsidRPr="0055184A" w:rsidRDefault="00AD7FDB" w:rsidP="00AD7FDB">
      <w:pPr>
        <w:pStyle w:val="NormalHanging12a"/>
      </w:pPr>
      <w:r w:rsidRPr="0055184A">
        <w:t>21.</w:t>
      </w:r>
      <w:r w:rsidRPr="0055184A">
        <w:tab/>
        <w:t>prasa ES veicināt saistošas Eiropas digitālo tiesību hartas, tostarp digitālās pilsonības tiesību, pieņemšanu, pamatojoties uz Eiropas deklarāciju par digitālajām tiesībām un principiem digitālajai desmitgadei;</w:t>
      </w:r>
    </w:p>
    <w:p w:rsidR="00AD7FDB" w:rsidRPr="0055184A" w:rsidRDefault="00AD7FDB" w:rsidP="00AD7FDB">
      <w:pPr>
        <w:pStyle w:val="NormalHanging12a"/>
      </w:pPr>
      <w:r w:rsidRPr="0055184A">
        <w:t>22.</w:t>
      </w:r>
      <w:r w:rsidRPr="0055184A">
        <w:tab/>
      </w:r>
      <w:r w:rsidR="002B22B4" w:rsidRPr="0055184A">
        <w:t>atzinīgi vērtē Komisijas priekšlikumu atjaunināt un uzlabot Konsulārās aizsardzības direktīvu, lai stiprinātu ES pilsoņu tiesības uz konsulāro aizsardzību, jo īpaši krīzes situācijās, tostarp piešķirot ES delegācijām aktīvāku lomu palīdzības sniegšanā nepietiekami pārstāvētiem ES pilsoņiem</w:t>
      </w:r>
      <w:r w:rsidRPr="0055184A">
        <w:t>;</w:t>
      </w:r>
    </w:p>
    <w:p w:rsidR="00AD7FDB" w:rsidRPr="0055184A" w:rsidRDefault="00AD7FDB" w:rsidP="00AD7FDB">
      <w:pPr>
        <w:pStyle w:val="NormalHanging12a"/>
      </w:pPr>
      <w:r w:rsidRPr="0055184A">
        <w:t>23.</w:t>
      </w:r>
      <w:r w:rsidRPr="0055184A">
        <w:tab/>
        <w:t>aicina dalībvalstis izbeigt t. s. “zelta vīzu” programmas un investoru programmas, kā arī visas citas līdzīgas valsts shēmas, kas ļauj iegūt to pilsonību un ietver tiešu vai netiešu ES pilsonības pārdošanu un ļaunprātīgu izmantošanu, jo tās grauj pašu ES pilsonības jēdzienu un pārkāpj ES principus un vērtības; mudina dalībvalstis aizsargāt ES pilsonības integritāti un vērtību; aicina Komisiju veikt visus nepieciešamos pasākumus, piemēram, vērsties EST pret attiecīgajām dalībvalstīm;</w:t>
      </w:r>
    </w:p>
    <w:p w:rsidR="00AD7FDB" w:rsidRPr="0055184A" w:rsidRDefault="00AD7FDB" w:rsidP="00AD7FDB">
      <w:pPr>
        <w:pStyle w:val="NormalHanging12a"/>
      </w:pPr>
      <w:r w:rsidRPr="0055184A">
        <w:t>24.</w:t>
      </w:r>
      <w:r w:rsidRPr="0055184A">
        <w:rPr>
          <w:b/>
          <w:i/>
        </w:rPr>
        <w:tab/>
      </w:r>
      <w:r w:rsidRPr="0055184A">
        <w:t xml:space="preserve">prasa Līgumu nākamajā pārskatīšanā paredzēt noteikumu, ka Parlaments un Padome saskaņā ar parasto likumdošanas procedūru var pieņemt kopīgus noteikumus par to, kā novērst pasu pārdošanu trešo valstu </w:t>
      </w:r>
      <w:proofErr w:type="spellStart"/>
      <w:r w:rsidRPr="0055184A">
        <w:t>valstspiederīgajiem</w:t>
      </w:r>
      <w:proofErr w:type="spellEnd"/>
      <w:r w:rsidRPr="0055184A">
        <w:t xml:space="preserve"> vai citādu ļaunprātīgu izmantošanu attiecībā uz ES pilsonības iegūšanu vai zaudēšanu, lai savstarpēji tuvinātu dažādos nosacījumus, saskaņā ar kuriem var iegūt šādu pilsonību;</w:t>
      </w:r>
    </w:p>
    <w:p w:rsidR="00AD7FDB" w:rsidRPr="0055184A" w:rsidRDefault="00AD7FDB" w:rsidP="00AD7FDB">
      <w:pPr>
        <w:pStyle w:val="NormalHanging12a"/>
      </w:pPr>
      <w:r w:rsidRPr="0055184A">
        <w:t>25.</w:t>
      </w:r>
      <w:r w:rsidRPr="0055184A">
        <w:tab/>
        <w:t>aicina dalībvalstis un attiecīgās iestādes pielāgot skolu mācību programmas vai izstrādāt jaunas, lai mācītu Eiropas un Eiropas Savienības vēsturi un tās darbību, veicinātu aktīvu pilsonību un kopīgās Eiropas vērtības un tādējādi palielinātu izpratni par pievienoto vērtību, ko sniedz piederība Eiropai un ES pilsonība; uzsver, ka pilsoniskuma izglītības Eiropas dimensijas uzlabošana un vienlīdzīgas piekļuves nodrošināšana visiem, arī izmantojot visus mūsu rīcībā esošos digitālos rīkus, ļaus ES pilsoņiem rīkoties kā informētiem pilsoņiem un pilnībā piedalīties pilsoniskajā, politiskajā un sociālajā dzīvē gan Eiropas, gan valstu līmenī; uzsver, ka programmai “</w:t>
      </w:r>
      <w:proofErr w:type="spellStart"/>
      <w:r w:rsidRPr="0055184A">
        <w:t>Erasmus</w:t>
      </w:r>
      <w:proofErr w:type="spellEnd"/>
      <w:r w:rsidRPr="0055184A">
        <w:t>+” var būt svarīga loma ES pilsoniskuma izglītības veicināšanā, izmantojot mācību mobilitāti visiem neatkarīgi no vecuma, dzimuma, nodarbinātības vai izglītības līmeņa;</w:t>
      </w:r>
    </w:p>
    <w:p w:rsidR="00AD7FDB" w:rsidRPr="0055184A" w:rsidRDefault="00AD7FDB" w:rsidP="00AD7FDB">
      <w:pPr>
        <w:pStyle w:val="NormalHanging12a"/>
      </w:pPr>
      <w:r w:rsidRPr="0055184A">
        <w:t>26.</w:t>
      </w:r>
      <w:r w:rsidRPr="0055184A">
        <w:tab/>
        <w:t xml:space="preserve">aicina Komisiju attīstīt visiem ES pilsoņiem, jo īpaši jauniešiem, pielāgotas sabiedriskās apspriešanas, lai palielinātu ES pilsoņu līdzdalību; mudina Komisiju atjaunināt veidu, kādā tiek rīkotas sabiedriskās apspriešanas, lai veicinātu plašāku Eiropas pilsoņu pilsonisko iesaisti un līdzdalību saskaņā ar Konferences par Eiropas nākotni veiksmīgo piemēru; šajā sakarā aicina Komisiju turpināt uzlabot portālu “Izsakiet viedokli”, izmantojot jaunās tehnoloģijas, un informēt par to, kā pilsoņu atsauksmes dod ieguldījumu dažādās iniciatīvās; </w:t>
      </w:r>
    </w:p>
    <w:p w:rsidR="00AD7FDB" w:rsidRPr="0055184A" w:rsidRDefault="00AD7FDB" w:rsidP="00AD7FDB">
      <w:pPr>
        <w:pStyle w:val="NormalHanging12a"/>
        <w:shd w:val="clear" w:color="auto" w:fill="FFFFFF" w:themeFill="background1"/>
      </w:pPr>
      <w:r w:rsidRPr="0055184A">
        <w:lastRenderedPageBreak/>
        <w:t>27.</w:t>
      </w:r>
      <w:r w:rsidRPr="0055184A">
        <w:tab/>
        <w:t xml:space="preserve">aicina izveidot vienotu kontaktpunktu visiem ES līdzdalības instrumentiem, piemēram, Eiropas pilsoņu iniciatīvai, lūgumrakstiem Parlamentam, sūdzībām Eiropas </w:t>
      </w:r>
      <w:proofErr w:type="spellStart"/>
      <w:r w:rsidRPr="0055184A">
        <w:t>Ombudam</w:t>
      </w:r>
      <w:proofErr w:type="spellEnd"/>
      <w:r w:rsidRPr="0055184A">
        <w:t xml:space="preserve">, sabiedriskajām apspriešanām un </w:t>
      </w:r>
      <w:proofErr w:type="spellStart"/>
      <w:r w:rsidRPr="0055184A">
        <w:t>pilsoņdialogiem</w:t>
      </w:r>
      <w:proofErr w:type="spellEnd"/>
      <w:r w:rsidRPr="0055184A">
        <w:t xml:space="preserve">, un uzlabot šo instrumentu efektivitāti, jo īpaši nodrošinot, ka tie veicina Eiropas darba kārtības veidošanu, vienlaikus arī garantējot, ka lēmumu pieņemšanas procesā tiek stiprināta pārstāvības demokrātija; aicina Komisiju, dalībvalstis un reģionālās un vietējās iestādes pastiprināt centienus, lai informētu sabiedrību par esošajiem līdzdalības instrumentiem; </w:t>
      </w:r>
    </w:p>
    <w:p w:rsidR="00AD7FDB" w:rsidRPr="0055184A" w:rsidRDefault="00AD7FDB" w:rsidP="00AD7FDB">
      <w:pPr>
        <w:pStyle w:val="NormalHanging12a"/>
        <w:shd w:val="clear" w:color="auto" w:fill="FFFFFF" w:themeFill="background1"/>
      </w:pPr>
      <w:r w:rsidRPr="0055184A">
        <w:t>28.</w:t>
      </w:r>
      <w:r w:rsidRPr="0055184A">
        <w:tab/>
        <w:t>atkārtoti ierosina izveidot pastāvīgu apspriešanās ar pilsoņiem mehānismu, kas ļautu pilsoņiem, jo īpaši jauniešiem, apspriesties par ES prioritātēm un politikas virzieniem, cita starpā veicinot “jaunatnes pārbaudes” piemērošanu likumdošanā, lai papildinātu, nevis aizstātu pārstāvības parlamentāro demokrātiju; ierosina informēt Parlamenta deputātus par šīm apspriedēm, lai viņi varētu izvērtēt, vai vajadzības gadījumā veikt turpmākus pasākumus;</w:t>
      </w:r>
    </w:p>
    <w:p w:rsidR="00AD7FDB" w:rsidRPr="0055184A" w:rsidRDefault="00AD7FDB" w:rsidP="00AD7FDB">
      <w:pPr>
        <w:pStyle w:val="NormalHanging12a"/>
      </w:pPr>
      <w:r w:rsidRPr="0055184A">
        <w:t>29.</w:t>
      </w:r>
      <w:r w:rsidRPr="0055184A">
        <w:tab/>
        <w:t>ierosina apsvērt iespēju ieviest Eiropas pilsoņu karti, kas, piemēram, varētu atvieglot pilsonības tiesību izmantošanu un balsošanu Eiropas vēlēšanās, kā arī līdzdalības instrumentu izmantošanu;</w:t>
      </w:r>
    </w:p>
    <w:p w:rsidR="00AD7FDB" w:rsidRPr="0055184A" w:rsidRDefault="00AD7FDB" w:rsidP="00AD7FDB">
      <w:pPr>
        <w:pStyle w:val="NormalHanging12a"/>
        <w:shd w:val="clear" w:color="auto" w:fill="FFFFFF" w:themeFill="background1"/>
      </w:pPr>
      <w:r w:rsidRPr="0055184A">
        <w:t>30.</w:t>
      </w:r>
      <w:r w:rsidRPr="0055184A">
        <w:rPr>
          <w:b/>
          <w:i/>
        </w:rPr>
        <w:tab/>
      </w:r>
      <w:r w:rsidRPr="0055184A">
        <w:t xml:space="preserve">uzsver </w:t>
      </w:r>
      <w:proofErr w:type="spellStart"/>
      <w:r w:rsidRPr="0055184A">
        <w:rPr>
          <w:i/>
          <w:iCs/>
        </w:rPr>
        <w:t>Europe</w:t>
      </w:r>
      <w:proofErr w:type="spellEnd"/>
      <w:r w:rsidRPr="0055184A">
        <w:rPr>
          <w:i/>
          <w:iCs/>
        </w:rPr>
        <w:t xml:space="preserve"> </w:t>
      </w:r>
      <w:proofErr w:type="spellStart"/>
      <w:r w:rsidRPr="0055184A">
        <w:rPr>
          <w:i/>
          <w:iCs/>
        </w:rPr>
        <w:t>Direct</w:t>
      </w:r>
      <w:proofErr w:type="spellEnd"/>
      <w:r w:rsidRPr="0055184A">
        <w:t xml:space="preserve"> biroju būtisko lomu pilsoņu līdzdalības ES demokrātiskajā dzīvē vietējā līmenī palielināšanā; mudina dalībvalstis un reģionālā un vietējā līmeņa struktūras pastiprināt sadarbību ar šiem birojiem;</w:t>
      </w:r>
    </w:p>
    <w:p w:rsidR="00AD7FDB" w:rsidRPr="0055184A" w:rsidRDefault="00AD7FDB" w:rsidP="00AD7FDB">
      <w:pPr>
        <w:pStyle w:val="NormalHanging12a"/>
      </w:pPr>
      <w:r w:rsidRPr="0055184A">
        <w:t>31.</w:t>
      </w:r>
      <w:r w:rsidRPr="0055184A">
        <w:rPr>
          <w:b/>
          <w:i/>
        </w:rPr>
        <w:tab/>
      </w:r>
      <w:r w:rsidRPr="0055184A">
        <w:t xml:space="preserve">aicina Komisiju vairāk izmantot sociālos medijus un digitālos rīkus, īpašu uzmanību pievēršot tam, lai palielinātu jauniešu un personu ar invaliditāti iesaisti demokrātiskajā procesā, tādējādi veicinot viņu iesaistīšanos, vienlaikus atzīstot arī samazināto </w:t>
      </w:r>
      <w:proofErr w:type="spellStart"/>
      <w:r w:rsidRPr="0055184A">
        <w:t>atļāuto</w:t>
      </w:r>
      <w:proofErr w:type="spellEnd"/>
      <w:r w:rsidRPr="0055184A">
        <w:t xml:space="preserve"> balsošanas vecumu dalībvalstīs Eiropas Parlamenta vēlēšanās; šajā sakarā aicina Komisiju stiprināt demokrātiskās līdzdalības veicināšanu, paplašinot dialogu ar pilsoņiem un palielinot pilsoņu informētību par ES tiesību aktu ietekmi uz viņu ikdienas dzīvi; </w:t>
      </w:r>
    </w:p>
    <w:p w:rsidR="00AD7FDB" w:rsidRPr="0055184A" w:rsidRDefault="00AD7FDB" w:rsidP="00AD7FDB">
      <w:pPr>
        <w:pStyle w:val="NormalHanging12a"/>
      </w:pPr>
      <w:r w:rsidRPr="0055184A">
        <w:t>32.</w:t>
      </w:r>
      <w:r w:rsidRPr="0055184A">
        <w:rPr>
          <w:b/>
          <w:i/>
        </w:rPr>
        <w:tab/>
      </w:r>
      <w:r w:rsidRPr="0055184A">
        <w:t xml:space="preserve">uzskata, ka, ņemot vērā digitālās jomas, jo īpaši sociālo mediju un MI, pieaugošo ietekmi uz pilsoņu dzīvēm, joprojām ir svarīgi, lai dalībvalstis un Eiropas iestādes arī turpmāk izstrādātu jaunas publiskās politikas un ieviestu efektīvus mehānismus, kuru mērķis ir aizsargāt </w:t>
      </w:r>
      <w:proofErr w:type="spellStart"/>
      <w:r w:rsidRPr="0055184A">
        <w:t>pamattiesības</w:t>
      </w:r>
      <w:proofErr w:type="spellEnd"/>
      <w:r w:rsidRPr="0055184A">
        <w:t xml:space="preserve"> tiešsaistē un cīnīties pret ārvalstu iejaukšanos un dezinformāciju, jo tās rada eksistenciālus draudus demokrātijai un pašai pilsoņu tiesību izmantošanai; </w:t>
      </w:r>
    </w:p>
    <w:p w:rsidR="00AD7FDB" w:rsidRPr="0055184A" w:rsidRDefault="00AD7FDB" w:rsidP="00AD7FDB">
      <w:pPr>
        <w:spacing w:after="240"/>
        <w:ind w:left="567" w:hanging="567"/>
        <w:rPr>
          <w:rFonts w:eastAsiaTheme="minorHAnsi" w:cstheme="minorBidi"/>
          <w:szCs w:val="22"/>
        </w:rPr>
      </w:pPr>
      <w:r w:rsidRPr="0055184A">
        <w:t>33.</w:t>
      </w:r>
      <w:r w:rsidRPr="0055184A">
        <w:tab/>
        <w:t>mudina Padomi un Komisiju atsākt sarunas par Regulas (EK) Nr. 1049/2001</w:t>
      </w:r>
      <w:r w:rsidRPr="0055184A">
        <w:rPr>
          <w:rFonts w:eastAsiaTheme="minorHAnsi" w:cstheme="minorBidi"/>
          <w:szCs w:val="22"/>
          <w:vertAlign w:val="superscript"/>
          <w:lang w:eastAsia="en-US"/>
        </w:rPr>
        <w:footnoteReference w:id="26"/>
      </w:r>
      <w:r w:rsidRPr="0055184A">
        <w:t xml:space="preserve"> pārskatīšanu, lai nodrošinātu, ka ES pilsoņi var pilnībā izmantot savas tiesības piekļūt dokumentiem un rūpīgi pārbaudīt ES iestādes, struktūras, birojus un aģentūras;</w:t>
      </w:r>
    </w:p>
    <w:p w:rsidR="00AD7FDB" w:rsidRPr="0055184A" w:rsidRDefault="00AD7FDB" w:rsidP="00AD7FDB">
      <w:pPr>
        <w:pStyle w:val="AMNumberTabs"/>
        <w:keepNext/>
        <w:spacing w:before="0" w:after="240"/>
        <w:ind w:left="567" w:hanging="567"/>
        <w:jc w:val="both"/>
        <w:rPr>
          <w:rStyle w:val="doceo-font-family-base"/>
          <w:rFonts w:eastAsiaTheme="minorHAnsi"/>
          <w:b w:val="0"/>
          <w:szCs w:val="24"/>
        </w:rPr>
      </w:pPr>
      <w:r w:rsidRPr="0055184A">
        <w:rPr>
          <w:rStyle w:val="doceo-font-family-base"/>
          <w:b w:val="0"/>
        </w:rPr>
        <w:t>34.</w:t>
      </w:r>
      <w:r w:rsidRPr="0055184A">
        <w:rPr>
          <w:rStyle w:val="doceo-font-family-base"/>
        </w:rPr>
        <w:tab/>
      </w:r>
      <w:r w:rsidRPr="0055184A">
        <w:rPr>
          <w:b w:val="0"/>
        </w:rPr>
        <w:t xml:space="preserve">atkārtoti norāda, ka, pamatojoties uz LESD 25. pantu, ir jāizstrādā ES pilsonības statūti, kuros būtu apkopotas pašreizējās un turpmākās pilsonības tiesības, lai uzlabotu pilsonības tiesību </w:t>
      </w:r>
      <w:proofErr w:type="spellStart"/>
      <w:r w:rsidRPr="0055184A">
        <w:rPr>
          <w:b w:val="0"/>
        </w:rPr>
        <w:t>izpildāmību</w:t>
      </w:r>
      <w:proofErr w:type="spellEnd"/>
      <w:r w:rsidRPr="0055184A">
        <w:rPr>
          <w:b w:val="0"/>
        </w:rPr>
        <w:t xml:space="preserve"> un nodrošinātu pilsoņu līdztiesību, uzlabojot kohēziju un reaģējot uz sociālajām, ekonomiskajām, politiskajām un digitālajām pārmaiņām; atgādina, ka tas </w:t>
      </w:r>
      <w:r w:rsidRPr="0055184A">
        <w:rPr>
          <w:b w:val="0"/>
        </w:rPr>
        <w:lastRenderedPageBreak/>
        <w:t>būtu jāveic saskaņā ar Līgumiem;</w:t>
      </w:r>
      <w:r w:rsidRPr="0055184A">
        <w:rPr>
          <w:rStyle w:val="doceo-font-family-base"/>
          <w:b w:val="0"/>
        </w:rPr>
        <w:t xml:space="preserve"> </w:t>
      </w:r>
    </w:p>
    <w:p w:rsidR="00AD7FDB" w:rsidRPr="0055184A" w:rsidRDefault="00AD7FDB" w:rsidP="00AD7FDB">
      <w:pPr>
        <w:pStyle w:val="AMNumberTabs"/>
        <w:keepNext/>
        <w:ind w:left="567" w:hanging="567"/>
        <w:jc w:val="both"/>
        <w:rPr>
          <w:b w:val="0"/>
        </w:rPr>
      </w:pPr>
      <w:r w:rsidRPr="0055184A">
        <w:rPr>
          <w:b w:val="0"/>
        </w:rPr>
        <w:t>35.</w:t>
      </w:r>
      <w:r w:rsidRPr="0055184A">
        <w:rPr>
          <w:b w:val="0"/>
        </w:rPr>
        <w:tab/>
        <w:t xml:space="preserve">ierosina, ka līdzdalības un politisko tiesību, pārvietošanās brīvības un digitālās pilsonības jomā un saskaņā ar spēkā esošajiem un turpmākajiem ES tiesību aktiem pilsoņiem jo īpaši vajadzētu nodrošināt: </w:t>
      </w:r>
    </w:p>
    <w:p w:rsidR="00AD7FDB" w:rsidRPr="0055184A" w:rsidRDefault="00AD7FDB" w:rsidP="002B22B4">
      <w:pPr>
        <w:pStyle w:val="AMNumberTabs"/>
        <w:keepNext/>
        <w:ind w:left="1134" w:hanging="567"/>
        <w:jc w:val="both"/>
        <w:rPr>
          <w:b w:val="0"/>
        </w:rPr>
      </w:pPr>
      <w:r w:rsidRPr="0055184A">
        <w:rPr>
          <w:b w:val="0"/>
        </w:rPr>
        <w:t xml:space="preserve">– </w:t>
      </w:r>
      <w:r w:rsidR="007C20FB" w:rsidRPr="0055184A">
        <w:rPr>
          <w:b w:val="0"/>
        </w:rPr>
        <w:tab/>
      </w:r>
      <w:r w:rsidRPr="0055184A">
        <w:rPr>
          <w:b w:val="0"/>
        </w:rPr>
        <w:t xml:space="preserve">dzimumu ziņā līdzsvarotu demokrātisku pārstāvību vēlēšanu sarakstos; </w:t>
      </w:r>
    </w:p>
    <w:p w:rsidR="00AD7FDB" w:rsidRPr="0055184A" w:rsidRDefault="00AD7FDB" w:rsidP="002B22B4">
      <w:pPr>
        <w:pStyle w:val="AMNumberTabs"/>
        <w:keepNext/>
        <w:ind w:left="1134" w:hanging="567"/>
        <w:jc w:val="both"/>
        <w:rPr>
          <w:b w:val="0"/>
        </w:rPr>
      </w:pPr>
      <w:r w:rsidRPr="0055184A">
        <w:rPr>
          <w:b w:val="0"/>
        </w:rPr>
        <w:t xml:space="preserve">– </w:t>
      </w:r>
      <w:r w:rsidR="007C20FB" w:rsidRPr="0055184A">
        <w:rPr>
          <w:b w:val="0"/>
        </w:rPr>
        <w:tab/>
      </w:r>
      <w:r w:rsidRPr="0055184A">
        <w:rPr>
          <w:b w:val="0"/>
        </w:rPr>
        <w:t xml:space="preserve">pastāvīgu interaktīvu digitālo platformu, ar kuras starpniecību pilsoņi var iesniegt savus priekšlikumus un idejas visās ES oficiālajās valodās; </w:t>
      </w:r>
    </w:p>
    <w:p w:rsidR="00AD7FDB" w:rsidRPr="0055184A" w:rsidRDefault="00AD7FDB" w:rsidP="002B22B4">
      <w:pPr>
        <w:pStyle w:val="AMNumberTabs"/>
        <w:keepNext/>
        <w:ind w:left="1134" w:hanging="567"/>
        <w:jc w:val="both"/>
        <w:rPr>
          <w:b w:val="0"/>
        </w:rPr>
      </w:pPr>
      <w:r w:rsidRPr="0055184A">
        <w:rPr>
          <w:b w:val="0"/>
        </w:rPr>
        <w:t xml:space="preserve">– </w:t>
      </w:r>
      <w:r w:rsidR="007C20FB" w:rsidRPr="0055184A">
        <w:rPr>
          <w:b w:val="0"/>
        </w:rPr>
        <w:tab/>
      </w:r>
      <w:r w:rsidRPr="0055184A">
        <w:rPr>
          <w:b w:val="0"/>
        </w:rPr>
        <w:t xml:space="preserve">studiju periodu, ne tikai kvalifikācijas un profesionālās kompetences, atzīšanu par līdzvērtīgiem, lai būtu iespējams strādāt citā dalībvalstī; </w:t>
      </w:r>
    </w:p>
    <w:p w:rsidR="00AD7FDB" w:rsidRPr="0055184A" w:rsidRDefault="00AD7FDB" w:rsidP="002B22B4">
      <w:pPr>
        <w:pStyle w:val="AMNumberTabs"/>
        <w:keepNext/>
        <w:ind w:left="1134" w:hanging="567"/>
        <w:jc w:val="both"/>
        <w:rPr>
          <w:b w:val="0"/>
        </w:rPr>
      </w:pPr>
      <w:r w:rsidRPr="0055184A">
        <w:rPr>
          <w:b w:val="0"/>
        </w:rPr>
        <w:t xml:space="preserve">– </w:t>
      </w:r>
      <w:r w:rsidR="007C20FB" w:rsidRPr="0055184A">
        <w:rPr>
          <w:b w:val="0"/>
        </w:rPr>
        <w:tab/>
      </w:r>
      <w:r w:rsidRPr="0055184A">
        <w:rPr>
          <w:b w:val="0"/>
        </w:rPr>
        <w:t xml:space="preserve">vispārēju piekļuvi internetam, lai panāktu pilsoņu iekļaušanu un vienlīdzīgu piekļuvi digitālajai videi; </w:t>
      </w:r>
    </w:p>
    <w:p w:rsidR="00AD7FDB" w:rsidRPr="0055184A" w:rsidRDefault="00AD7FDB" w:rsidP="002B22B4">
      <w:pPr>
        <w:pStyle w:val="AMNumberTabs"/>
        <w:keepNext/>
        <w:ind w:left="1134" w:hanging="567"/>
        <w:jc w:val="both"/>
        <w:rPr>
          <w:b w:val="0"/>
        </w:rPr>
      </w:pPr>
      <w:r w:rsidRPr="0055184A">
        <w:rPr>
          <w:b w:val="0"/>
        </w:rPr>
        <w:t xml:space="preserve">– </w:t>
      </w:r>
      <w:r w:rsidR="007C20FB" w:rsidRPr="0055184A">
        <w:rPr>
          <w:b w:val="0"/>
        </w:rPr>
        <w:tab/>
      </w:r>
      <w:r w:rsidRPr="0055184A">
        <w:rPr>
          <w:b w:val="0"/>
        </w:rPr>
        <w:t xml:space="preserve">savas digitālās identitātes pārvaldību, kas pārsniedz jau esošo aizsardzību attiecībā uz personas datiem digitālajā vidē; </w:t>
      </w:r>
    </w:p>
    <w:p w:rsidR="00AD7FDB" w:rsidRPr="0055184A" w:rsidRDefault="00AD7FDB" w:rsidP="002B22B4">
      <w:pPr>
        <w:pStyle w:val="AMNumberTabs"/>
        <w:keepNext/>
        <w:ind w:left="1134" w:hanging="567"/>
        <w:jc w:val="both"/>
        <w:rPr>
          <w:b w:val="0"/>
        </w:rPr>
      </w:pPr>
      <w:r w:rsidRPr="0055184A">
        <w:rPr>
          <w:b w:val="0"/>
        </w:rPr>
        <w:t xml:space="preserve">– </w:t>
      </w:r>
      <w:r w:rsidR="007C20FB" w:rsidRPr="0055184A">
        <w:rPr>
          <w:b w:val="0"/>
        </w:rPr>
        <w:tab/>
      </w:r>
      <w:r w:rsidRPr="0055184A">
        <w:rPr>
          <w:b w:val="0"/>
        </w:rPr>
        <w:t xml:space="preserve">mirušas personas digitālo datu digitālo mantošanu; </w:t>
      </w:r>
    </w:p>
    <w:p w:rsidR="00AD7FDB" w:rsidRPr="0055184A" w:rsidRDefault="00AD7FDB" w:rsidP="002B22B4">
      <w:pPr>
        <w:pStyle w:val="AMNumberTabs"/>
        <w:keepNext/>
        <w:ind w:left="1134" w:hanging="567"/>
        <w:jc w:val="both"/>
        <w:rPr>
          <w:b w:val="0"/>
        </w:rPr>
      </w:pPr>
      <w:r w:rsidRPr="0055184A">
        <w:rPr>
          <w:b w:val="0"/>
        </w:rPr>
        <w:t xml:space="preserve">– </w:t>
      </w:r>
      <w:r w:rsidR="007C20FB" w:rsidRPr="0055184A">
        <w:rPr>
          <w:b w:val="0"/>
        </w:rPr>
        <w:tab/>
      </w:r>
      <w:r w:rsidRPr="0055184A">
        <w:rPr>
          <w:b w:val="0"/>
        </w:rPr>
        <w:t>tādu MI sistēmu izstrādi, kas ir drošas, pārredzamas un izsekojamas un ko pārrauga cilvēki un regulatīvās iestādes;</w:t>
      </w:r>
    </w:p>
    <w:p w:rsidR="00AD7FDB" w:rsidRPr="0055184A" w:rsidRDefault="00AD7FDB" w:rsidP="00AD7FDB">
      <w:pPr>
        <w:pStyle w:val="NormalHanging12a"/>
        <w:spacing w:before="240" w:after="0"/>
        <w:rPr>
          <w:rStyle w:val="doceo-font-family-base"/>
          <w:u w:val="single"/>
        </w:rPr>
      </w:pPr>
      <w:r w:rsidRPr="0055184A">
        <w:rPr>
          <w:rStyle w:val="doceo-font-family-base"/>
        </w:rPr>
        <w:t>36.</w:t>
      </w:r>
      <w:r w:rsidRPr="0055184A">
        <w:rPr>
          <w:rStyle w:val="doceo-font-family-base"/>
        </w:rPr>
        <w:tab/>
      </w:r>
      <w:r w:rsidRPr="0055184A">
        <w:t xml:space="preserve">prasa ES pilsonības statūtos iekļaut horizontālu </w:t>
      </w:r>
      <w:proofErr w:type="spellStart"/>
      <w:r w:rsidRPr="0055184A">
        <w:t>nediskriminācijas</w:t>
      </w:r>
      <w:proofErr w:type="spellEnd"/>
      <w:r w:rsidRPr="0055184A">
        <w:t xml:space="preserve"> klauzulu kā papildu garantiju vienlīdzībai pilsonības tiesību īstenošanā, lai nodrošinātu </w:t>
      </w:r>
      <w:proofErr w:type="spellStart"/>
      <w:r w:rsidRPr="0055184A">
        <w:t>nediskrimināciju</w:t>
      </w:r>
      <w:proofErr w:type="spellEnd"/>
      <w:r w:rsidRPr="0055184A">
        <w:t xml:space="preserve"> un aizsargātu pilsoņus, jo īpaši neaizsargātu un </w:t>
      </w:r>
      <w:proofErr w:type="spellStart"/>
      <w:r w:rsidRPr="0055184A">
        <w:t>marginalizētu</w:t>
      </w:r>
      <w:proofErr w:type="spellEnd"/>
      <w:r w:rsidRPr="0055184A">
        <w:t xml:space="preserve"> grupu pārstāvjus, un personas, kas dzīvo ES pārrobežu reģionos;</w:t>
      </w:r>
    </w:p>
    <w:p w:rsidR="00AD7FDB" w:rsidRPr="0055184A" w:rsidRDefault="00AD7FDB" w:rsidP="00AD7FDB">
      <w:pPr>
        <w:pStyle w:val="NormalHanging12a"/>
        <w:spacing w:before="240" w:after="0"/>
        <w:rPr>
          <w:rStyle w:val="doceo-font-family-base"/>
          <w:szCs w:val="24"/>
        </w:rPr>
      </w:pPr>
      <w:r w:rsidRPr="0055184A">
        <w:rPr>
          <w:rStyle w:val="doceo-font-family-base"/>
        </w:rPr>
        <w:t>37.</w:t>
      </w:r>
      <w:r w:rsidRPr="0055184A">
        <w:rPr>
          <w:rStyle w:val="doceo-font-family-base"/>
        </w:rPr>
        <w:tab/>
      </w:r>
      <w:r w:rsidRPr="0055184A">
        <w:t>aicina Komisiju rīkot mērķtiecīgas izpratnes veicināšanas kampaņas par tiesībām un pilsoniskajiem pienākumiem, kas izriet no ES pilsonības un statūtiem, tostarp ieviešot ES tiesību aktu kopumu, lai sniegtu informāciju par ES pilsonību, un piešķirt vairāk resursu ES pilsonībai;</w:t>
      </w:r>
      <w:r w:rsidRPr="0055184A">
        <w:rPr>
          <w:rStyle w:val="doceo-font-family-base"/>
        </w:rPr>
        <w:t xml:space="preserve"> uzsver, ka līdz ar digitālo un tehnoloģisko revolūciju pilsoņi ir kļuvuši par mūsu demokrātisko sistēmu patiesajiem pīlāriem un būs tie, kas tās aizstāvēs; </w:t>
      </w:r>
    </w:p>
    <w:p w:rsidR="00AD7FDB" w:rsidRPr="0055184A" w:rsidRDefault="00AD7FDB" w:rsidP="00AD7FDB">
      <w:pPr>
        <w:pStyle w:val="NormalHanging12a"/>
        <w:spacing w:before="240" w:after="0"/>
        <w:rPr>
          <w:rStyle w:val="doceo-font-family-base"/>
          <w:szCs w:val="24"/>
        </w:rPr>
      </w:pPr>
      <w:r w:rsidRPr="0055184A">
        <w:rPr>
          <w:rStyle w:val="doceo-font-family-base"/>
        </w:rPr>
        <w:t>38.</w:t>
      </w:r>
      <w:r w:rsidRPr="0055184A">
        <w:rPr>
          <w:rStyle w:val="doceo-font-family-base"/>
        </w:rPr>
        <w:tab/>
      </w:r>
      <w:r w:rsidR="002B22B4" w:rsidRPr="0055184A">
        <w:t>pieņem zināšanai tiesību aktu kopumu par pilsonību, jo īpaši 2023. gada ziņojumu par ES pilsonību, ko Komisija publicēja 2023. gada 6. decembrī, lai vēl vairāk nostiprinātu ES pilsonību un padarītu to reālāku ES pilsoņiem; aicina Komisiju ņemt vērā šajā ziņojumā iekļautos ieteikumus un veikt nepieciešamos pasākumus, lai tos īstenotu saskaņā ar Līgumos paredzēto procedūru</w:t>
      </w:r>
      <w:r w:rsidRPr="0055184A">
        <w:t>;</w:t>
      </w:r>
    </w:p>
    <w:p w:rsidR="00AD7FDB" w:rsidRPr="0055184A" w:rsidRDefault="00AD7FDB" w:rsidP="00AD7FDB">
      <w:pPr>
        <w:pStyle w:val="NormalHanging12a"/>
        <w:spacing w:before="240"/>
      </w:pPr>
      <w:r w:rsidRPr="0055184A">
        <w:rPr>
          <w:rStyle w:val="doceo-font-family-base"/>
        </w:rPr>
        <w:t>39.</w:t>
      </w:r>
      <w:r w:rsidRPr="0055184A">
        <w:rPr>
          <w:rStyle w:val="doceo-font-family-base"/>
        </w:rPr>
        <w:tab/>
      </w:r>
      <w:r w:rsidRPr="0055184A">
        <w:t>atkārtoti prasa sasaukt Konventu Līgumu pārskatīšanai, kā paredzēts LES 48. pantā; pauž stingru pārliecību, ka Konventam būtu rūpīgi jāizvērtē, kā ES pilsonību varētu nostiprināt vēl vairāk;</w:t>
      </w:r>
    </w:p>
    <w:p w:rsidR="00AD7FDB" w:rsidRPr="0055184A" w:rsidRDefault="00AD7FDB" w:rsidP="00AD7FDB">
      <w:pPr>
        <w:pStyle w:val="NormalHanging12a"/>
        <w:jc w:val="center"/>
      </w:pPr>
      <w:r w:rsidRPr="0055184A">
        <w:t>°</w:t>
      </w:r>
    </w:p>
    <w:p w:rsidR="00AD7FDB" w:rsidRPr="0055184A" w:rsidRDefault="00AD7FDB" w:rsidP="00AD7FDB">
      <w:pPr>
        <w:pStyle w:val="NormalHanging12a"/>
        <w:jc w:val="center"/>
      </w:pPr>
      <w:r w:rsidRPr="0055184A">
        <w:t>°</w:t>
      </w:r>
      <w:r w:rsidRPr="0055184A">
        <w:tab/>
        <w:t>°</w:t>
      </w:r>
    </w:p>
    <w:p w:rsidR="00E365E1" w:rsidRPr="0055184A" w:rsidRDefault="00AD7FDB" w:rsidP="007C20FB">
      <w:r w:rsidRPr="0055184A">
        <w:t>40.</w:t>
      </w:r>
      <w:r w:rsidRPr="0055184A">
        <w:tab/>
        <w:t>uzdod priekšsēdētājai šo rezolūciju nosūtīt Padomei un Komisijai.</w:t>
      </w:r>
      <w:bookmarkStart w:id="9" w:name="TextBodyEnd"/>
      <w:bookmarkEnd w:id="9"/>
    </w:p>
    <w:sectPr w:rsidR="00E365E1" w:rsidRPr="0055184A" w:rsidSect="00F241D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1BC5" w:rsidRPr="00F241D5" w:rsidRDefault="00EC1BC5">
      <w:r w:rsidRPr="00F241D5">
        <w:separator/>
      </w:r>
    </w:p>
  </w:endnote>
  <w:endnote w:type="continuationSeparator" w:id="0">
    <w:p w:rsidR="00EC1BC5" w:rsidRPr="00F241D5" w:rsidRDefault="00EC1BC5">
      <w:r w:rsidRPr="00F241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41D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41D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41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1BC5" w:rsidRPr="00F241D5" w:rsidRDefault="00EC1BC5">
      <w:r w:rsidRPr="00F241D5">
        <w:separator/>
      </w:r>
    </w:p>
  </w:footnote>
  <w:footnote w:type="continuationSeparator" w:id="0">
    <w:p w:rsidR="00EC1BC5" w:rsidRPr="00F241D5" w:rsidRDefault="00EC1BC5">
      <w:r w:rsidRPr="00F241D5">
        <w:continuationSeparator/>
      </w:r>
    </w:p>
  </w:footnote>
  <w:footnote w:id="1">
    <w:p w:rsidR="00AD7FDB" w:rsidRPr="00F241D5" w:rsidRDefault="00AD7FDB" w:rsidP="00F241D5">
      <w:pPr>
        <w:pStyle w:val="FootnoteText"/>
        <w:ind w:left="567" w:hanging="567"/>
        <w:rPr>
          <w:sz w:val="24"/>
          <w:lang w:val="lv-LV"/>
        </w:rPr>
      </w:pPr>
      <w:r w:rsidRPr="00F241D5">
        <w:rPr>
          <w:rStyle w:val="FootnoteReference"/>
          <w:sz w:val="24"/>
          <w:lang w:val="lv-LV"/>
        </w:rPr>
        <w:footnoteRef/>
      </w:r>
      <w:r w:rsidR="00F241D5" w:rsidRPr="00F241D5">
        <w:rPr>
          <w:sz w:val="24"/>
          <w:lang w:val="lv-LV"/>
        </w:rPr>
        <w:t xml:space="preserve"> </w:t>
      </w:r>
      <w:r w:rsidR="00F241D5" w:rsidRPr="00F241D5">
        <w:rPr>
          <w:sz w:val="24"/>
          <w:lang w:val="lv-LV"/>
        </w:rPr>
        <w:tab/>
      </w:r>
      <w:r w:rsidRPr="00F241D5">
        <w:rPr>
          <w:sz w:val="24"/>
          <w:lang w:val="lv-LV"/>
        </w:rPr>
        <w:t>OV L 158, 30.4.2004., 77. lpp.</w:t>
      </w:r>
    </w:p>
  </w:footnote>
  <w:footnote w:id="2">
    <w:p w:rsidR="00AD7FDB" w:rsidRPr="00F241D5" w:rsidRDefault="00AD7FDB" w:rsidP="00F241D5">
      <w:pPr>
        <w:pStyle w:val="FootnoteText"/>
        <w:ind w:left="567" w:hanging="567"/>
        <w:rPr>
          <w:sz w:val="24"/>
          <w:lang w:val="lv-LV"/>
        </w:rPr>
      </w:pPr>
      <w:r w:rsidRPr="00F241D5">
        <w:rPr>
          <w:rStyle w:val="FootnoteReference"/>
          <w:sz w:val="24"/>
          <w:lang w:val="lv-LV"/>
        </w:rPr>
        <w:footnoteRef/>
      </w:r>
      <w:r w:rsidR="00F241D5" w:rsidRPr="00F241D5">
        <w:rPr>
          <w:sz w:val="24"/>
          <w:lang w:val="lv-LV"/>
        </w:rPr>
        <w:t xml:space="preserve"> </w:t>
      </w:r>
      <w:r w:rsidR="00F241D5" w:rsidRPr="00F241D5">
        <w:rPr>
          <w:sz w:val="24"/>
          <w:lang w:val="lv-LV"/>
        </w:rPr>
        <w:tab/>
      </w:r>
      <w:r w:rsidRPr="00F241D5">
        <w:rPr>
          <w:sz w:val="24"/>
          <w:lang w:val="lv-LV"/>
        </w:rPr>
        <w:t>OV L 156, 5.5.2021., 1. lpp</w:t>
      </w:r>
      <w:r w:rsidRPr="00F241D5">
        <w:rPr>
          <w:rStyle w:val="Emphasis"/>
          <w:color w:val="333333"/>
          <w:sz w:val="24"/>
          <w:shd w:val="clear" w:color="auto" w:fill="FFFFFF"/>
          <w:lang w:val="lv-LV"/>
        </w:rPr>
        <w:t>.</w:t>
      </w:r>
    </w:p>
  </w:footnote>
  <w:footnote w:id="3">
    <w:p w:rsidR="00AD7FDB" w:rsidRPr="00F241D5" w:rsidRDefault="00AD7FDB" w:rsidP="00F241D5">
      <w:pPr>
        <w:pStyle w:val="FootnoteText"/>
        <w:ind w:left="567" w:hanging="567"/>
        <w:rPr>
          <w:sz w:val="24"/>
          <w:lang w:val="lv-LV"/>
        </w:rPr>
      </w:pPr>
      <w:r w:rsidRPr="00F241D5">
        <w:rPr>
          <w:rStyle w:val="FootnoteReference"/>
          <w:sz w:val="24"/>
          <w:lang w:val="lv-LV"/>
        </w:rPr>
        <w:footnoteRef/>
      </w:r>
      <w:r w:rsidR="00F241D5" w:rsidRPr="00F241D5">
        <w:rPr>
          <w:sz w:val="24"/>
          <w:lang w:val="lv-LV"/>
        </w:rPr>
        <w:t xml:space="preserve"> </w:t>
      </w:r>
      <w:r w:rsidR="00F241D5" w:rsidRPr="00F241D5">
        <w:rPr>
          <w:sz w:val="24"/>
          <w:lang w:val="lv-LV"/>
        </w:rPr>
        <w:tab/>
      </w:r>
      <w:r w:rsidRPr="00F241D5">
        <w:rPr>
          <w:sz w:val="24"/>
          <w:lang w:val="lv-LV"/>
        </w:rPr>
        <w:t>OV L 141, 27.5.2011., 1. lpp.</w:t>
      </w:r>
    </w:p>
  </w:footnote>
  <w:footnote w:id="4">
    <w:p w:rsidR="00AD7FDB" w:rsidRPr="00F241D5" w:rsidRDefault="00AD7FDB" w:rsidP="00F241D5">
      <w:pPr>
        <w:pStyle w:val="FootnoteText"/>
        <w:ind w:left="567" w:hanging="567"/>
        <w:rPr>
          <w:sz w:val="24"/>
          <w:lang w:val="lv-LV"/>
        </w:rPr>
      </w:pPr>
      <w:r w:rsidRPr="00F241D5">
        <w:rPr>
          <w:rStyle w:val="FootnoteReference"/>
          <w:sz w:val="24"/>
          <w:lang w:val="lv-LV"/>
        </w:rPr>
        <w:footnoteRef/>
      </w:r>
      <w:r w:rsidR="00F241D5" w:rsidRPr="00F241D5">
        <w:rPr>
          <w:sz w:val="24"/>
          <w:lang w:val="lv-LV"/>
        </w:rPr>
        <w:t xml:space="preserve"> </w:t>
      </w:r>
      <w:r w:rsidR="00F241D5" w:rsidRPr="00F241D5">
        <w:rPr>
          <w:sz w:val="24"/>
          <w:lang w:val="lv-LV"/>
        </w:rPr>
        <w:tab/>
      </w:r>
      <w:r w:rsidRPr="00F241D5">
        <w:rPr>
          <w:sz w:val="24"/>
          <w:lang w:val="lv-LV"/>
        </w:rPr>
        <w:t>OV L 186, 11.7.2019., 21. lpp.</w:t>
      </w:r>
    </w:p>
  </w:footnote>
  <w:footnote w:id="5">
    <w:p w:rsidR="00AD7FDB" w:rsidRPr="00F241D5" w:rsidRDefault="00AD7FDB" w:rsidP="00F241D5">
      <w:pPr>
        <w:pStyle w:val="FootnoteText"/>
        <w:ind w:left="567" w:hanging="567"/>
        <w:rPr>
          <w:sz w:val="24"/>
          <w:lang w:val="lv-LV"/>
        </w:rPr>
      </w:pPr>
      <w:r w:rsidRPr="00F241D5">
        <w:rPr>
          <w:rStyle w:val="FootnoteReference"/>
          <w:sz w:val="24"/>
          <w:lang w:val="lv-LV"/>
        </w:rPr>
        <w:footnoteRef/>
      </w:r>
      <w:r w:rsidR="00F241D5" w:rsidRPr="00F241D5">
        <w:rPr>
          <w:sz w:val="24"/>
          <w:lang w:val="lv-LV"/>
        </w:rPr>
        <w:t xml:space="preserve"> </w:t>
      </w:r>
      <w:r w:rsidR="00F241D5" w:rsidRPr="00F241D5">
        <w:rPr>
          <w:sz w:val="24"/>
          <w:lang w:val="lv-LV"/>
        </w:rPr>
        <w:tab/>
      </w:r>
      <w:r w:rsidRPr="00F241D5">
        <w:rPr>
          <w:sz w:val="24"/>
          <w:lang w:val="lv-LV"/>
        </w:rPr>
        <w:t>OV L 173, 9.7.2018., 16. lpp.</w:t>
      </w:r>
    </w:p>
  </w:footnote>
  <w:footnote w:id="6">
    <w:p w:rsidR="00AD7FDB" w:rsidRPr="00F241D5" w:rsidRDefault="00AD7FDB" w:rsidP="00F241D5">
      <w:pPr>
        <w:pStyle w:val="FootnoteText"/>
        <w:ind w:left="567" w:hanging="567"/>
        <w:rPr>
          <w:sz w:val="24"/>
          <w:lang w:val="lv-LV"/>
        </w:rPr>
      </w:pPr>
      <w:r w:rsidRPr="00F241D5">
        <w:rPr>
          <w:rStyle w:val="FootnoteReference"/>
          <w:sz w:val="24"/>
          <w:lang w:val="lv-LV"/>
        </w:rPr>
        <w:footnoteRef/>
      </w:r>
      <w:r w:rsidR="00F241D5" w:rsidRPr="00F241D5">
        <w:rPr>
          <w:sz w:val="24"/>
          <w:lang w:val="lv-LV"/>
        </w:rPr>
        <w:t xml:space="preserve"> </w:t>
      </w:r>
      <w:r w:rsidR="00F241D5" w:rsidRPr="00F241D5">
        <w:rPr>
          <w:sz w:val="24"/>
          <w:lang w:val="lv-LV"/>
        </w:rPr>
        <w:tab/>
      </w:r>
      <w:r w:rsidRPr="00F241D5">
        <w:rPr>
          <w:sz w:val="24"/>
          <w:lang w:val="lv-LV"/>
        </w:rPr>
        <w:t>OV L 107, 22.4.2016., 1. lpp.</w:t>
      </w:r>
    </w:p>
  </w:footnote>
  <w:footnote w:id="7">
    <w:p w:rsidR="00AD7FDB" w:rsidRPr="00F241D5" w:rsidRDefault="00AD7FDB" w:rsidP="00F241D5">
      <w:pPr>
        <w:pStyle w:val="FootnoteText"/>
        <w:ind w:left="567" w:hanging="567"/>
        <w:rPr>
          <w:sz w:val="24"/>
          <w:lang w:val="lv-LV"/>
        </w:rPr>
      </w:pPr>
      <w:r w:rsidRPr="00F241D5">
        <w:rPr>
          <w:rStyle w:val="FootnoteReference"/>
          <w:sz w:val="24"/>
          <w:lang w:val="lv-LV"/>
        </w:rPr>
        <w:footnoteRef/>
      </w:r>
      <w:r w:rsidR="00F241D5" w:rsidRPr="00F241D5">
        <w:rPr>
          <w:sz w:val="24"/>
          <w:lang w:val="lv-LV"/>
        </w:rPr>
        <w:t xml:space="preserve"> </w:t>
      </w:r>
      <w:r w:rsidR="00F241D5" w:rsidRPr="00F241D5">
        <w:rPr>
          <w:sz w:val="24"/>
          <w:lang w:val="lv-LV"/>
        </w:rPr>
        <w:tab/>
      </w:r>
      <w:r w:rsidRPr="00F241D5">
        <w:rPr>
          <w:sz w:val="24"/>
          <w:lang w:val="lv-LV"/>
        </w:rPr>
        <w:t>OV L 354, 28.12.2013., 132. lpp.</w:t>
      </w:r>
    </w:p>
  </w:footnote>
  <w:footnote w:id="8">
    <w:p w:rsidR="00AD7FDB" w:rsidRPr="00F241D5" w:rsidRDefault="00AD7FDB" w:rsidP="00F241D5">
      <w:pPr>
        <w:pStyle w:val="FootnoteText"/>
        <w:ind w:left="567" w:hanging="567"/>
        <w:rPr>
          <w:sz w:val="24"/>
          <w:lang w:val="lv-LV"/>
        </w:rPr>
      </w:pPr>
      <w:r w:rsidRPr="00F241D5">
        <w:rPr>
          <w:rStyle w:val="FootnoteReference"/>
          <w:sz w:val="24"/>
          <w:lang w:val="lv-LV"/>
        </w:rPr>
        <w:footnoteRef/>
      </w:r>
      <w:r w:rsidR="00F241D5" w:rsidRPr="00F241D5">
        <w:rPr>
          <w:sz w:val="24"/>
          <w:lang w:val="lv-LV"/>
        </w:rPr>
        <w:t xml:space="preserve"> </w:t>
      </w:r>
      <w:r w:rsidR="00F241D5" w:rsidRPr="00F241D5">
        <w:rPr>
          <w:sz w:val="24"/>
          <w:lang w:val="lv-LV"/>
        </w:rPr>
        <w:tab/>
      </w:r>
      <w:r w:rsidRPr="00F241D5">
        <w:rPr>
          <w:sz w:val="24"/>
          <w:lang w:val="lv-LV"/>
        </w:rPr>
        <w:t>OV L 106, 24.4.2015., 1. lpp.</w:t>
      </w:r>
    </w:p>
  </w:footnote>
  <w:footnote w:id="9">
    <w:p w:rsidR="00AD7FDB" w:rsidRPr="00F241D5" w:rsidRDefault="00AD7FDB" w:rsidP="00F241D5">
      <w:pPr>
        <w:pStyle w:val="FootnoteText"/>
        <w:ind w:left="567" w:hanging="567"/>
        <w:rPr>
          <w:sz w:val="24"/>
          <w:lang w:val="lv-LV"/>
        </w:rPr>
      </w:pPr>
      <w:r w:rsidRPr="00F241D5">
        <w:rPr>
          <w:rStyle w:val="FootnoteReference"/>
          <w:sz w:val="24"/>
          <w:lang w:val="lv-LV"/>
        </w:rPr>
        <w:footnoteRef/>
      </w:r>
      <w:r w:rsidR="00F241D5" w:rsidRPr="00F241D5">
        <w:rPr>
          <w:sz w:val="24"/>
          <w:lang w:val="lv-LV"/>
        </w:rPr>
        <w:t xml:space="preserve"> </w:t>
      </w:r>
      <w:r w:rsidR="00F241D5" w:rsidRPr="00F241D5">
        <w:rPr>
          <w:sz w:val="24"/>
          <w:lang w:val="lv-LV"/>
        </w:rPr>
        <w:tab/>
      </w:r>
      <w:r w:rsidRPr="00F241D5">
        <w:rPr>
          <w:sz w:val="24"/>
          <w:lang w:val="lv-LV"/>
        </w:rPr>
        <w:t>OV L 163, 20.6.2019., 1. lpp.</w:t>
      </w:r>
    </w:p>
  </w:footnote>
  <w:footnote w:id="10">
    <w:p w:rsidR="00AD7FDB" w:rsidRPr="00F241D5" w:rsidRDefault="00AD7FDB" w:rsidP="00F241D5">
      <w:pPr>
        <w:pStyle w:val="FootnoteText"/>
        <w:ind w:left="567" w:hanging="567"/>
        <w:rPr>
          <w:sz w:val="24"/>
          <w:lang w:val="lv-LV"/>
        </w:rPr>
      </w:pPr>
      <w:r w:rsidRPr="00F241D5">
        <w:rPr>
          <w:rStyle w:val="FootnoteReference"/>
          <w:sz w:val="24"/>
          <w:lang w:val="lv-LV"/>
        </w:rPr>
        <w:footnoteRef/>
      </w:r>
      <w:r w:rsidR="00F241D5" w:rsidRPr="00F241D5">
        <w:rPr>
          <w:sz w:val="24"/>
          <w:lang w:val="lv-LV"/>
        </w:rPr>
        <w:t xml:space="preserve"> </w:t>
      </w:r>
      <w:r w:rsidR="00F241D5" w:rsidRPr="00F241D5">
        <w:rPr>
          <w:sz w:val="24"/>
          <w:lang w:val="lv-LV"/>
        </w:rPr>
        <w:tab/>
      </w:r>
      <w:r w:rsidRPr="00F241D5">
        <w:rPr>
          <w:sz w:val="24"/>
          <w:lang w:val="lv-LV"/>
        </w:rPr>
        <w:t>OV L 130, 17.5.2019., 55. lpp.</w:t>
      </w:r>
    </w:p>
  </w:footnote>
  <w:footnote w:id="11">
    <w:p w:rsidR="00AD7FDB" w:rsidRPr="00F241D5" w:rsidRDefault="00AD7FDB" w:rsidP="00F241D5">
      <w:pPr>
        <w:pStyle w:val="FootnoteText"/>
        <w:ind w:left="567" w:hanging="567"/>
        <w:rPr>
          <w:sz w:val="24"/>
          <w:lang w:val="lv-LV"/>
        </w:rPr>
      </w:pPr>
      <w:r w:rsidRPr="00F241D5">
        <w:rPr>
          <w:rStyle w:val="FootnoteReference"/>
          <w:sz w:val="24"/>
          <w:lang w:val="lv-LV"/>
        </w:rPr>
        <w:footnoteRef/>
      </w:r>
      <w:r w:rsidR="00F241D5" w:rsidRPr="00F241D5">
        <w:rPr>
          <w:sz w:val="24"/>
          <w:lang w:val="lv-LV"/>
        </w:rPr>
        <w:t xml:space="preserve"> </w:t>
      </w:r>
      <w:r w:rsidR="00F241D5" w:rsidRPr="00F241D5">
        <w:rPr>
          <w:sz w:val="24"/>
          <w:lang w:val="lv-LV"/>
        </w:rPr>
        <w:tab/>
      </w:r>
      <w:r w:rsidRPr="00F241D5">
        <w:rPr>
          <w:sz w:val="24"/>
          <w:lang w:val="lv-LV"/>
        </w:rPr>
        <w:t>OV L 231, 17.7.2020., 7. lpp.</w:t>
      </w:r>
    </w:p>
  </w:footnote>
  <w:footnote w:id="12">
    <w:p w:rsidR="00AD7FDB" w:rsidRPr="00F241D5" w:rsidRDefault="00AD7FDB" w:rsidP="00F241D5">
      <w:pPr>
        <w:pStyle w:val="FootnoteText"/>
        <w:ind w:left="567" w:hanging="567"/>
        <w:rPr>
          <w:sz w:val="24"/>
          <w:lang w:val="lv-LV"/>
        </w:rPr>
      </w:pPr>
      <w:r w:rsidRPr="00F241D5">
        <w:rPr>
          <w:rStyle w:val="FootnoteReference"/>
          <w:sz w:val="24"/>
          <w:lang w:val="lv-LV"/>
        </w:rPr>
        <w:footnoteRef/>
      </w:r>
      <w:r w:rsidR="00F241D5" w:rsidRPr="00F241D5">
        <w:rPr>
          <w:sz w:val="24"/>
          <w:lang w:val="lv-LV"/>
        </w:rPr>
        <w:t xml:space="preserve"> </w:t>
      </w:r>
      <w:r w:rsidR="00F241D5" w:rsidRPr="00F241D5">
        <w:rPr>
          <w:sz w:val="24"/>
          <w:lang w:val="lv-LV"/>
        </w:rPr>
        <w:tab/>
      </w:r>
      <w:r w:rsidRPr="00F241D5">
        <w:rPr>
          <w:sz w:val="24"/>
          <w:lang w:val="lv-LV"/>
        </w:rPr>
        <w:t>OV C 283, 11.8.2023., 76. lpp.</w:t>
      </w:r>
    </w:p>
  </w:footnote>
  <w:footnote w:id="13">
    <w:p w:rsidR="00AD7FDB" w:rsidRPr="00F241D5" w:rsidRDefault="00AD7FDB" w:rsidP="00F241D5">
      <w:pPr>
        <w:pStyle w:val="FootnoteText"/>
        <w:ind w:left="567" w:hanging="567"/>
        <w:rPr>
          <w:sz w:val="24"/>
          <w:lang w:val="lv-LV"/>
        </w:rPr>
      </w:pPr>
      <w:r w:rsidRPr="00F241D5">
        <w:rPr>
          <w:rStyle w:val="FootnoteReference"/>
          <w:sz w:val="24"/>
          <w:lang w:val="lv-LV"/>
        </w:rPr>
        <w:footnoteRef/>
      </w:r>
      <w:r w:rsidR="00F241D5" w:rsidRPr="00F241D5">
        <w:rPr>
          <w:sz w:val="24"/>
          <w:lang w:val="lv-LV"/>
        </w:rPr>
        <w:t xml:space="preserve"> </w:t>
      </w:r>
      <w:r w:rsidR="00F241D5" w:rsidRPr="00F241D5">
        <w:rPr>
          <w:sz w:val="24"/>
          <w:lang w:val="lv-LV"/>
        </w:rPr>
        <w:tab/>
      </w:r>
      <w:r w:rsidRPr="00F241D5">
        <w:rPr>
          <w:sz w:val="24"/>
          <w:lang w:val="lv-LV"/>
        </w:rPr>
        <w:t>OV C 283, 11.8.2023., 100. lpp.</w:t>
      </w:r>
    </w:p>
  </w:footnote>
  <w:footnote w:id="14">
    <w:p w:rsidR="00AD7FDB" w:rsidRPr="00F241D5" w:rsidRDefault="00AD7FDB" w:rsidP="00F241D5">
      <w:pPr>
        <w:pStyle w:val="FootnoteText"/>
        <w:ind w:left="567" w:hanging="567"/>
        <w:rPr>
          <w:sz w:val="24"/>
          <w:lang w:val="lv-LV"/>
        </w:rPr>
      </w:pPr>
      <w:r w:rsidRPr="00F241D5">
        <w:rPr>
          <w:rStyle w:val="FootnoteReference"/>
          <w:sz w:val="24"/>
          <w:lang w:val="lv-LV"/>
        </w:rPr>
        <w:footnoteRef/>
      </w:r>
      <w:r w:rsidR="00F241D5" w:rsidRPr="00F241D5">
        <w:rPr>
          <w:sz w:val="24"/>
          <w:lang w:val="lv-LV"/>
        </w:rPr>
        <w:t xml:space="preserve"> </w:t>
      </w:r>
      <w:r w:rsidR="00F241D5" w:rsidRPr="00F241D5">
        <w:rPr>
          <w:sz w:val="24"/>
          <w:lang w:val="lv-LV"/>
        </w:rPr>
        <w:tab/>
      </w:r>
      <w:r w:rsidRPr="00F241D5">
        <w:rPr>
          <w:sz w:val="24"/>
          <w:lang w:val="lv-LV"/>
        </w:rPr>
        <w:t>OV C 449, 23.12.2020., 6. lpp.</w:t>
      </w:r>
    </w:p>
  </w:footnote>
  <w:footnote w:id="15">
    <w:p w:rsidR="00AD7FDB" w:rsidRPr="00F241D5" w:rsidRDefault="00AD7FDB" w:rsidP="00F241D5">
      <w:pPr>
        <w:pStyle w:val="FootnoteText"/>
        <w:ind w:left="567" w:hanging="567"/>
        <w:rPr>
          <w:sz w:val="24"/>
          <w:lang w:val="lv-LV"/>
        </w:rPr>
      </w:pPr>
      <w:r w:rsidRPr="00F241D5">
        <w:rPr>
          <w:rStyle w:val="FootnoteReference"/>
          <w:sz w:val="24"/>
          <w:lang w:val="lv-LV"/>
        </w:rPr>
        <w:footnoteRef/>
      </w:r>
      <w:r w:rsidR="00F241D5" w:rsidRPr="00F241D5">
        <w:rPr>
          <w:sz w:val="24"/>
          <w:lang w:val="lv-LV"/>
        </w:rPr>
        <w:t xml:space="preserve"> </w:t>
      </w:r>
      <w:r w:rsidR="00F241D5" w:rsidRPr="00F241D5">
        <w:rPr>
          <w:sz w:val="24"/>
          <w:lang w:val="lv-LV"/>
        </w:rPr>
        <w:tab/>
      </w:r>
      <w:r w:rsidRPr="00F241D5">
        <w:rPr>
          <w:sz w:val="24"/>
          <w:lang w:val="lv-LV"/>
        </w:rPr>
        <w:t>OV C 347, 9.9.2022., 97. lpp.</w:t>
      </w:r>
    </w:p>
  </w:footnote>
  <w:footnote w:id="16">
    <w:p w:rsidR="00AD7FDB" w:rsidRPr="00F241D5" w:rsidRDefault="00AD7FDB" w:rsidP="00F241D5">
      <w:pPr>
        <w:pStyle w:val="FootnoteText"/>
        <w:ind w:left="567" w:hanging="567"/>
        <w:rPr>
          <w:sz w:val="24"/>
          <w:lang w:val="lv-LV"/>
        </w:rPr>
      </w:pPr>
      <w:r w:rsidRPr="00F241D5">
        <w:rPr>
          <w:rStyle w:val="FootnoteReference"/>
          <w:sz w:val="24"/>
          <w:lang w:val="lv-LV"/>
        </w:rPr>
        <w:footnoteRef/>
      </w:r>
      <w:r w:rsidR="00F241D5" w:rsidRPr="00F241D5">
        <w:rPr>
          <w:sz w:val="24"/>
          <w:lang w:val="lv-LV"/>
        </w:rPr>
        <w:t xml:space="preserve"> </w:t>
      </w:r>
      <w:r w:rsidR="00F241D5" w:rsidRPr="00F241D5">
        <w:rPr>
          <w:sz w:val="24"/>
          <w:lang w:val="lv-LV"/>
        </w:rPr>
        <w:tab/>
      </w:r>
      <w:r w:rsidRPr="00F241D5">
        <w:rPr>
          <w:sz w:val="24"/>
          <w:lang w:val="lv-LV"/>
        </w:rPr>
        <w:t>OV C 347, 9.9.2022., 202. lpp.</w:t>
      </w:r>
    </w:p>
  </w:footnote>
  <w:footnote w:id="17">
    <w:p w:rsidR="00AD7FDB" w:rsidRPr="00F241D5" w:rsidRDefault="00AD7FDB" w:rsidP="00F241D5">
      <w:pPr>
        <w:pStyle w:val="FootnoteText"/>
        <w:ind w:left="567" w:hanging="567"/>
        <w:rPr>
          <w:sz w:val="24"/>
          <w:lang w:val="lv-LV"/>
        </w:rPr>
      </w:pPr>
      <w:r w:rsidRPr="00F241D5">
        <w:rPr>
          <w:rStyle w:val="FootnoteReference"/>
          <w:sz w:val="24"/>
          <w:lang w:val="lv-LV"/>
        </w:rPr>
        <w:footnoteRef/>
      </w:r>
      <w:r w:rsidR="00F241D5" w:rsidRPr="00F241D5">
        <w:rPr>
          <w:sz w:val="24"/>
          <w:lang w:val="lv-LV"/>
        </w:rPr>
        <w:t xml:space="preserve"> </w:t>
      </w:r>
      <w:r w:rsidR="00F241D5" w:rsidRPr="00F241D5">
        <w:rPr>
          <w:sz w:val="24"/>
          <w:lang w:val="lv-LV"/>
        </w:rPr>
        <w:tab/>
      </w:r>
      <w:r w:rsidRPr="00F241D5">
        <w:rPr>
          <w:sz w:val="24"/>
          <w:lang w:val="lv-LV"/>
        </w:rPr>
        <w:t>Pieņemtie teksti, P9_TA(2023)0230.</w:t>
      </w:r>
    </w:p>
  </w:footnote>
  <w:footnote w:id="18">
    <w:p w:rsidR="00AD7FDB" w:rsidRPr="00F241D5" w:rsidRDefault="00AD7FDB" w:rsidP="00F241D5">
      <w:pPr>
        <w:pStyle w:val="FootnoteText"/>
        <w:ind w:left="567" w:hanging="567"/>
        <w:rPr>
          <w:sz w:val="24"/>
          <w:lang w:val="lv-LV"/>
        </w:rPr>
      </w:pPr>
      <w:r w:rsidRPr="00F241D5">
        <w:rPr>
          <w:rStyle w:val="FootnoteReference"/>
          <w:sz w:val="24"/>
          <w:lang w:val="lv-LV"/>
        </w:rPr>
        <w:footnoteRef/>
      </w:r>
      <w:r w:rsidR="00F241D5" w:rsidRPr="00F241D5">
        <w:rPr>
          <w:sz w:val="24"/>
          <w:lang w:val="lv-LV"/>
        </w:rPr>
        <w:t xml:space="preserve"> </w:t>
      </w:r>
      <w:r w:rsidR="00F241D5" w:rsidRPr="00F241D5">
        <w:rPr>
          <w:sz w:val="24"/>
          <w:lang w:val="lv-LV"/>
        </w:rPr>
        <w:tab/>
      </w:r>
      <w:r w:rsidRPr="00F241D5">
        <w:rPr>
          <w:sz w:val="24"/>
          <w:lang w:val="lv-LV"/>
        </w:rPr>
        <w:t>Pieņemtie teksti, P9_TA(2023)0330.</w:t>
      </w:r>
    </w:p>
  </w:footnote>
  <w:footnote w:id="19">
    <w:p w:rsidR="00AD7FDB" w:rsidRPr="00F241D5" w:rsidRDefault="00AD7FDB" w:rsidP="00F241D5">
      <w:pPr>
        <w:pStyle w:val="FootnoteText"/>
        <w:ind w:left="567" w:hanging="567"/>
        <w:rPr>
          <w:sz w:val="24"/>
          <w:lang w:val="lv-LV"/>
        </w:rPr>
      </w:pPr>
      <w:r w:rsidRPr="00F241D5">
        <w:rPr>
          <w:rStyle w:val="FootnoteReference"/>
          <w:sz w:val="24"/>
          <w:lang w:val="lv-LV"/>
        </w:rPr>
        <w:footnoteRef/>
      </w:r>
      <w:r w:rsidR="00F241D5" w:rsidRPr="00F241D5">
        <w:rPr>
          <w:sz w:val="24"/>
          <w:lang w:val="lv-LV"/>
        </w:rPr>
        <w:t xml:space="preserve"> </w:t>
      </w:r>
      <w:r w:rsidR="00F241D5" w:rsidRPr="00F241D5">
        <w:rPr>
          <w:sz w:val="24"/>
          <w:lang w:val="lv-LV"/>
        </w:rPr>
        <w:tab/>
      </w:r>
      <w:r w:rsidRPr="00F241D5">
        <w:rPr>
          <w:sz w:val="24"/>
          <w:lang w:val="lv-LV"/>
        </w:rPr>
        <w:t>OV C 99, 1.3.2022., 96. lpp.</w:t>
      </w:r>
    </w:p>
  </w:footnote>
  <w:footnote w:id="20">
    <w:p w:rsidR="00AD7FDB" w:rsidRPr="00F241D5" w:rsidRDefault="00AD7FDB" w:rsidP="00F241D5">
      <w:pPr>
        <w:pStyle w:val="FootnoteText"/>
        <w:ind w:left="567" w:hanging="567"/>
        <w:rPr>
          <w:sz w:val="24"/>
          <w:lang w:val="lv-LV"/>
        </w:rPr>
      </w:pPr>
      <w:r w:rsidRPr="00F241D5">
        <w:rPr>
          <w:rStyle w:val="FootnoteReference"/>
          <w:sz w:val="24"/>
          <w:lang w:val="lv-LV"/>
        </w:rPr>
        <w:footnoteRef/>
      </w:r>
      <w:r w:rsidR="00F241D5" w:rsidRPr="00F241D5">
        <w:rPr>
          <w:sz w:val="24"/>
          <w:lang w:val="lv-LV"/>
        </w:rPr>
        <w:t xml:space="preserve"> </w:t>
      </w:r>
      <w:r w:rsidR="00F241D5" w:rsidRPr="00F241D5">
        <w:rPr>
          <w:sz w:val="24"/>
          <w:lang w:val="lv-LV"/>
        </w:rPr>
        <w:tab/>
      </w:r>
      <w:r w:rsidRPr="00F241D5">
        <w:rPr>
          <w:sz w:val="24"/>
          <w:lang w:val="lv-LV"/>
        </w:rPr>
        <w:t>OV C 347, 9.9.2022., 110. lpp.</w:t>
      </w:r>
    </w:p>
  </w:footnote>
  <w:footnote w:id="21">
    <w:p w:rsidR="00AD7FDB" w:rsidRPr="00F241D5" w:rsidRDefault="00AD7FDB" w:rsidP="00F241D5">
      <w:pPr>
        <w:pStyle w:val="FootnoteText"/>
        <w:ind w:left="567" w:hanging="567"/>
        <w:rPr>
          <w:sz w:val="24"/>
          <w:lang w:val="lv-LV"/>
        </w:rPr>
      </w:pPr>
      <w:r w:rsidRPr="00F241D5">
        <w:rPr>
          <w:rStyle w:val="FootnoteReference"/>
          <w:sz w:val="24"/>
          <w:lang w:val="lv-LV"/>
        </w:rPr>
        <w:footnoteRef/>
      </w:r>
      <w:r w:rsidR="00F241D5" w:rsidRPr="00F241D5">
        <w:rPr>
          <w:sz w:val="24"/>
          <w:lang w:val="lv-LV"/>
        </w:rPr>
        <w:t xml:space="preserve"> </w:t>
      </w:r>
      <w:r w:rsidR="00F241D5" w:rsidRPr="00F241D5">
        <w:rPr>
          <w:sz w:val="24"/>
          <w:lang w:val="lv-LV"/>
        </w:rPr>
        <w:tab/>
      </w:r>
      <w:r w:rsidRPr="00F241D5">
        <w:rPr>
          <w:sz w:val="24"/>
          <w:lang w:val="lv-LV"/>
        </w:rPr>
        <w:t>OV C 263, 25.7.2018., 98. lpp.</w:t>
      </w:r>
    </w:p>
  </w:footnote>
  <w:footnote w:id="22">
    <w:p w:rsidR="00AD7FDB" w:rsidRPr="00F241D5" w:rsidRDefault="00AD7FDB" w:rsidP="00F241D5">
      <w:pPr>
        <w:pStyle w:val="FootnoteText"/>
        <w:ind w:left="567" w:hanging="567"/>
        <w:rPr>
          <w:sz w:val="24"/>
          <w:lang w:val="lv-LV"/>
        </w:rPr>
      </w:pPr>
      <w:r w:rsidRPr="00F241D5">
        <w:rPr>
          <w:rStyle w:val="FootnoteReference"/>
          <w:sz w:val="24"/>
          <w:lang w:val="lv-LV"/>
        </w:rPr>
        <w:footnoteRef/>
      </w:r>
      <w:r w:rsidR="00F241D5" w:rsidRPr="00F241D5">
        <w:rPr>
          <w:i/>
          <w:iCs/>
          <w:sz w:val="24"/>
          <w:lang w:val="lv-LV"/>
        </w:rPr>
        <w:t xml:space="preserve"> </w:t>
      </w:r>
      <w:r w:rsidR="00F241D5" w:rsidRPr="00F241D5">
        <w:rPr>
          <w:i/>
          <w:iCs/>
          <w:sz w:val="24"/>
          <w:lang w:val="lv-LV"/>
        </w:rPr>
        <w:tab/>
      </w:r>
      <w:proofErr w:type="spellStart"/>
      <w:r w:rsidRPr="00F241D5">
        <w:rPr>
          <w:i/>
          <w:iCs/>
          <w:sz w:val="24"/>
          <w:lang w:val="lv-LV"/>
        </w:rPr>
        <w:t>Eurostat</w:t>
      </w:r>
      <w:proofErr w:type="spellEnd"/>
      <w:r w:rsidRPr="00F241D5">
        <w:rPr>
          <w:sz w:val="24"/>
          <w:lang w:val="lv-LV"/>
        </w:rPr>
        <w:t>, “</w:t>
      </w:r>
      <w:hyperlink r:id="rId1" w:history="1">
        <w:r w:rsidRPr="00F241D5">
          <w:rPr>
            <w:rStyle w:val="Hyperlink"/>
            <w:sz w:val="24"/>
            <w:lang w:val="lv-LV"/>
          </w:rPr>
          <w:t xml:space="preserve">Arhīvs: </w:t>
        </w:r>
      </w:hyperlink>
      <w:hyperlink r:id="rId2" w:history="1">
        <w:r w:rsidRPr="00F241D5">
          <w:rPr>
            <w:rStyle w:val="Hyperlink"/>
            <w:sz w:val="24"/>
            <w:lang w:val="lv-LV"/>
          </w:rPr>
          <w:t>ES pilsoņi, kas dzīvo citā dalībvalstī — statistikas pārskats</w:t>
        </w:r>
      </w:hyperlink>
      <w:r w:rsidRPr="00F241D5">
        <w:rPr>
          <w:sz w:val="24"/>
          <w:lang w:val="lv-LV"/>
        </w:rPr>
        <w:t>”.</w:t>
      </w:r>
    </w:p>
  </w:footnote>
  <w:footnote w:id="23">
    <w:p w:rsidR="00AD7FDB" w:rsidRPr="00F241D5" w:rsidRDefault="00AD7FDB" w:rsidP="00F241D5">
      <w:pPr>
        <w:pStyle w:val="FootnoteText"/>
        <w:ind w:left="567" w:hanging="567"/>
        <w:rPr>
          <w:sz w:val="24"/>
          <w:lang w:val="lv-LV"/>
        </w:rPr>
      </w:pPr>
      <w:r w:rsidRPr="00F241D5">
        <w:rPr>
          <w:rStyle w:val="FootnoteReference"/>
          <w:sz w:val="24"/>
          <w:lang w:val="lv-LV"/>
        </w:rPr>
        <w:footnoteRef/>
      </w:r>
      <w:r w:rsidR="00F241D5" w:rsidRPr="00F241D5">
        <w:rPr>
          <w:sz w:val="24"/>
          <w:lang w:val="lv-LV"/>
        </w:rPr>
        <w:t xml:space="preserve"> </w:t>
      </w:r>
      <w:r w:rsidR="00F241D5" w:rsidRPr="00F241D5">
        <w:rPr>
          <w:sz w:val="24"/>
          <w:lang w:val="lv-LV"/>
        </w:rPr>
        <w:tab/>
      </w:r>
      <w:r w:rsidRPr="00F241D5">
        <w:rPr>
          <w:sz w:val="24"/>
          <w:lang w:val="lv-LV"/>
        </w:rPr>
        <w:t>Eiropas Komisija, “ES pilsonība 2020. Galīgais ziņojums: Sabiedriskās apspriešanās par ES pilsonības tiesībām 2020. gadā rezultāti”, 2020. gada decembris.</w:t>
      </w:r>
    </w:p>
  </w:footnote>
  <w:footnote w:id="24">
    <w:p w:rsidR="00AD7FDB" w:rsidRPr="00F241D5" w:rsidRDefault="00AD7FDB" w:rsidP="00F241D5">
      <w:pPr>
        <w:pStyle w:val="FootnoteText"/>
        <w:ind w:left="567" w:hanging="567"/>
        <w:rPr>
          <w:sz w:val="24"/>
          <w:lang w:val="lv-LV"/>
        </w:rPr>
      </w:pPr>
      <w:r w:rsidRPr="00F241D5">
        <w:rPr>
          <w:rStyle w:val="FootnoteReference"/>
          <w:sz w:val="24"/>
          <w:lang w:val="lv-LV"/>
        </w:rPr>
        <w:footnoteRef/>
      </w:r>
      <w:r w:rsidR="00F241D5" w:rsidRPr="00F241D5">
        <w:rPr>
          <w:sz w:val="24"/>
          <w:lang w:val="lv-LV"/>
        </w:rPr>
        <w:t xml:space="preserve"> </w:t>
      </w:r>
      <w:r w:rsidR="00F241D5" w:rsidRPr="00F241D5">
        <w:rPr>
          <w:sz w:val="24"/>
          <w:lang w:val="lv-LV"/>
        </w:rPr>
        <w:tab/>
      </w:r>
      <w:r w:rsidRPr="00F241D5">
        <w:rPr>
          <w:sz w:val="24"/>
          <w:lang w:val="lv-LV"/>
        </w:rPr>
        <w:t>Dati: ES statistika par ienākumiem un dzīves apstākļiem (</w:t>
      </w:r>
      <w:r w:rsidRPr="00F241D5">
        <w:rPr>
          <w:i/>
          <w:sz w:val="24"/>
          <w:lang w:val="lv-LV"/>
        </w:rPr>
        <w:t>EU-SILC</w:t>
      </w:r>
      <w:r w:rsidRPr="00F241D5">
        <w:rPr>
          <w:sz w:val="24"/>
          <w:lang w:val="lv-LV"/>
        </w:rPr>
        <w:t xml:space="preserve">) un ES darbaspēka </w:t>
      </w:r>
      <w:proofErr w:type="spellStart"/>
      <w:r w:rsidRPr="00F241D5">
        <w:rPr>
          <w:sz w:val="24"/>
          <w:lang w:val="lv-LV"/>
        </w:rPr>
        <w:t>apsekojums</w:t>
      </w:r>
      <w:proofErr w:type="spellEnd"/>
      <w:r w:rsidRPr="00F241D5">
        <w:rPr>
          <w:sz w:val="24"/>
          <w:lang w:val="lv-LV"/>
        </w:rPr>
        <w:t xml:space="preserve"> (</w:t>
      </w:r>
      <w:r w:rsidRPr="00F241D5">
        <w:rPr>
          <w:i/>
          <w:sz w:val="24"/>
          <w:lang w:val="lv-LV"/>
        </w:rPr>
        <w:t>EU-LFS</w:t>
      </w:r>
      <w:r w:rsidRPr="00F241D5">
        <w:rPr>
          <w:sz w:val="24"/>
          <w:lang w:val="lv-LV"/>
        </w:rPr>
        <w:t xml:space="preserve">); </w:t>
      </w:r>
      <w:proofErr w:type="spellStart"/>
      <w:r w:rsidRPr="00F241D5">
        <w:rPr>
          <w:i/>
          <w:sz w:val="24"/>
          <w:lang w:val="lv-LV"/>
        </w:rPr>
        <w:t>Grammenos</w:t>
      </w:r>
      <w:proofErr w:type="spellEnd"/>
      <w:r w:rsidRPr="00F241D5">
        <w:rPr>
          <w:i/>
          <w:sz w:val="24"/>
          <w:lang w:val="lv-LV"/>
        </w:rPr>
        <w:t>, S.</w:t>
      </w:r>
      <w:r w:rsidRPr="00F241D5">
        <w:rPr>
          <w:sz w:val="24"/>
          <w:lang w:val="lv-LV"/>
        </w:rPr>
        <w:t xml:space="preserve"> un </w:t>
      </w:r>
      <w:proofErr w:type="spellStart"/>
      <w:r w:rsidRPr="00F241D5">
        <w:rPr>
          <w:i/>
          <w:sz w:val="24"/>
          <w:lang w:val="lv-LV"/>
        </w:rPr>
        <w:t>Priestley</w:t>
      </w:r>
      <w:proofErr w:type="spellEnd"/>
      <w:r w:rsidRPr="00F241D5">
        <w:rPr>
          <w:i/>
          <w:sz w:val="24"/>
          <w:lang w:val="lv-LV"/>
        </w:rPr>
        <w:t>, M</w:t>
      </w:r>
      <w:r w:rsidRPr="00F241D5">
        <w:rPr>
          <w:sz w:val="24"/>
          <w:lang w:val="lv-LV"/>
        </w:rPr>
        <w:t xml:space="preserve">., </w:t>
      </w:r>
      <w:r w:rsidRPr="00F241D5">
        <w:rPr>
          <w:i/>
          <w:sz w:val="24"/>
          <w:lang w:val="lv-LV"/>
        </w:rPr>
        <w:t>“</w:t>
      </w:r>
      <w:proofErr w:type="spellStart"/>
      <w:r w:rsidRPr="00F241D5">
        <w:rPr>
          <w:i/>
          <w:sz w:val="24"/>
          <w:lang w:val="lv-LV"/>
        </w:rPr>
        <w:t>Europe</w:t>
      </w:r>
      <w:proofErr w:type="spellEnd"/>
      <w:r w:rsidRPr="00F241D5">
        <w:rPr>
          <w:i/>
          <w:sz w:val="24"/>
          <w:lang w:val="lv-LV"/>
        </w:rPr>
        <w:t xml:space="preserve"> 2020 </w:t>
      </w:r>
      <w:proofErr w:type="spellStart"/>
      <w:r w:rsidRPr="00F241D5">
        <w:rPr>
          <w:i/>
          <w:sz w:val="24"/>
          <w:lang w:val="lv-LV"/>
        </w:rPr>
        <w:t>data</w:t>
      </w:r>
      <w:proofErr w:type="spellEnd"/>
      <w:r w:rsidRPr="00F241D5">
        <w:rPr>
          <w:i/>
          <w:sz w:val="24"/>
          <w:lang w:val="lv-LV"/>
        </w:rPr>
        <w:t xml:space="preserve"> </w:t>
      </w:r>
      <w:proofErr w:type="spellStart"/>
      <w:r w:rsidRPr="00F241D5">
        <w:rPr>
          <w:i/>
          <w:sz w:val="24"/>
          <w:lang w:val="lv-LV"/>
        </w:rPr>
        <w:t>and</w:t>
      </w:r>
      <w:proofErr w:type="spellEnd"/>
      <w:r w:rsidRPr="00F241D5">
        <w:rPr>
          <w:i/>
          <w:sz w:val="24"/>
          <w:lang w:val="lv-LV"/>
        </w:rPr>
        <w:t xml:space="preserve"> </w:t>
      </w:r>
      <w:proofErr w:type="spellStart"/>
      <w:r w:rsidRPr="00F241D5">
        <w:rPr>
          <w:i/>
          <w:sz w:val="24"/>
          <w:lang w:val="lv-LV"/>
        </w:rPr>
        <w:t>people</w:t>
      </w:r>
      <w:proofErr w:type="spellEnd"/>
      <w:r w:rsidRPr="00F241D5">
        <w:rPr>
          <w:i/>
          <w:sz w:val="24"/>
          <w:lang w:val="lv-LV"/>
        </w:rPr>
        <w:t xml:space="preserve"> </w:t>
      </w:r>
      <w:proofErr w:type="spellStart"/>
      <w:r w:rsidRPr="00F241D5">
        <w:rPr>
          <w:i/>
          <w:sz w:val="24"/>
          <w:lang w:val="lv-LV"/>
        </w:rPr>
        <w:t>with</w:t>
      </w:r>
      <w:proofErr w:type="spellEnd"/>
      <w:r w:rsidRPr="00F241D5">
        <w:rPr>
          <w:i/>
          <w:sz w:val="24"/>
          <w:lang w:val="lv-LV"/>
        </w:rPr>
        <w:t xml:space="preserve"> </w:t>
      </w:r>
      <w:proofErr w:type="spellStart"/>
      <w:r w:rsidRPr="00F241D5">
        <w:rPr>
          <w:i/>
          <w:sz w:val="24"/>
          <w:lang w:val="lv-LV"/>
        </w:rPr>
        <w:t>disabilities</w:t>
      </w:r>
      <w:proofErr w:type="spellEnd"/>
      <w:r w:rsidRPr="00F241D5">
        <w:rPr>
          <w:i/>
          <w:sz w:val="24"/>
          <w:lang w:val="lv-LV"/>
        </w:rPr>
        <w:t xml:space="preserve"> – </w:t>
      </w:r>
      <w:proofErr w:type="spellStart"/>
      <w:r w:rsidRPr="00F241D5">
        <w:rPr>
          <w:i/>
          <w:sz w:val="24"/>
          <w:lang w:val="lv-LV"/>
        </w:rPr>
        <w:t>tables</w:t>
      </w:r>
      <w:proofErr w:type="spellEnd"/>
      <w:r w:rsidRPr="00F241D5">
        <w:rPr>
          <w:i/>
          <w:sz w:val="24"/>
          <w:lang w:val="lv-LV"/>
        </w:rPr>
        <w:t>”</w:t>
      </w:r>
      <w:r w:rsidRPr="00F241D5">
        <w:rPr>
          <w:sz w:val="24"/>
          <w:lang w:val="lv-LV"/>
        </w:rPr>
        <w:t xml:space="preserve">. (“Eiropa 2020” dati un cilvēki ar invaliditāti — tabulas). </w:t>
      </w:r>
      <w:proofErr w:type="spellStart"/>
      <w:r w:rsidRPr="00F241D5">
        <w:rPr>
          <w:i/>
          <w:sz w:val="24"/>
          <w:lang w:val="lv-LV"/>
        </w:rPr>
        <w:t>Eurostat</w:t>
      </w:r>
      <w:proofErr w:type="spellEnd"/>
      <w:r w:rsidRPr="00F241D5">
        <w:rPr>
          <w:sz w:val="24"/>
          <w:lang w:val="lv-LV"/>
        </w:rPr>
        <w:t>, 2020. gads.</w:t>
      </w:r>
    </w:p>
  </w:footnote>
  <w:footnote w:id="25">
    <w:p w:rsidR="00AD7FDB" w:rsidRPr="00F241D5" w:rsidRDefault="00AD7FDB" w:rsidP="00F241D5">
      <w:pPr>
        <w:pStyle w:val="FootnoteText"/>
        <w:ind w:left="567" w:hanging="567"/>
        <w:rPr>
          <w:sz w:val="24"/>
          <w:lang w:val="lv-LV"/>
        </w:rPr>
      </w:pPr>
      <w:r w:rsidRPr="00F241D5">
        <w:rPr>
          <w:rStyle w:val="FootnoteReference"/>
          <w:sz w:val="24"/>
          <w:lang w:val="lv-LV"/>
        </w:rPr>
        <w:footnoteRef/>
      </w:r>
      <w:r w:rsidR="00F241D5" w:rsidRPr="00F241D5">
        <w:rPr>
          <w:sz w:val="24"/>
          <w:lang w:val="lv-LV"/>
        </w:rPr>
        <w:t xml:space="preserve"> </w:t>
      </w:r>
      <w:r w:rsidR="00F241D5" w:rsidRPr="00F241D5">
        <w:rPr>
          <w:sz w:val="24"/>
          <w:lang w:val="lv-LV"/>
        </w:rPr>
        <w:tab/>
      </w:r>
      <w:r w:rsidRPr="00F241D5">
        <w:rPr>
          <w:sz w:val="24"/>
          <w:lang w:val="lv-LV"/>
        </w:rPr>
        <w:t>Komisijas 2022. gada 17. jūnija paziņojums “Konference par Eiropas nākotni — pārvēršot redzējumu konkrētā darbībā” (COM(2022)0404),</w:t>
      </w:r>
    </w:p>
  </w:footnote>
  <w:footnote w:id="26">
    <w:p w:rsidR="00AD7FDB" w:rsidRPr="00F241D5" w:rsidRDefault="00AD7FDB" w:rsidP="00F241D5">
      <w:pPr>
        <w:pStyle w:val="FootnoteText"/>
        <w:ind w:left="567" w:hanging="567"/>
        <w:rPr>
          <w:sz w:val="24"/>
          <w:lang w:val="lv-LV"/>
        </w:rPr>
      </w:pPr>
      <w:r w:rsidRPr="00F241D5">
        <w:rPr>
          <w:rStyle w:val="FootnoteReference"/>
          <w:sz w:val="24"/>
          <w:lang w:val="lv-LV"/>
        </w:rPr>
        <w:footnoteRef/>
      </w:r>
      <w:r w:rsidR="00F241D5" w:rsidRPr="00F241D5">
        <w:rPr>
          <w:sz w:val="24"/>
          <w:lang w:val="lv-LV"/>
        </w:rPr>
        <w:t xml:space="preserve"> </w:t>
      </w:r>
      <w:r w:rsidR="00F241D5" w:rsidRPr="00F241D5">
        <w:rPr>
          <w:sz w:val="24"/>
          <w:lang w:val="lv-LV"/>
        </w:rPr>
        <w:tab/>
      </w:r>
      <w:r w:rsidRPr="00F241D5">
        <w:rPr>
          <w:sz w:val="24"/>
          <w:lang w:val="lv-LV"/>
        </w:rPr>
        <w:t>Eiropas Parlamenta un Padomes 2001. gada 30. maija Regula (EK) Nr. 1049/2001 par publisku piekļuvi Eiropas Parlamenta, Padomes un Komisijas dokumentiem, OV L 145, 31.5.2001., 43.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41D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41D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41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6/2023"/>
    <w:docVar w:name="dvlangue" w:val="LV"/>
    <w:docVar w:name="dvnumam" w:val="0"/>
    <w:docVar w:name="dvpe" w:val="754.647"/>
    <w:docVar w:name="dvrapporteur" w:val="Referente: "/>
    <w:docVar w:name="dvtitre" w:val="Eiropas Parlamenta 2024. gada XX. XXX  rezolūcija par Līguma noteikumu par ES pilsonību īstenošanu(2023/2085(INI))"/>
  </w:docVars>
  <w:rsids>
    <w:rsidRoot w:val="00EC1BC5"/>
    <w:rsid w:val="00002272"/>
    <w:rsid w:val="00064002"/>
    <w:rsid w:val="000677B9"/>
    <w:rsid w:val="000831BA"/>
    <w:rsid w:val="000A42CC"/>
    <w:rsid w:val="000E7DD9"/>
    <w:rsid w:val="0010095E"/>
    <w:rsid w:val="00125B37"/>
    <w:rsid w:val="00187494"/>
    <w:rsid w:val="001F32AE"/>
    <w:rsid w:val="002767FF"/>
    <w:rsid w:val="002B18FE"/>
    <w:rsid w:val="002B22B4"/>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0BBB"/>
    <w:rsid w:val="0055184A"/>
    <w:rsid w:val="00560270"/>
    <w:rsid w:val="005C2568"/>
    <w:rsid w:val="006037C0"/>
    <w:rsid w:val="006631B6"/>
    <w:rsid w:val="00680577"/>
    <w:rsid w:val="006F74FA"/>
    <w:rsid w:val="00731ADD"/>
    <w:rsid w:val="00734777"/>
    <w:rsid w:val="00747932"/>
    <w:rsid w:val="00751A4A"/>
    <w:rsid w:val="00756632"/>
    <w:rsid w:val="00762C74"/>
    <w:rsid w:val="00786EC0"/>
    <w:rsid w:val="007C20F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7FDB"/>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1BC5"/>
    <w:rsid w:val="00ED169E"/>
    <w:rsid w:val="00ED4235"/>
    <w:rsid w:val="00F04346"/>
    <w:rsid w:val="00F075DC"/>
    <w:rsid w:val="00F149E9"/>
    <w:rsid w:val="00F241D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7967DC"/>
  <w15:chartTrackingRefBased/>
  <w15:docId w15:val="{CA9A7B2D-4E1E-4AAC-AA53-9126E5A03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D7FDB"/>
    <w:rPr>
      <w:b/>
    </w:rPr>
  </w:style>
  <w:style w:type="paragraph" w:customStyle="1" w:styleId="NormalHanging12a">
    <w:name w:val="NormalHanging12a"/>
    <w:basedOn w:val="Normal"/>
    <w:link w:val="NormalHanging12aChar"/>
    <w:rsid w:val="00AD7FDB"/>
    <w:pPr>
      <w:spacing w:after="240"/>
      <w:ind w:left="567" w:hanging="567"/>
    </w:pPr>
  </w:style>
  <w:style w:type="paragraph" w:customStyle="1" w:styleId="EPComma">
    <w:name w:val="EPComma"/>
    <w:basedOn w:val="Normal"/>
    <w:rsid w:val="00AD7FDB"/>
    <w:pPr>
      <w:spacing w:before="480" w:after="240"/>
    </w:pPr>
  </w:style>
  <w:style w:type="character" w:customStyle="1" w:styleId="doceo-font-family-base">
    <w:name w:val="doceo-font-family-base"/>
    <w:basedOn w:val="DefaultParagraphFont"/>
    <w:rsid w:val="00AD7FDB"/>
  </w:style>
  <w:style w:type="character" w:customStyle="1" w:styleId="y2iqfc">
    <w:name w:val="y2iqfc"/>
    <w:basedOn w:val="DefaultParagraphFont"/>
    <w:rsid w:val="00AD7FDB"/>
  </w:style>
  <w:style w:type="character" w:styleId="Emphasis">
    <w:name w:val="Emphasis"/>
    <w:basedOn w:val="DefaultParagraphFont"/>
    <w:uiPriority w:val="20"/>
    <w:qFormat/>
    <w:rsid w:val="00AD7FDB"/>
    <w:rPr>
      <w:i/>
      <w:iCs/>
    </w:rPr>
  </w:style>
  <w:style w:type="character" w:customStyle="1" w:styleId="NormalHanging12aChar">
    <w:name w:val="NormalHanging12a Char"/>
    <w:basedOn w:val="DefaultParagraphFont"/>
    <w:link w:val="NormalHanging12a"/>
    <w:locked/>
    <w:rsid w:val="00AD7FDB"/>
    <w:rPr>
      <w:sz w:val="24"/>
      <w:lang w:val="lv-LV"/>
    </w:rPr>
  </w:style>
  <w:style w:type="character" w:styleId="Hyperlink">
    <w:name w:val="Hyperlink"/>
    <w:basedOn w:val="DefaultParagraphFont"/>
    <w:uiPriority w:val="99"/>
    <w:unhideWhenUsed/>
    <w:rsid w:val="00AD7FDB"/>
    <w:rPr>
      <w:color w:val="0563C1" w:themeColor="hyperlink"/>
      <w:u w:val="single"/>
    </w:rPr>
  </w:style>
  <w:style w:type="paragraph" w:customStyle="1" w:styleId="AMNumberTabs">
    <w:name w:val="AMNumberTabs"/>
    <w:basedOn w:val="Normal"/>
    <w:rsid w:val="00AD7FD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BalloonText">
    <w:name w:val="Balloon Text"/>
    <w:basedOn w:val="Normal"/>
    <w:link w:val="BalloonTextChar"/>
    <w:rsid w:val="007C20FB"/>
    <w:rPr>
      <w:rFonts w:ascii="Segoe UI" w:hAnsi="Segoe UI" w:cs="Segoe UI"/>
      <w:sz w:val="18"/>
      <w:szCs w:val="18"/>
    </w:rPr>
  </w:style>
  <w:style w:type="character" w:customStyle="1" w:styleId="BalloonTextChar">
    <w:name w:val="Balloon Text Char"/>
    <w:basedOn w:val="DefaultParagraphFont"/>
    <w:link w:val="BalloonText"/>
    <w:rsid w:val="007C20FB"/>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eurostat/statistics-explained/index.php?title=Archive:EU_citizens_living_in_another_Member_State_-_statistical_overview" TargetMode="External"/><Relationship Id="rId1" Type="http://schemas.openxmlformats.org/officeDocument/2006/relationships/hyperlink" Target="https://ec.europa.eu/eurostat/statistics-explained/index.php?title=Archive:EU_citizens_living_in_another_Member_State_-_statistical_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62BF3A-F41E-4974-B065-E6470E200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3381</Words>
  <Characters>22111</Characters>
  <Application>Microsoft Office Word</Application>
  <DocSecurity>0</DocSecurity>
  <Lines>184</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2024-02-21T14:14:00Z</dcterms:created>
  <dcterms:modified xsi:type="dcterms:W3CDTF">2024-02-21T14:14:00Z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A9-0436/2023</vt:lpwstr>
  </property>
  <property fmtid="{D5CDD505-2E9C-101B-9397-08002B2CF9AE}" pid="4" name="&lt;Type&gt;">
    <vt:lpwstr>RR</vt:lpwstr>
  </property>
</Properties>
</file>