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70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70CE" w:rsidRDefault="00A46EBA" w:rsidP="0010095E">
            <w:pPr>
              <w:pStyle w:val="EPName"/>
            </w:pPr>
            <w:bookmarkStart w:id="0" w:name="_GoBack"/>
            <w:bookmarkEnd w:id="0"/>
            <w:r w:rsidRPr="00B370CE">
              <w:t>Parlament Europejski</w:t>
            </w:r>
          </w:p>
          <w:p w:rsidR="00751A4A" w:rsidRPr="00B370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70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370CE" w:rsidRDefault="00187494" w:rsidP="0010095E">
            <w:pPr>
              <w:pStyle w:val="EPLogo"/>
            </w:pPr>
            <w:r w:rsidRPr="00B370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70CE" w:rsidRDefault="00D058B8" w:rsidP="004C5D52">
      <w:pPr>
        <w:pStyle w:val="LineTop"/>
      </w:pPr>
    </w:p>
    <w:p w:rsidR="00680577" w:rsidRPr="00B370CE" w:rsidRDefault="00A46EBA" w:rsidP="00680577">
      <w:pPr>
        <w:pStyle w:val="EPBodyTA1"/>
      </w:pPr>
      <w:r w:rsidRPr="00B370CE">
        <w:t>TEKSTY PRZYJĘTE</w:t>
      </w:r>
    </w:p>
    <w:p w:rsidR="00D058B8" w:rsidRPr="00B370CE" w:rsidRDefault="00D058B8" w:rsidP="00D058B8">
      <w:pPr>
        <w:pStyle w:val="LineBottom"/>
      </w:pPr>
    </w:p>
    <w:p w:rsidR="00A46EBA" w:rsidRPr="00B370CE" w:rsidRDefault="00A46EBA" w:rsidP="00A46EBA">
      <w:pPr>
        <w:pStyle w:val="ATHeading1"/>
      </w:pPr>
      <w:bookmarkStart w:id="1" w:name="TANumber"/>
      <w:r w:rsidRPr="00B370CE">
        <w:t>P9_TA(2024)00</w:t>
      </w:r>
      <w:bookmarkEnd w:id="1"/>
      <w:r w:rsidR="00655004">
        <w:t>24</w:t>
      </w:r>
    </w:p>
    <w:p w:rsidR="00A46EBA" w:rsidRPr="00226DB8" w:rsidRDefault="00226DB8" w:rsidP="00A46EBA">
      <w:pPr>
        <w:pStyle w:val="ATHeading2"/>
      </w:pPr>
      <w:r w:rsidRPr="00226DB8">
        <w:t>Wdrożenie postanowień Traktatu dotyczących obywatelstwa UE</w:t>
      </w:r>
    </w:p>
    <w:p w:rsidR="00A46EBA" w:rsidRPr="00B370CE" w:rsidRDefault="00A46EBA" w:rsidP="00A46EBA">
      <w:pPr>
        <w:rPr>
          <w:i/>
          <w:vanish/>
        </w:rPr>
      </w:pPr>
      <w:r w:rsidRPr="00B370CE">
        <w:rPr>
          <w:i/>
        </w:rPr>
        <w:fldChar w:fldCharType="begin"/>
      </w:r>
      <w:r w:rsidRPr="00B370CE">
        <w:rPr>
          <w:i/>
        </w:rPr>
        <w:instrText xml:space="preserve"> TC"(</w:instrText>
      </w:r>
      <w:bookmarkStart w:id="2" w:name="DocNumber"/>
      <w:r w:rsidRPr="00B370CE">
        <w:rPr>
          <w:i/>
        </w:rPr>
        <w:instrText>A9-0436/2023</w:instrText>
      </w:r>
      <w:bookmarkEnd w:id="2"/>
      <w:r w:rsidRPr="00B370CE">
        <w:rPr>
          <w:i/>
        </w:rPr>
        <w:instrText xml:space="preserve"> - Sprawozdawca: </w:instrText>
      </w:r>
      <w:proofErr w:type="spellStart"/>
      <w:r w:rsidRPr="00B370CE">
        <w:rPr>
          <w:i/>
        </w:rPr>
        <w:instrText>Maite</w:instrText>
      </w:r>
      <w:proofErr w:type="spellEnd"/>
      <w:r w:rsidRPr="00B370CE">
        <w:rPr>
          <w:i/>
        </w:rPr>
        <w:instrText xml:space="preserve"> </w:instrText>
      </w:r>
      <w:proofErr w:type="spellStart"/>
      <w:r w:rsidRPr="00B370CE">
        <w:rPr>
          <w:i/>
        </w:rPr>
        <w:instrText>Pagazaurtundúa</w:instrText>
      </w:r>
      <w:proofErr w:type="spellEnd"/>
      <w:proofErr w:type="gramStart"/>
      <w:r w:rsidRPr="00B370CE">
        <w:rPr>
          <w:i/>
        </w:rPr>
        <w:instrText>)"\l</w:instrText>
      </w:r>
      <w:proofErr w:type="gramEnd"/>
      <w:r w:rsidRPr="00B370CE">
        <w:rPr>
          <w:i/>
        </w:rPr>
        <w:instrText xml:space="preserve">3 \n&gt; \* MERGEFORMAT </w:instrText>
      </w:r>
      <w:r w:rsidRPr="00B370CE">
        <w:rPr>
          <w:i/>
        </w:rPr>
        <w:fldChar w:fldCharType="end"/>
      </w:r>
    </w:p>
    <w:p w:rsidR="00A46EBA" w:rsidRPr="00B370CE" w:rsidRDefault="00A46EBA" w:rsidP="00A46EBA">
      <w:pPr>
        <w:rPr>
          <w:vanish/>
        </w:rPr>
      </w:pPr>
      <w:bookmarkStart w:id="3" w:name="Commission"/>
      <w:r w:rsidRPr="00B370CE">
        <w:rPr>
          <w:vanish/>
        </w:rPr>
        <w:t>Komisja Spraw Konstytucyjnych</w:t>
      </w:r>
      <w:bookmarkEnd w:id="3"/>
    </w:p>
    <w:p w:rsidR="00A46EBA" w:rsidRPr="00B370CE" w:rsidRDefault="00A46EBA" w:rsidP="00A46EBA">
      <w:pPr>
        <w:rPr>
          <w:vanish/>
        </w:rPr>
      </w:pPr>
      <w:bookmarkStart w:id="4" w:name="PE"/>
      <w:r w:rsidRPr="00B370CE">
        <w:rPr>
          <w:vanish/>
        </w:rPr>
        <w:t>PE754.647</w:t>
      </w:r>
      <w:bookmarkEnd w:id="4"/>
    </w:p>
    <w:p w:rsidR="00A46EBA" w:rsidRPr="00B370CE" w:rsidRDefault="00A46EBA" w:rsidP="00A46EBA">
      <w:pPr>
        <w:pStyle w:val="ATHeading3"/>
      </w:pPr>
      <w:bookmarkStart w:id="5" w:name="Sujet"/>
      <w:r w:rsidRPr="00B370CE">
        <w:t xml:space="preserve">Rezolucja Parlamentu Europejskiego z dnia </w:t>
      </w:r>
      <w:r w:rsidR="00226DB8">
        <w:t>17 stycznia</w:t>
      </w:r>
      <w:r w:rsidRPr="00B370CE">
        <w:t xml:space="preserve"> 2024 r. w sprawie wdrożenia postanowień Traktatu dotyczących obywatelstwa UE</w:t>
      </w:r>
      <w:bookmarkEnd w:id="5"/>
      <w:r w:rsidRPr="00B370CE">
        <w:t xml:space="preserve"> </w:t>
      </w:r>
      <w:bookmarkStart w:id="6" w:name="References"/>
      <w:r w:rsidRPr="00B370CE">
        <w:t>(2023/2085(INI))</w:t>
      </w:r>
      <w:bookmarkEnd w:id="6"/>
    </w:p>
    <w:p w:rsidR="00A46EBA" w:rsidRPr="00B370CE" w:rsidRDefault="00A46EBA" w:rsidP="00A46EBA"/>
    <w:p w:rsidR="00DC2C61" w:rsidRPr="00B370CE" w:rsidRDefault="00DC2C61" w:rsidP="00DC2C61">
      <w:pPr>
        <w:pStyle w:val="Normal12"/>
        <w:jc w:val="both"/>
      </w:pPr>
      <w:bookmarkStart w:id="7" w:name="TextBodyBegin"/>
      <w:bookmarkEnd w:id="7"/>
      <w:r w:rsidRPr="00B370CE">
        <w:rPr>
          <w:i/>
        </w:rPr>
        <w:t>Parlament Europejski</w:t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art. 2, 3, 6, 9, 10, 11, 12, 21 i 23 Traktatu o Unii Europejskiej (TUE),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art. 15, 20, 21, 22, 24, 26, 45, 46, 47, 48, 153 i 165 Traktatu o funkcjonowaniu Unii Europejskiej (TFUE),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Kartę praw podstawowych Unii Europejskiej,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dyrektywę 2004/38/WE Parlamentu Europejskiego i Rady z dnia 29 kwietnia 2004 r. w sprawie prawa obywateli Unii i członków ich rodzin do swobodnego przemieszczania się i pobytu na terytorium Państw Członkowskich, zmieniającą rozporządzenie (EWG) nr 1612/68 i uchylającą dyrektywy 64/221/EWG, 68/360/EWG, 72/194/EWG, 73/148/EWG, 75/34/EWG, 75/35/EWG, 90/364/EWG, 90/365/EWG i 93/96/EWG</w:t>
      </w:r>
      <w:r w:rsidRPr="00B370CE">
        <w:rPr>
          <w:rStyle w:val="FootnoteReference"/>
          <w:color w:val="000000"/>
        </w:rPr>
        <w:footnoteReference w:id="1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rozporządzenie Parlamentu Europejskiego i Rady (UE) 2021/692 z 28 kwietnia 2021 r. ustanawiające program „Obywatele, równość, prawa i wartości” oraz uchylające rozporządzenie Parlamentu Europejskiego i Rady (UE) nr 1381/2013 i rozporządzenie Rady (UE) nr 390/2014</w:t>
      </w:r>
      <w:r w:rsidRPr="00B370CE">
        <w:rPr>
          <w:rStyle w:val="FootnoteReference"/>
          <w:color w:val="000000"/>
        </w:rPr>
        <w:footnoteReference w:id="2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rozporządzenie Parlamentu Europejskiego i Rady (UE) nr 492/2011 z dnia 5 kwietnia 2011 r. w sprawie swobodnego przepływu pracowników wewnątrz Unii</w:t>
      </w:r>
      <w:r w:rsidRPr="00B370CE">
        <w:rPr>
          <w:rStyle w:val="FootnoteReference"/>
          <w:color w:val="000000"/>
        </w:rPr>
        <w:footnoteReference w:id="3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rozporządzenie Parlamentu Europejskiego i Rady (UE) 2019/1149 z dnia 20 czerwca 2019 r. ustanawiające Europejski Urząd ds. Pracy, zmieniające rozporządzenia (WE) nr 883/2004, (UE) nr 492/2011 i (UE) 2016/589 oraz uchylające </w:t>
      </w:r>
      <w:r w:rsidRPr="00B370CE">
        <w:lastRenderedPageBreak/>
        <w:t>decyzję (UE) 2016/344</w:t>
      </w:r>
      <w:r w:rsidRPr="00B370CE">
        <w:rPr>
          <w:rStyle w:val="FootnoteReference"/>
          <w:color w:val="000000"/>
        </w:rPr>
        <w:footnoteReference w:id="4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dyrektywę Parlamentu Europejskiego i Rady (UE) 2018/957 z dnia 28 czerwca 2018 r. zmieniającą dyrektywę 96/71/WE dotyczącą delegowania pracowników w ramach świadczenia usług</w:t>
      </w:r>
      <w:r w:rsidRPr="00B370CE">
        <w:rPr>
          <w:rStyle w:val="FootnoteReference"/>
          <w:color w:val="000000"/>
        </w:rPr>
        <w:footnoteReference w:id="5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rozporządzenie Parlamentu Europejskiego i Rady (UE) 2016/589 z dnia 13 kwietnia 2016 r. w sprawie europejskiej sieci służb zatrudnienia (EURES), dostępu pracowników do usług w zakresie mobilności i dalszej integracji rynków pracy oraz zmiany rozporządzeń (UE) nr 492/2011 i (UE) nr 1296/2013</w:t>
      </w:r>
      <w:r w:rsidRPr="00B370CE">
        <w:rPr>
          <w:rStyle w:val="FootnoteReference"/>
          <w:color w:val="000000"/>
        </w:rPr>
        <w:footnoteReference w:id="6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dyrektywę Parlamentu Europejskiego i Rady 2013/55/UE z dnia 20 listopada 2013 r. zmieniającą dyrektywę 2005/36/WE w sprawie uznawania kwalifikacji zawodowych i rozporządzenie (UE) nr 1024/2012 w sprawie współpracy administracyjnej za pośrednictwem systemu wymiany informacji na rynku wewnętrznym</w:t>
      </w:r>
      <w:r w:rsidRPr="00B370CE">
        <w:rPr>
          <w:rStyle w:val="FootnoteReference"/>
          <w:color w:val="000000"/>
        </w:rPr>
        <w:footnoteReference w:id="7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dyrektywę Rady (UE) 2015/637 z dnia 20 kwietnia 2015 r. w sprawie środków koordynacji i współpracy mających ułatwić ochronę konsularną niereprezentowanych obywateli Unii w państwach trzecich oraz uchylającą decyzję 95/553/WE</w:t>
      </w:r>
      <w:r w:rsidRPr="00B370CE">
        <w:rPr>
          <w:rStyle w:val="FootnoteReference"/>
        </w:rPr>
        <w:footnoteReference w:id="8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dyrektywę Rady (UE) 2019/997 z dnia 18 czerwca 2019 r. ustanawiającą unijny tymczasowy dokument podróży oraz uchylającą decyzję 96/409/</w:t>
      </w:r>
      <w:proofErr w:type="spellStart"/>
      <w:r w:rsidRPr="00B370CE">
        <w:t>WPZiB</w:t>
      </w:r>
      <w:proofErr w:type="spellEnd"/>
      <w:r w:rsidRPr="00B370CE">
        <w:rPr>
          <w:rStyle w:val="FootnoteReference"/>
          <w:color w:val="000000"/>
        </w:rPr>
        <w:footnoteReference w:id="9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komunikat Komisji z dnia 2 lipca 2009 r. pt. „Wytyczne w celu skuteczniejszej transpozycji i stosowania dyrektywy 2004/38/WE w sprawie prawa obywateli Unii i członków ich rodzin do swobodnego przemieszczania się i pobytu na terytorium państw członkowskich” (COM(2009)0313),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rozporządzenie Parlamentu Europejskiego i Rady (UE) 2019/788 z dnia 17 kwietnia 2019 r. w sprawie europejskiej inicjatywy obywatelskiej</w:t>
      </w:r>
      <w:r w:rsidRPr="00B370CE">
        <w:rPr>
          <w:vertAlign w:val="superscript"/>
        </w:rPr>
        <w:footnoteReference w:id="10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rozporządzenie Parlamentu Europejskiego i Rady (UE) 2020/1042 z dnia 15 lipca 2020 r. ustanawiające środki tymczasowe dotyczące terminów mających zastosowanie do etapów zbierania, weryfikacji i badania przewidzianych w rozporządzeniu (UE) 2019/788 w sprawie europejskiej inicjatywy obywatelskiej w związku z wystąpieniem epidemii COVID-19</w:t>
      </w:r>
      <w:r w:rsidRPr="00B370CE">
        <w:rPr>
          <w:rStyle w:val="FootnoteReference"/>
          <w:color w:val="000000"/>
        </w:rPr>
        <w:footnoteReference w:id="11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komunikat Komisji z </w:t>
      </w:r>
      <w:r w:rsidR="00226DB8" w:rsidRPr="00B370CE">
        <w:t xml:space="preserve">dnia </w:t>
      </w:r>
      <w:r w:rsidRPr="00B370CE">
        <w:t>2 grudnia 2020 r. pt. „Strategia na rzecz wzmocnienia stosowania Karty praw podstawowych w UE” (COM(2020)0711),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komunikat Komisji z </w:t>
      </w:r>
      <w:r w:rsidR="00226DB8" w:rsidRPr="00B370CE">
        <w:t xml:space="preserve">dnia </w:t>
      </w:r>
      <w:r w:rsidRPr="00B370CE">
        <w:t xml:space="preserve">3 grudnia 2020 r. w sprawie europejskiego </w:t>
      </w:r>
      <w:r w:rsidRPr="00B370CE">
        <w:lastRenderedPageBreak/>
        <w:t>planu działania na rzecz demokracji (COM(2020)0790),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komunikat Komisji z </w:t>
      </w:r>
      <w:r w:rsidR="00226DB8" w:rsidRPr="00B370CE">
        <w:t xml:space="preserve">dnia </w:t>
      </w:r>
      <w:r w:rsidRPr="00B370CE">
        <w:rPr>
          <w:shd w:val="clear" w:color="auto" w:fill="FFFFFF"/>
        </w:rPr>
        <w:t>25 listopada 2021 r.</w:t>
      </w:r>
      <w:r w:rsidRPr="00B370CE">
        <w:t xml:space="preserve"> pt. „Ochrona uczciwości wyborów i wspieranie uczestniczenia w demokracji” (COM(2021)0730),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sprawozdanie Komisji z </w:t>
      </w:r>
      <w:r w:rsidR="00226DB8" w:rsidRPr="00B370CE">
        <w:t xml:space="preserve">dnia </w:t>
      </w:r>
      <w:r w:rsidRPr="00B370CE">
        <w:t>15 grudnia 2020 r. pt. „Sprawozdanie na temat obywatelstwa UE z 2020 r. Wzmacnianie pozycji obywateli i ochrona ich praw” (COM(2020)0730),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sprawozdanie Komisji z </w:t>
      </w:r>
      <w:r w:rsidR="00226DB8" w:rsidRPr="00B370CE">
        <w:t xml:space="preserve">dnia </w:t>
      </w:r>
      <w:r w:rsidRPr="00B370CE">
        <w:t>15 grudnia 2020 r. na podstawie art. 25 TFUE w sprawie postępów w skutecznym korzystaniu z obywatelstwa Unii Europejskiej w latach 2016–2020 (COM(2020)0731),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stanowisko Parlamentu z dnia 14 lutego 2023 r. w sprawie wniosku dotyczącego dyrektywy Rady ustanawiającej szczegółowe warunki wykonywania prawa głosowania i kandydowania w wyborach do Parlamentu Europejskiego przez obywateli Unii mających miejsce zamieszkania w państwie członkowskim, którego nie są obywatelami (wersja przekształcona)</w:t>
      </w:r>
      <w:r w:rsidRPr="00B370CE">
        <w:rPr>
          <w:rStyle w:val="FootnoteReference"/>
          <w:color w:val="000000"/>
        </w:rPr>
        <w:footnoteReference w:id="12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stanowisko Parlamentu z dnia 14 lutego 2023 r. w sprawie wniosku dotyczącego dyrektywy Rady ustanawiającej szczegółowe warunki wykonywania prawa głosowania i kandydowania w wyborach lokalnych przez obywateli Unii mających miejsce zamieszkania w państwie członkowskim, którego nie są obywatelami</w:t>
      </w:r>
      <w:r w:rsidRPr="00B370CE">
        <w:rPr>
          <w:rStyle w:val="FootnoteReference"/>
          <w:color w:val="000000"/>
        </w:rPr>
        <w:footnoteReference w:id="13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12 lutego 2019 r. w sprawie stosowania postanowień Traktatu dotyczących obywatelstwa UE</w:t>
      </w:r>
      <w:r w:rsidRPr="00B370CE">
        <w:rPr>
          <w:rStyle w:val="FootnoteReference"/>
          <w:color w:val="000000"/>
        </w:rPr>
        <w:footnoteReference w:id="14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9 marca 2022 r. zawierającą wnioski dla Komisji dotyczące programów obywatelstwa i ułatwień pobytowych dla inwestorów</w:t>
      </w:r>
      <w:r w:rsidRPr="00B370CE">
        <w:rPr>
          <w:rStyle w:val="FootnoteReference"/>
          <w:color w:val="000000"/>
        </w:rPr>
        <w:footnoteReference w:id="15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10 marca 2022 r. w sprawie sprawozdania na temat obywatelstwa UE z 2020 r. Wzmacnianie pozycji obywateli i ochrona ich praw</w:t>
      </w:r>
      <w:r w:rsidRPr="00B370CE">
        <w:rPr>
          <w:rStyle w:val="FootnoteReference"/>
          <w:color w:val="000000"/>
        </w:rPr>
        <w:footnoteReference w:id="16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13 czerwca 2023 r. w sprawie wdrożenia rozporządzeń dotyczących europejskiej inicjatywy obywatelskiej</w:t>
      </w:r>
      <w:r w:rsidRPr="00B370CE">
        <w:rPr>
          <w:rStyle w:val="FootnoteReference"/>
          <w:color w:val="000000"/>
        </w:rPr>
        <w:footnoteReference w:id="17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14 września 2023 r. w sprawie parlamentaryzmu, obywatelstwa europejskiego i demokracji</w:t>
      </w:r>
      <w:r w:rsidRPr="00B370CE">
        <w:rPr>
          <w:rStyle w:val="FootnoteReference"/>
          <w:color w:val="000000"/>
        </w:rPr>
        <w:footnoteReference w:id="18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7 lipca 2021 r. w sprawie dialogu obywatelskiego i uczestnictwa obywateli w procesie decyzyjnym UE</w:t>
      </w:r>
      <w:r w:rsidRPr="00B370CE">
        <w:rPr>
          <w:rStyle w:val="FootnoteReference"/>
          <w:color w:val="000000"/>
        </w:rPr>
        <w:footnoteReference w:id="19"/>
      </w:r>
      <w:r w:rsidRPr="00B370CE">
        <w:t>,</w:t>
      </w:r>
    </w:p>
    <w:p w:rsidR="00DC2C61" w:rsidRPr="00B370CE" w:rsidRDefault="00DC2C61" w:rsidP="00DC2C61">
      <w:pPr>
        <w:pStyle w:val="NormalHanging12a"/>
      </w:pPr>
      <w:r w:rsidRPr="00B370CE">
        <w:lastRenderedPageBreak/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9 marca 2022 r. w sprawie kontaktu z obywatelami: prawo do składania petycji, prawo do zwracania się do Europejskiego Rzecznika Praw Obywatelskich oraz Europejska Inicjatywa Obywatelska</w:t>
      </w:r>
      <w:r w:rsidRPr="00B370CE">
        <w:rPr>
          <w:rStyle w:val="FootnoteReference"/>
          <w:color w:val="000000"/>
        </w:rPr>
        <w:footnoteReference w:id="20"/>
      </w:r>
      <w:r w:rsidRPr="00B370CE">
        <w:t>,</w:t>
      </w:r>
    </w:p>
    <w:p w:rsidR="00DC2C61" w:rsidRPr="00B370CE" w:rsidRDefault="00DC2C61" w:rsidP="00DC2C61">
      <w:pPr>
        <w:pStyle w:val="NormalHanging12a"/>
        <w:rPr>
          <w:szCs w:val="23"/>
        </w:rPr>
      </w:pPr>
      <w:r w:rsidRPr="00B370CE">
        <w:t>–</w:t>
      </w:r>
      <w:r w:rsidRPr="00B370CE">
        <w:tab/>
        <w:t xml:space="preserve">uwzględniając swoją rezolucję z </w:t>
      </w:r>
      <w:r w:rsidR="00226DB8" w:rsidRPr="00B370CE">
        <w:t xml:space="preserve">dnia </w:t>
      </w:r>
      <w:r w:rsidRPr="00B370CE">
        <w:t>15 marca 2017 r. w sprawie przeszkód utrudniających obywatelom UE swobodne przemieszczanie się i podejmowanie pracy na rynku wewnętrznym</w:t>
      </w:r>
      <w:r w:rsidRPr="00B370CE">
        <w:rPr>
          <w:rStyle w:val="FootnoteReference"/>
          <w:color w:val="000000"/>
          <w:szCs w:val="23"/>
        </w:rPr>
        <w:footnoteReference w:id="21"/>
      </w:r>
      <w:r w:rsidRPr="00B370CE">
        <w:t>,</w:t>
      </w:r>
    </w:p>
    <w:p w:rsidR="00DC2C61" w:rsidRPr="00B370CE" w:rsidRDefault="00DC2C61" w:rsidP="00DC2C61">
      <w:pPr>
        <w:pStyle w:val="NormalHanging12a"/>
        <w:rPr>
          <w:szCs w:val="23"/>
        </w:rPr>
      </w:pPr>
      <w:r w:rsidRPr="00B370CE">
        <w:t>–</w:t>
      </w:r>
      <w:r w:rsidRPr="00B370CE">
        <w:tab/>
        <w:t>uwzględniając sprawozdanie Agencji Praw Podstawowych Unii Europejskiej za rok 2023 dotyczące praw podstawowych,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sprawozdanie dotyczące końcowych wyników Konferencji w sprawie przyszłości Europy,</w:t>
      </w:r>
    </w:p>
    <w:p w:rsidR="00DC2C61" w:rsidRDefault="00DC2C61" w:rsidP="00DC2C61">
      <w:pPr>
        <w:pStyle w:val="NormalHanging12a"/>
      </w:pPr>
      <w:r w:rsidRPr="00B370CE">
        <w:t>–</w:t>
      </w:r>
      <w:r w:rsidRPr="00B370CE">
        <w:tab/>
        <w:t>uwzględniając wyniki badania Eurobarometr Flash 485/2020 i standardowego badania Eurobarometr 99/2023,</w:t>
      </w:r>
    </w:p>
    <w:p w:rsidR="003C25C0" w:rsidRPr="003C25C0" w:rsidRDefault="003C25C0" w:rsidP="00DC2C61">
      <w:pPr>
        <w:pStyle w:val="NormalHanging12a"/>
      </w:pPr>
      <w:r w:rsidRPr="002F2386">
        <w:t>–</w:t>
      </w:r>
      <w:r w:rsidRPr="003C25C0">
        <w:tab/>
      </w:r>
      <w:r w:rsidRPr="002F2386">
        <w:t>uwzględniając przygotowane na mocy art. 25 TFUE sprawozdanie Komisji z 6 grudnia 2023 r. w sprawie postępów w korzystaniu z obywatelstwa Unii Europejskiej w latach 2020–2020 (COM</w:t>
      </w:r>
      <w:proofErr w:type="gramStart"/>
      <w:r w:rsidRPr="002F2386">
        <w:t>(2023)0931, sprawozdanie</w:t>
      </w:r>
      <w:proofErr w:type="gramEnd"/>
      <w:r w:rsidRPr="002F2386">
        <w:t xml:space="preserve"> na temat obywatelstwa UE),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 xml:space="preserve">uwzględniając art. 54 Regulaminu oraz art. 1 ust. 1 lit. e) i załącznik 3 do decyzji Konferencji Przewodniczących z </w:t>
      </w:r>
      <w:r w:rsidR="00226DB8" w:rsidRPr="00B370CE">
        <w:t xml:space="preserve">dnia </w:t>
      </w:r>
      <w:r w:rsidRPr="00B370CE">
        <w:t>12 grudnia 2002 r. dotyczącej procedury udzielania zgody na sporządzanie sprawozdań z własnej inicjatywy,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opinię Komisji Wolności Obywatelskich, Sprawiedliwości i Spraw Wewnętrznych,</w:t>
      </w:r>
    </w:p>
    <w:p w:rsidR="00DC2C61" w:rsidRPr="00B370CE" w:rsidRDefault="00DC2C61" w:rsidP="00DC2C61">
      <w:pPr>
        <w:pStyle w:val="NormalHanging12a"/>
      </w:pPr>
      <w:r w:rsidRPr="00B370CE">
        <w:t>–</w:t>
      </w:r>
      <w:r w:rsidRPr="00B370CE">
        <w:tab/>
        <w:t>uwzględniając sprawozdanie Komisji Spraw Konstytucyjnych (A9-0436/2023),</w:t>
      </w:r>
    </w:p>
    <w:p w:rsidR="00DC2C61" w:rsidRPr="00B370CE" w:rsidRDefault="00DC2C61" w:rsidP="00DC2C61">
      <w:pPr>
        <w:pStyle w:val="NormalHanging12a"/>
      </w:pPr>
      <w:r w:rsidRPr="00B370CE">
        <w:t>A.</w:t>
      </w:r>
      <w:r w:rsidRPr="00B370CE">
        <w:tab/>
      </w:r>
      <w:proofErr w:type="gramStart"/>
      <w:r w:rsidRPr="00B370CE">
        <w:t>mając</w:t>
      </w:r>
      <w:proofErr w:type="gramEnd"/>
      <w:r w:rsidRPr="00B370CE">
        <w:t xml:space="preserve"> na uwadze, że obywatelstwo UE ustanowiono wraz z wejściem w życie traktatu z </w:t>
      </w:r>
      <w:proofErr w:type="spellStart"/>
      <w:r w:rsidRPr="00B370CE">
        <w:t>Maastricht</w:t>
      </w:r>
      <w:proofErr w:type="spellEnd"/>
      <w:r w:rsidRPr="00B370CE">
        <w:t xml:space="preserve"> w 1993 r., a następnie w 2009 r. wzmocniono traktatem lizbońskim; mając na uwadze, że od czasu jego ustanowienia minęło 30 lat i nastąpiły poważne zmiany społeczne, cyfrowe, gospodarcze i polityczne;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t>B.</w:t>
      </w:r>
      <w:r w:rsidRPr="00B370CE">
        <w:rPr>
          <w:b/>
          <w:i/>
        </w:rPr>
        <w:tab/>
      </w:r>
      <w:r w:rsidRPr="00B370CE">
        <w:t>mając na uwadze, że zgodnie z art. 20 ust. 1 TFUE obywatelstwo UE uzupełnia obywatelstwo krajowe, lecz go nie zastępuje; mając na uwadze, że obywatelstwo UE nie wiąże się jak dotąd z żadnymi obowiązkami dla obywateli Unii;</w:t>
      </w:r>
    </w:p>
    <w:p w:rsidR="00DC2C61" w:rsidRPr="00B370CE" w:rsidRDefault="00DC2C61" w:rsidP="00DC2C61">
      <w:pPr>
        <w:pStyle w:val="NormalHanging12a"/>
        <w:rPr>
          <w:shd w:val="clear" w:color="auto" w:fill="FFFFFF"/>
        </w:rPr>
      </w:pPr>
      <w:r w:rsidRPr="00B370CE">
        <w:t>C.</w:t>
      </w:r>
      <w:r w:rsidRPr="00B370CE">
        <w:tab/>
      </w:r>
      <w:proofErr w:type="gramStart"/>
      <w:r w:rsidRPr="00B370CE">
        <w:rPr>
          <w:shd w:val="clear" w:color="auto" w:fill="FFFFFF"/>
        </w:rPr>
        <w:t>mając</w:t>
      </w:r>
      <w:proofErr w:type="gramEnd"/>
      <w:r w:rsidRPr="00B370CE">
        <w:rPr>
          <w:shd w:val="clear" w:color="auto" w:fill="FFFFFF"/>
        </w:rPr>
        <w:t xml:space="preserve"> na uwadze, że obywatelstwo UE to jedyny tego rodzaju konstrukt, odzwierciedlający wspólną tożsamość demokratyczną i wspólne wartości obywateli UE, przyczyniający się do tworzenia więzi, wspierania równości i odrzucania wszelkich form rasizmu i dyskryminacji; mając na uwadze, że obywatelstwo UE nie osiągnęło jeszcze swojego pełnego potencjału;</w:t>
      </w:r>
    </w:p>
    <w:p w:rsidR="00DC2C61" w:rsidRPr="00B370CE" w:rsidRDefault="00DC2C61" w:rsidP="00DC2C61">
      <w:pPr>
        <w:pStyle w:val="NormalHanging12a"/>
      </w:pPr>
      <w:r w:rsidRPr="00B370CE">
        <w:rPr>
          <w:shd w:val="clear" w:color="auto" w:fill="FFFFFF"/>
        </w:rPr>
        <w:t>D.</w:t>
      </w:r>
      <w:r w:rsidRPr="00B370CE">
        <w:rPr>
          <w:b/>
          <w:i/>
          <w:shd w:val="clear" w:color="auto" w:fill="FFFFFF"/>
        </w:rPr>
        <w:tab/>
      </w:r>
      <w:proofErr w:type="gramStart"/>
      <w:r w:rsidRPr="00B370CE">
        <w:rPr>
          <w:shd w:val="clear" w:color="auto" w:fill="FFFFFF"/>
        </w:rPr>
        <w:t>mając</w:t>
      </w:r>
      <w:proofErr w:type="gramEnd"/>
      <w:r w:rsidRPr="00B370CE">
        <w:rPr>
          <w:shd w:val="clear" w:color="auto" w:fill="FFFFFF"/>
        </w:rPr>
        <w:t xml:space="preserve"> na uwadze, że swoboda przemieszczania się pozwoliła ponad 15 mln obywateli </w:t>
      </w:r>
      <w:r w:rsidRPr="00B370CE">
        <w:rPr>
          <w:shd w:val="clear" w:color="auto" w:fill="FFFFFF"/>
        </w:rPr>
        <w:lastRenderedPageBreak/>
        <w:t>UE</w:t>
      </w:r>
      <w:r w:rsidRPr="00B370CE">
        <w:rPr>
          <w:rStyle w:val="FootnoteReference"/>
          <w:shd w:val="clear" w:color="auto" w:fill="FFFFFF"/>
        </w:rPr>
        <w:footnoteReference w:id="22"/>
      </w:r>
      <w:r w:rsidRPr="00B370CE">
        <w:rPr>
          <w:shd w:val="clear" w:color="auto" w:fill="FFFFFF"/>
        </w:rPr>
        <w:t xml:space="preserve"> mieszkać i pracować w państwie członkowskim innym niż państwo pochodzenia, a wszystkim obywatelom UE – podróżować po niej swobodnie, przez co obywatelstwo UE jest dziś ważniejsze niż kiedykolwiek wcześniej;</w:t>
      </w:r>
    </w:p>
    <w:p w:rsidR="00DC2C61" w:rsidRPr="00B370CE" w:rsidRDefault="00DC2C61" w:rsidP="00DC2C61">
      <w:pPr>
        <w:pStyle w:val="NormalHanging12a"/>
      </w:pPr>
      <w:r w:rsidRPr="00B370CE">
        <w:t>E.</w:t>
      </w:r>
      <w:r w:rsidRPr="00B370CE">
        <w:tab/>
      </w:r>
      <w:proofErr w:type="gramStart"/>
      <w:r w:rsidRPr="00B370CE">
        <w:rPr>
          <w:shd w:val="clear" w:color="auto" w:fill="FFFFFF"/>
        </w:rPr>
        <w:t>mając</w:t>
      </w:r>
      <w:proofErr w:type="gramEnd"/>
      <w:r w:rsidRPr="00B370CE">
        <w:rPr>
          <w:shd w:val="clear" w:color="auto" w:fill="FFFFFF"/>
        </w:rPr>
        <w:t xml:space="preserve"> na uwadze, że obywatele UE nie są świadomi i nie znają praw, obowiązków obywatelskich i wolności wynikających z obywatelstwa UE oraz nie rozumieją ich w wystarczającym stopniu; mając na uwadze, że nadal istnieją znaczne niedociągnięcia w praktycznym stosowaniu obywatelstwa UE i w pełnym korzystaniu z wynikających z niego praw i wartości, a część tych niedociągnięć jest spowodowana niejednolitym wdrażaniem prawodawstwa UE przez państwa członkowskie;</w:t>
      </w:r>
    </w:p>
    <w:p w:rsidR="00DC2C61" w:rsidRPr="00B370CE" w:rsidRDefault="00DC2C61" w:rsidP="00DC2C61">
      <w:pPr>
        <w:pStyle w:val="NormalHanging12a"/>
      </w:pPr>
      <w:r w:rsidRPr="00B370CE">
        <w:t>F.</w:t>
      </w:r>
      <w:r w:rsidRPr="00B370CE">
        <w:tab/>
      </w:r>
      <w:proofErr w:type="gramStart"/>
      <w:r w:rsidRPr="00B370CE">
        <w:t>mając</w:t>
      </w:r>
      <w:proofErr w:type="gramEnd"/>
      <w:r w:rsidRPr="00B370CE">
        <w:t xml:space="preserve"> na uwadze, że z konsultacji publicznych na temat obywatelstwa UE przeprowadzonych w 2020 r. wynika, iż ponad 60 % respondentów nie uważa się za dobrze poinformowanych o przysługujących im prawach wynikających z obywatelstwa UE</w:t>
      </w:r>
      <w:r w:rsidRPr="00B370CE">
        <w:rPr>
          <w:rStyle w:val="FootnoteReference"/>
          <w:color w:val="000000"/>
          <w:szCs w:val="24"/>
        </w:rPr>
        <w:footnoteReference w:id="23"/>
      </w:r>
      <w:r w:rsidRPr="00B370CE">
        <w:t>;</w:t>
      </w:r>
      <w:r w:rsidR="003C25C0">
        <w:t xml:space="preserve"> </w:t>
      </w:r>
      <w:r w:rsidR="003C25C0" w:rsidRPr="002F2386">
        <w:t>mając na uwadze, że badanie Eurobarometr Flash z 2023 r. dotyczące obywatelstwa i demokracji pokazuje, iż połowa respondentów uważa się za dobrze poinformowanych o przysługujących im prawach wynikających z obywatelstwa UE;</w:t>
      </w:r>
    </w:p>
    <w:p w:rsidR="00DC2C61" w:rsidRPr="00B370CE" w:rsidRDefault="00DC2C61" w:rsidP="00DC2C61">
      <w:pPr>
        <w:pStyle w:val="NormalHanging12a"/>
      </w:pPr>
      <w:r w:rsidRPr="00B370CE">
        <w:t>G.</w:t>
      </w:r>
      <w:r w:rsidRPr="00B370CE">
        <w:tab/>
        <w:t>mając na uwadze, że obywatele UE stoją przed bezprecedensowymi wyzwaniami spowodowanymi pandemią COVID-19, a także przez rewolucję cyfrową i związane z nią przemiany społeczno-gospodarcze;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t>H.</w:t>
      </w:r>
      <w:r w:rsidRPr="00B370CE">
        <w:tab/>
      </w:r>
      <w:proofErr w:type="gramStart"/>
      <w:r w:rsidRPr="00B370CE">
        <w:t>mając</w:t>
      </w:r>
      <w:proofErr w:type="gramEnd"/>
      <w:r w:rsidRPr="00B370CE">
        <w:t xml:space="preserve"> na uwadze, że zestawienie i skonsolidowanie istniejących i przyszłych praw ułatwiłyby lepsze i bardziej świadome korzystanie z praw i wolności wynikających z obywatelstwa UE;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t>I.</w:t>
      </w:r>
      <w:r w:rsidRPr="00B370CE">
        <w:tab/>
      </w:r>
      <w:proofErr w:type="gramStart"/>
      <w:r w:rsidRPr="00B370CE">
        <w:t>mając</w:t>
      </w:r>
      <w:proofErr w:type="gramEnd"/>
      <w:r w:rsidRPr="00B370CE">
        <w:t xml:space="preserve"> na uwadze, że Konferencja w sprawie przyszłości Europy to konkretny przykład udziału obywateli w życiu demokratycznym Unii; mając na uwadze, że konkluzje z konferencji zawierają propozycje i środki odzwierciedlające zgodę między instytucjami europejskimi a obywatelami UE co do umocnienia obywatelstwa UE;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t>J.</w:t>
      </w:r>
      <w:r w:rsidRPr="00B370CE">
        <w:tab/>
        <w:t>mając na uwadze, że przeszkody w korzystaniu z praw wynikających z obywatelstwa UE powodują nierówności i dyskryminację wśród obywateli UE, a zwłaszcza obywateli UE zmieniających miejsce pobytu i członków ich rodzin, szczególnie dzieci, a także wśród mieszkańców regionów transgranicznych i obszarów wiejskich oraz członków słabszych i zmarginalizowanych grup społecznych, np. mniejszości, osób o niskich dochodach, bezdomnych, osób starszych, osób z niepełnosprawnościami oraz osób zagrożonych wykluczeniem cyfrowym;</w:t>
      </w:r>
    </w:p>
    <w:p w:rsidR="00DC2C61" w:rsidRPr="00B370CE" w:rsidRDefault="00DC2C61" w:rsidP="00DC2C61">
      <w:pPr>
        <w:pStyle w:val="NormalHanging12a"/>
        <w:rPr>
          <w:rStyle w:val="y2iqfc"/>
          <w:color w:val="000000"/>
          <w:shd w:val="clear" w:color="auto" w:fill="FFFFFF"/>
        </w:rPr>
      </w:pPr>
      <w:r w:rsidRPr="00B370CE">
        <w:t>K.</w:t>
      </w:r>
      <w:r w:rsidRPr="00B370CE">
        <w:tab/>
        <w:t>mając na uwadze, że prawie 87 mln obywateli UE żyje z jakimś rodzajem niepełnosprawności</w:t>
      </w:r>
      <w:r w:rsidRPr="00B370CE">
        <w:rPr>
          <w:rStyle w:val="FootnoteReference"/>
          <w:color w:val="000000"/>
          <w:shd w:val="clear" w:color="auto" w:fill="FFFFFF"/>
        </w:rPr>
        <w:footnoteReference w:id="24"/>
      </w:r>
      <w:r w:rsidRPr="00B370CE">
        <w:t xml:space="preserve"> i doświadcza trudności w korzystaniu z przysługujących im praw </w:t>
      </w:r>
      <w:r w:rsidRPr="00B370CE">
        <w:lastRenderedPageBreak/>
        <w:t>obywatelskich, a trudności te niekiedy wiążą się z bezpośrednim pozbawieniem ich prawa do swobodnego przemieszczania się i pobytu oraz z ograniczeniami w korzystaniu z praw politycznych;</w:t>
      </w:r>
    </w:p>
    <w:p w:rsidR="00DC2C61" w:rsidRPr="00B370CE" w:rsidRDefault="00DC2C61" w:rsidP="00DC2C61">
      <w:pPr>
        <w:pStyle w:val="NormalHanging12a"/>
      </w:pPr>
      <w:r w:rsidRPr="00B370CE">
        <w:rPr>
          <w:rStyle w:val="y2iqfc"/>
          <w:color w:val="000000"/>
          <w:shd w:val="clear" w:color="auto" w:fill="FFFFFF"/>
        </w:rPr>
        <w:t>L</w:t>
      </w:r>
      <w:r w:rsidRPr="00B370CE">
        <w:rPr>
          <w:rStyle w:val="y2iqfc"/>
          <w:b/>
          <w:color w:val="000000"/>
          <w:shd w:val="clear" w:color="auto" w:fill="FFFFFF"/>
        </w:rPr>
        <w:t>.</w:t>
      </w:r>
      <w:r w:rsidRPr="00B370CE">
        <w:rPr>
          <w:rStyle w:val="y2iqfc"/>
          <w:color w:val="000000"/>
          <w:shd w:val="clear" w:color="auto" w:fill="FFFFFF"/>
        </w:rPr>
        <w:tab/>
      </w:r>
      <w:proofErr w:type="gramStart"/>
      <w:r w:rsidRPr="00B370CE">
        <w:t>mając</w:t>
      </w:r>
      <w:proofErr w:type="gramEnd"/>
      <w:r w:rsidRPr="00B370CE">
        <w:t xml:space="preserve"> na uwadze, że niektóre państwa członkowskie nadal prowadzą tzw. programy złotych wiz i oferują prawo pobytu inwestorom, co pozwala uzyskać obywatelstwo tych państw, a tym samym – obywatelstwo europejskie;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Wprowadzenie</w:t>
      </w:r>
    </w:p>
    <w:p w:rsidR="00DC2C61" w:rsidRPr="00B370CE" w:rsidRDefault="00DC2C61" w:rsidP="00DC2C61">
      <w:pPr>
        <w:pStyle w:val="NormalHanging12a"/>
      </w:pPr>
      <w:r w:rsidRPr="00B370CE">
        <w:t>1.</w:t>
      </w:r>
      <w:r w:rsidRPr="00B370CE">
        <w:tab/>
      </w:r>
      <w:proofErr w:type="gramStart"/>
      <w:r w:rsidRPr="00B370CE">
        <w:t>uważa</w:t>
      </w:r>
      <w:proofErr w:type="gramEnd"/>
      <w:r w:rsidRPr="00B370CE">
        <w:t xml:space="preserve">, że obywatelstwo UE obejmuje wspólną i powszechną europejską tożsamość demokratyczną oraz związane z nią szczególne prawa, obowiązki obywatelskie i wolności, a korzystanie z tych praw – w </w:t>
      </w:r>
      <w:proofErr w:type="spellStart"/>
      <w:r w:rsidRPr="00B370CE">
        <w:t>internecie</w:t>
      </w:r>
      <w:proofErr w:type="spellEnd"/>
      <w:r w:rsidRPr="00B370CE">
        <w:t xml:space="preserve"> i poza nim – umacnia więź obywateli z UE, zwiększa jej legitymację demokratyczną i daje obywatelom dodatkowe prawa;</w:t>
      </w:r>
    </w:p>
    <w:p w:rsidR="00DC2C61" w:rsidRPr="00B370CE" w:rsidRDefault="00DC2C61" w:rsidP="00DC2C61">
      <w:pPr>
        <w:pStyle w:val="NormalHanging12a"/>
      </w:pPr>
      <w:r w:rsidRPr="00B370CE">
        <w:t>2.</w:t>
      </w:r>
      <w:r w:rsidRPr="00B370CE">
        <w:tab/>
      </w:r>
      <w:proofErr w:type="gramStart"/>
      <w:r w:rsidRPr="00B370CE">
        <w:t>zwraca</w:t>
      </w:r>
      <w:proofErr w:type="gramEnd"/>
      <w:r w:rsidRPr="00B370CE">
        <w:t xml:space="preserve"> uwagę, że trzeba rozwijać konstrukt obywatelstwa UE, by uwzględnić potrzeby i wyzwania stojące przed UE w XXI w., </w:t>
      </w:r>
      <w:proofErr w:type="gramStart"/>
      <w:r w:rsidRPr="00B370CE">
        <w:t>a</w:t>
      </w:r>
      <w:proofErr w:type="gramEnd"/>
      <w:r w:rsidRPr="00B370CE">
        <w:t xml:space="preserve"> także uznaje potencjał innowacji cyfrowych i potrzebę wyważonego podejścia do złożonej sytuacji wynikającej z globalizacji i powstawania nowych technologii; podkreśla, że cyfryzacja procesów demokratycznych w połączeniu z niewystarczającymi umiejętnościami cyfrowymi i niewystarczającym dostępem do technologii informacyjno-komunikacyjnych może pogłębiać przepaść cyfrową w korzystaniu z praw obywatelskich i zostawić część społeczeństwa z dala od integracji europejskiej;</w:t>
      </w:r>
    </w:p>
    <w:p w:rsidR="00DC2C61" w:rsidRPr="00B370CE" w:rsidRDefault="00DC2C61" w:rsidP="00DC2C61">
      <w:pPr>
        <w:pStyle w:val="NormalHanging12a"/>
        <w:rPr>
          <w:rStyle w:val="doceo-font-family-base"/>
          <w:rFonts w:eastAsiaTheme="minorHAnsi"/>
          <w:b/>
          <w:i/>
        </w:rPr>
      </w:pPr>
      <w:r w:rsidRPr="00B370CE">
        <w:rPr>
          <w:rStyle w:val="doceo-font-family-base"/>
        </w:rPr>
        <w:t>3.</w:t>
      </w:r>
      <w:r w:rsidRPr="00B370CE">
        <w:rPr>
          <w:rStyle w:val="doceo-font-family-base"/>
        </w:rPr>
        <w:tab/>
      </w:r>
      <w:proofErr w:type="gramStart"/>
      <w:r w:rsidRPr="00B370CE">
        <w:rPr>
          <w:rStyle w:val="doceo-font-family-base"/>
        </w:rPr>
        <w:t>uważa</w:t>
      </w:r>
      <w:proofErr w:type="gramEnd"/>
      <w:r w:rsidRPr="00B370CE">
        <w:rPr>
          <w:rStyle w:val="doceo-font-family-base"/>
        </w:rPr>
        <w:t>, że wielojęzyczność w instytucjach UE i w ich interakcji z obywatelami należy do zasadniczych elementów umacniania koncepcji obywatelstwa Unii; dlatego zwraca uwagę na konkluzje Rady z 13 czerwca 2005 r., zgodnie z którymi obywatele UE mogą używać w kontaktach z instytucjami UE języków nieurzędowych UE uznawanych w danym państwie członkowskim lub na części jego terytorium, a języki te mogą być też oficjalnie używane w instytucjach lub organach UE, w tym w Parlamencie Europejskim;</w:t>
      </w:r>
      <w:r w:rsidRPr="00B370CE">
        <w:rPr>
          <w:rStyle w:val="doceo-font-family-base"/>
          <w:b/>
          <w:i/>
        </w:rPr>
        <w:t xml:space="preserve"> </w:t>
      </w:r>
    </w:p>
    <w:p w:rsidR="00DC2C61" w:rsidRPr="00B370CE" w:rsidRDefault="00DC2C61" w:rsidP="00DC2C61">
      <w:pPr>
        <w:pStyle w:val="NormalHanging12a"/>
        <w:rPr>
          <w:rStyle w:val="doceo-font-family-base"/>
        </w:rPr>
      </w:pPr>
      <w:r w:rsidRPr="00B370CE">
        <w:rPr>
          <w:rStyle w:val="doceo-font-family-base"/>
        </w:rPr>
        <w:t>4.</w:t>
      </w:r>
      <w:r w:rsidRPr="00B370CE">
        <w:rPr>
          <w:rStyle w:val="doceo-font-family-base"/>
        </w:rPr>
        <w:tab/>
      </w:r>
      <w:proofErr w:type="gramStart"/>
      <w:r w:rsidRPr="00B370CE">
        <w:t>zwraca</w:t>
      </w:r>
      <w:proofErr w:type="gramEnd"/>
      <w:r w:rsidRPr="00B370CE">
        <w:t xml:space="preserve"> uwagę, że Parlament wezwał do stworzenia statusu obywatelstwa UE w rezolucji z 12 lutego 2019 r. w sprawie stosowania postanowień Traktatu dotyczących obywatelstwa UE oraz w rezolucji z 10 marca 2022 r. w sprawie sprawozdania na temat obywatelstwa UE z 2020 r. Wzmacnianie pozycji obywateli i ochrona ich praw;</w:t>
      </w:r>
      <w:r w:rsidRPr="00B370CE">
        <w:rPr>
          <w:rStyle w:val="doceo-font-family-base"/>
        </w:rPr>
        <w:t xml:space="preserve"> </w:t>
      </w:r>
      <w:r w:rsidRPr="00B370CE">
        <w:t>przypomina, że na Konferencji w sprawie przyszłości Europy podkreślono znaczenie umocnienia obywatelstwa UE, a w konkluzjach z konferencji stwierdzono, że status takiego obywatelstwa byłby użytecznym narzędziem dającym bardziej wymierny charakter zasadom i wartościom UE;</w:t>
      </w:r>
    </w:p>
    <w:p w:rsidR="00DC2C61" w:rsidRPr="00B370CE" w:rsidRDefault="00DC2C61" w:rsidP="00DC2C61">
      <w:pPr>
        <w:pStyle w:val="NormalHanging12a"/>
      </w:pPr>
      <w:r w:rsidRPr="00B370CE">
        <w:t>5.</w:t>
      </w:r>
      <w:r w:rsidRPr="00B370CE">
        <w:tab/>
      </w:r>
      <w:proofErr w:type="gramStart"/>
      <w:r w:rsidRPr="00B370CE">
        <w:t>ubolewa</w:t>
      </w:r>
      <w:proofErr w:type="gramEnd"/>
      <w:r w:rsidRPr="00B370CE">
        <w:t>, że w komunikacie podsumowującym Konferencję w sprawie przyszłości Europy</w:t>
      </w:r>
      <w:r w:rsidRPr="00B370CE">
        <w:rPr>
          <w:rStyle w:val="FootnoteReference"/>
          <w:bCs/>
        </w:rPr>
        <w:footnoteReference w:id="25"/>
      </w:r>
      <w:r w:rsidRPr="00B370CE">
        <w:t xml:space="preserve"> Komisja nie wspomniała konkretnie o umocnieniu obywatelstwa UE i potencjalnych sposobach osiągnięcia tego celu; przypomina, że w ocenie technicznej opublikowanej w związku z Konferencją w sprawie przyszłości Europy Rada wyraziła gotowość do umocnienia obywatelstwa, lecz nie zaproponowała, nie podjęła ani nie </w:t>
      </w:r>
      <w:r w:rsidRPr="00B370CE">
        <w:lastRenderedPageBreak/>
        <w:t>wdrożyła działań służących osiągnięciu tego celu.</w:t>
      </w:r>
    </w:p>
    <w:p w:rsidR="00DC2C61" w:rsidRPr="00B370CE" w:rsidRDefault="00DC2C61" w:rsidP="00DC2C61">
      <w:pPr>
        <w:pStyle w:val="NormalHanging12a"/>
      </w:pPr>
      <w:r w:rsidRPr="00B370CE">
        <w:t>6.</w:t>
      </w:r>
      <w:r w:rsidRPr="00B370CE">
        <w:tab/>
      </w:r>
      <w:proofErr w:type="gramStart"/>
      <w:r w:rsidRPr="00B370CE">
        <w:t>przypomina</w:t>
      </w:r>
      <w:proofErr w:type="gramEnd"/>
      <w:r w:rsidRPr="00B370CE">
        <w:t>, że Komisja opublikuje sprawozdanie na temat obywatelstwa UE za 2023 r. przed końcem roku, i oczekuje, że zaproponuje w nim nowe inicjatywy mające umocnić obywatelstwo UE oraz zaradzić niedociągnięciom w jego wdrażaniu; wyraża ubolewanie, że tym razem Komisja zdecydowała się opublikować zaproszenie do zgłaszania uwag, a nie zaproszenie do udziału w konsultacjach publicznych, jak w poprzednich latach; przypomina, że wyniki zaproszenia do zgłaszania uwag nie zawierają pełnego przeglądu najnowszych wydarzeń i niedociągnięć we wdrażaniu; podkreśla, że sprawozdanie należy przygotować na podstawie aktualnych danych;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Problemy związane z obywatelstwem UE</w:t>
      </w:r>
    </w:p>
    <w:p w:rsidR="00DC2C61" w:rsidRPr="00B370CE" w:rsidRDefault="00DC2C61" w:rsidP="00DC2C61">
      <w:pPr>
        <w:pStyle w:val="NormalHanging12a"/>
        <w:rPr>
          <w:bCs/>
        </w:rPr>
      </w:pPr>
      <w:r w:rsidRPr="00B370CE">
        <w:t>7.</w:t>
      </w:r>
      <w:r w:rsidRPr="00B370CE">
        <w:tab/>
      </w:r>
      <w:proofErr w:type="gramStart"/>
      <w:r w:rsidRPr="00B370CE">
        <w:t>wyraża</w:t>
      </w:r>
      <w:proofErr w:type="gramEnd"/>
      <w:r w:rsidRPr="00B370CE">
        <w:t xml:space="preserve"> zaniepokojenie szczególnymi przeszkodami utrudniającymi pełne korzystanie z praw i wolności wynikających z obywatelstwa UE;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Prawa polityczne</w:t>
      </w:r>
    </w:p>
    <w:p w:rsidR="00DC2C61" w:rsidRPr="00B370CE" w:rsidRDefault="00DC2C61" w:rsidP="00DC2C61">
      <w:pPr>
        <w:pStyle w:val="NormalHanging12a"/>
        <w:rPr>
          <w:rStyle w:val="y2iqfc"/>
        </w:rPr>
      </w:pPr>
      <w:r w:rsidRPr="00B370CE">
        <w:rPr>
          <w:rStyle w:val="y2iqfc"/>
        </w:rPr>
        <w:t>8.</w:t>
      </w:r>
      <w:r w:rsidRPr="00B370CE">
        <w:rPr>
          <w:rStyle w:val="y2iqfc"/>
        </w:rPr>
        <w:tab/>
      </w:r>
      <w:proofErr w:type="gramStart"/>
      <w:r w:rsidRPr="00B370CE">
        <w:rPr>
          <w:rStyle w:val="y2iqfc"/>
        </w:rPr>
        <w:t>ubolewa</w:t>
      </w:r>
      <w:proofErr w:type="gramEnd"/>
      <w:r w:rsidRPr="00B370CE">
        <w:rPr>
          <w:rStyle w:val="y2iqfc"/>
        </w:rPr>
        <w:t>, że obywatele zmieniający miejsce pobytu rzadziej korzystają z przysługującego im prawa do głosowania i kandydowania w wyborach europejskich i lokalnych w państwie członkowskim zamieszkania, a do przyczyn tego stanu rzeczy należą m.in.: niewystarczające informacje, bariery językowe, trudności we wpisaniu się na listę wyborców oraz niski odsetek wybieranych kandydatów niebędących obywatelami danego kraju;</w:t>
      </w:r>
    </w:p>
    <w:p w:rsidR="00DC2C61" w:rsidRPr="00B370CE" w:rsidRDefault="00DC2C61" w:rsidP="00DC2C61">
      <w:pPr>
        <w:pStyle w:val="NormalHanging12a"/>
      </w:pPr>
      <w:r w:rsidRPr="00B370CE">
        <w:t>9.</w:t>
      </w:r>
      <w:r w:rsidRPr="00B370CE">
        <w:tab/>
      </w:r>
      <w:proofErr w:type="gramStart"/>
      <w:r w:rsidRPr="00B370CE">
        <w:t>jest</w:t>
      </w:r>
      <w:proofErr w:type="gramEnd"/>
      <w:r w:rsidRPr="00B370CE">
        <w:t xml:space="preserve"> bardzo zaniepokojony tym, że niektóre państwa członkowskie pozbawiają swoich obywateli prawa do głosowania w krajowych wyborach parlamentarnych, gdy mieszkają oni za granicą, co prowadzi do ich wykluczenia z życia politycznego zarówno w kraju pochodzenia, jak i w kraju zamieszkania;</w:t>
      </w:r>
      <w:r w:rsidRPr="00B370CE">
        <w:rPr>
          <w:b/>
          <w:i/>
        </w:rPr>
        <w:t xml:space="preserve"> 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Swoboda przemieszczania się i pobytu</w:t>
      </w:r>
    </w:p>
    <w:p w:rsidR="00DC2C61" w:rsidRPr="00B370CE" w:rsidRDefault="00DC2C61" w:rsidP="00DC2C61">
      <w:pPr>
        <w:pStyle w:val="NormalHanging12a"/>
      </w:pPr>
      <w:r w:rsidRPr="00B370CE">
        <w:t>10.</w:t>
      </w:r>
      <w:r w:rsidRPr="00B370CE">
        <w:rPr>
          <w:b/>
          <w:i/>
        </w:rPr>
        <w:tab/>
      </w:r>
      <w:proofErr w:type="gramStart"/>
      <w:r w:rsidRPr="00B370CE">
        <w:t>podkreśla</w:t>
      </w:r>
      <w:proofErr w:type="gramEnd"/>
      <w:r w:rsidRPr="00B370CE">
        <w:t xml:space="preserve">, że powstanie strefy </w:t>
      </w:r>
      <w:proofErr w:type="spellStart"/>
      <w:r w:rsidRPr="00B370CE">
        <w:t>Schengen</w:t>
      </w:r>
      <w:proofErr w:type="spellEnd"/>
      <w:r w:rsidRPr="00B370CE">
        <w:t xml:space="preserve"> należy do największych osiągnięć UE; zaznacza, że trzeba usunąć wszystkie bariery dla swobody przemieszczania się w UE, aby zapewnić wszystkim obywatelom europejskim równe prawa wynikające z obywatelstwa UE; apeluje o włączenie Rumunii i Bułgarii do strefy </w:t>
      </w:r>
      <w:proofErr w:type="spellStart"/>
      <w:r w:rsidRPr="00B370CE">
        <w:t>Schengen</w:t>
      </w:r>
      <w:proofErr w:type="spellEnd"/>
      <w:r w:rsidRPr="00B370CE">
        <w:t>, zgodnie z rezolucjami Parlamentu;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t>11.</w:t>
      </w:r>
      <w:r w:rsidRPr="00B370CE">
        <w:tab/>
      </w:r>
      <w:proofErr w:type="gramStart"/>
      <w:r w:rsidRPr="00B370CE">
        <w:t>jest</w:t>
      </w:r>
      <w:proofErr w:type="gramEnd"/>
      <w:r w:rsidRPr="00B370CE">
        <w:t xml:space="preserve"> zaniepokojony tym, że obywatele zmieniający miejsce pobytu, zwłaszcza należący do słabszych grup społecznych, są traktowani inaczej niż obywatele państw członkowskich zamieszkania, jeśli chodzi o dostęp do świadczeń;</w:t>
      </w:r>
      <w:r w:rsidRPr="00B370CE">
        <w:rPr>
          <w:rStyle w:val="y2iqfc"/>
        </w:rPr>
        <w:t xml:space="preserve"> </w:t>
      </w:r>
      <w:r w:rsidRPr="00B370CE">
        <w:t>wzywa państwa członkowskie do właściwego wdrożenia orzecznictwa Trybunału Sprawiedliwości UE (TSUE) zakazującego takiej dyskryminacji;</w:t>
      </w:r>
      <w:r w:rsidRPr="00B370CE">
        <w:rPr>
          <w:b/>
          <w:i/>
        </w:rPr>
        <w:t xml:space="preserve"> </w:t>
      </w:r>
    </w:p>
    <w:p w:rsidR="00DC2C61" w:rsidRPr="00B370CE" w:rsidRDefault="00DC2C61" w:rsidP="00DC2C61">
      <w:pPr>
        <w:pStyle w:val="NormalHanging12a"/>
      </w:pPr>
      <w:r w:rsidRPr="00B370CE">
        <w:t>12.</w:t>
      </w:r>
      <w:r w:rsidRPr="00B370CE">
        <w:rPr>
          <w:b/>
          <w:i/>
        </w:rPr>
        <w:tab/>
      </w:r>
      <w:proofErr w:type="gramStart"/>
      <w:r w:rsidRPr="00B370CE">
        <w:t>jest</w:t>
      </w:r>
      <w:proofErr w:type="gramEnd"/>
      <w:r w:rsidRPr="00B370CE">
        <w:t xml:space="preserve"> zaniepokojony trudnościami i wyzwaniami, z którymi borykają się obywatele mieszkający w regionach transgranicznych UE, zwłaszcza w przypadku zamknięcia granic z powodu </w:t>
      </w:r>
      <w:proofErr w:type="spellStart"/>
      <w:r w:rsidRPr="00B370CE">
        <w:t>ogólnounijnego</w:t>
      </w:r>
      <w:proofErr w:type="spellEnd"/>
      <w:r w:rsidRPr="00B370CE">
        <w:t xml:space="preserve"> lub regionalnego kryzysu; wzywa państwa członkowskie, by w takich przypadkach utrzymywały współpracę transgraniczną, a w stosownych przypadkach również ścisłą współpracę z właściwymi władzami lokalnymi i regionalnymi;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Ochrona konsularna</w:t>
      </w:r>
    </w:p>
    <w:p w:rsidR="00DC2C61" w:rsidRPr="00B370CE" w:rsidRDefault="00DC2C61" w:rsidP="00DC2C61">
      <w:pPr>
        <w:pStyle w:val="NormalHanging12a"/>
      </w:pPr>
      <w:r w:rsidRPr="00B370CE">
        <w:lastRenderedPageBreak/>
        <w:t>13.</w:t>
      </w:r>
      <w:r w:rsidRPr="00B370CE">
        <w:tab/>
      </w:r>
      <w:proofErr w:type="gramStart"/>
      <w:r w:rsidRPr="00B370CE">
        <w:t>jest</w:t>
      </w:r>
      <w:proofErr w:type="gramEnd"/>
      <w:r w:rsidRPr="00B370CE">
        <w:t xml:space="preserve"> zaniepokojony uchybieniami we wdrażaniu dyrektywy w sprawie ochrony konsularnej i niedociągnięciami w funkcjonowaniu konsularnych sieci państw członkowskich oraz zwraca uwagę, że nasiliły się one po wystąpieniu Zjednoczonego Królestwa z UE; w związku z tym ubolewa, że obywatele UE mają ograniczony dostęp do ochrony i pomocy konsularnej w niektórych państwach spoza UE;</w:t>
      </w:r>
    </w:p>
    <w:p w:rsidR="00DC2C61" w:rsidRPr="00B370CE" w:rsidRDefault="00DC2C61" w:rsidP="00DC2C61">
      <w:pPr>
        <w:pStyle w:val="NormalHanging12a"/>
      </w:pPr>
      <w:r w:rsidRPr="00B370CE">
        <w:t>14.</w:t>
      </w:r>
      <w:r w:rsidRPr="00B370CE">
        <w:tab/>
      </w:r>
      <w:proofErr w:type="gramStart"/>
      <w:r w:rsidRPr="00B370CE">
        <w:t>zwraca</w:t>
      </w:r>
      <w:proofErr w:type="gramEnd"/>
      <w:r w:rsidRPr="00B370CE">
        <w:t xml:space="preserve"> uwagę na przypadki, gdy dwie osoby z obywatelstwem dwóch różnych państw członkowskich nie mogły dopełnić formalności, np. zawrzeć małżeństwa, w przedstawicielstwie konsularnym jednego z tych państw członkowskich, mimo że danym państwie nie ma dostępnego przedstawicielstwa konsularnego drugiego państwa członkowskiego;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Dyskryminacja</w:t>
      </w:r>
    </w:p>
    <w:p w:rsidR="00DC2C61" w:rsidRPr="00B370CE" w:rsidRDefault="00DC2C61" w:rsidP="00DC2C61">
      <w:pPr>
        <w:pStyle w:val="NormalHanging12a"/>
      </w:pPr>
      <w:r w:rsidRPr="00B370CE">
        <w:t>15.</w:t>
      </w:r>
      <w:r w:rsidRPr="00B370CE">
        <w:tab/>
      </w:r>
      <w:proofErr w:type="gramStart"/>
      <w:r w:rsidRPr="00B370CE">
        <w:t>uważa</w:t>
      </w:r>
      <w:proofErr w:type="gramEnd"/>
      <w:r w:rsidRPr="00B370CE">
        <w:t>, że brak jednolitości w przepisach państw członkowskich o nabywaniu i utracie obywatelstwa krajowego spowodował różnice w kwestii nabywania i utraty obywatelstwa UE, a różnice te doprowadziły w niektórych przypadkach do naruszenia zasad i wartości UE;</w:t>
      </w:r>
    </w:p>
    <w:p w:rsidR="00DC2C61" w:rsidRPr="00B370CE" w:rsidRDefault="00DC2C61" w:rsidP="00DC2C61">
      <w:pPr>
        <w:pStyle w:val="NormalHanging12a"/>
      </w:pPr>
      <w:r w:rsidRPr="00B370CE">
        <w:t>16.</w:t>
      </w:r>
      <w:r w:rsidRPr="00B370CE">
        <w:tab/>
      </w:r>
      <w:proofErr w:type="gramStart"/>
      <w:r w:rsidRPr="00B370CE">
        <w:t>podkreśla</w:t>
      </w:r>
      <w:proofErr w:type="gramEnd"/>
      <w:r w:rsidRPr="00B370CE">
        <w:t xml:space="preserve">, że mimo rozwoju orzecznictwa TSUE nadal w niektórych przypadkach odmawia się przyznania pochodnego prawa pobytu obywatelom państw trzecich, których małoletnie osoby pozostające na utrzymaniu są obywatelami UE; </w:t>
      </w:r>
    </w:p>
    <w:p w:rsidR="00DC2C61" w:rsidRPr="00B370CE" w:rsidRDefault="00DC2C61" w:rsidP="00DC2C61">
      <w:pPr>
        <w:pStyle w:val="NormalHanging12a"/>
      </w:pPr>
      <w:r w:rsidRPr="00B370CE">
        <w:t>17.</w:t>
      </w:r>
      <w:r w:rsidRPr="00B370CE">
        <w:rPr>
          <w:b/>
        </w:rPr>
        <w:tab/>
      </w:r>
      <w:proofErr w:type="gramStart"/>
      <w:r w:rsidRPr="00B370CE">
        <w:t>ponownie</w:t>
      </w:r>
      <w:proofErr w:type="gramEnd"/>
      <w:r w:rsidRPr="00B370CE">
        <w:t xml:space="preserve"> wyraża zaniepokojenie dyskryminacją wobec par osób tej samej płci i ich dzieci korzystających z podstawowego prawa do swobodnego przemieszczania się w UE; </w:t>
      </w:r>
    </w:p>
    <w:p w:rsidR="00DC2C61" w:rsidRPr="00B370CE" w:rsidRDefault="00DC2C61" w:rsidP="00DC2C61">
      <w:pPr>
        <w:pStyle w:val="NormalHanging12a"/>
        <w:rPr>
          <w:b/>
          <w:i/>
        </w:rPr>
      </w:pPr>
      <w:r w:rsidRPr="00B370CE">
        <w:rPr>
          <w:b/>
          <w:i/>
        </w:rPr>
        <w:t>Zalecenia</w:t>
      </w:r>
    </w:p>
    <w:p w:rsidR="00DC2C61" w:rsidRPr="00B370CE" w:rsidRDefault="00DC2C61" w:rsidP="00DC2C61">
      <w:pPr>
        <w:pStyle w:val="NormalHanging12a"/>
      </w:pPr>
      <w:r w:rsidRPr="00B370CE">
        <w:t>18.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państwa członkowskie oraz organy regionalne i lokalne do pełnego wdrożenia obowiązujących dyrektyw o prawach obywateli zmieniających miejsce pobytu, a z myślą o zbliżających się wyborach europejskiej apeluje o sprawne usunięcie utrzymujących się niedostatków; apeluje o opracowanie ukierunkowanych kampanii uświadamiających w państwach zamieszkania, by informować obywateli UE zmieniających miejsce pobytu, że mają w tym państwie czynne i bierne prawo wyborcze w wyborach europejskich i lokalnych; ponawia apel o rozszerzenie praw obywateli zmieniających miejsce pobytu na wybory krajowe i regionalne;</w:t>
      </w:r>
    </w:p>
    <w:p w:rsidR="00DC2C61" w:rsidRPr="00B370CE" w:rsidRDefault="00DC2C61" w:rsidP="00DC2C61">
      <w:pPr>
        <w:pStyle w:val="NormalHanging12a"/>
      </w:pPr>
      <w:r w:rsidRPr="00B370CE">
        <w:t>19.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państwa członkowskie, by zagwarantowały swoim obywatelom przebywającym za granicą prawa do głosowania w państwie pochodzenia, jeżeli takie prawo jest uznawane, przez stworzenie warunków materialnych i regulacyjnych umożliwiających im głosowanie oraz przez usunięcie przeszkód biurokratycznych, które utrudniają, a niejednokrotnie uniemożliwiają korzystanie z tego prawa; wzywa w szczególności państwa członkowskie, by gwarantowały to prawo jednakowo i usunęły wszelkie różnice w traktowaniu obywateli mieszkających za zagranicą w przypadku głosowania zdalnego, zwłaszcza korespondencyjnego, jeżeli jest stosowane; apeluje o jednolite stosowanie prawa do głosowania w wyborach europejskich do obywateli UE mieszkających poza UE;</w:t>
      </w:r>
    </w:p>
    <w:p w:rsidR="00DC2C61" w:rsidRPr="00B370CE" w:rsidRDefault="00DC2C61" w:rsidP="00DC2C61">
      <w:pPr>
        <w:pStyle w:val="NormalHanging12a"/>
      </w:pPr>
      <w:r w:rsidRPr="00B370CE">
        <w:t>20.</w:t>
      </w:r>
      <w:r w:rsidRPr="00B370CE">
        <w:tab/>
      </w:r>
      <w:proofErr w:type="gramStart"/>
      <w:r w:rsidRPr="00B370CE">
        <w:rPr>
          <w:rStyle w:val="doceo-font-family-base"/>
          <w:color w:val="000000"/>
        </w:rPr>
        <w:t>wzywa</w:t>
      </w:r>
      <w:proofErr w:type="gramEnd"/>
      <w:r w:rsidRPr="00B370CE">
        <w:rPr>
          <w:rStyle w:val="doceo-font-family-base"/>
          <w:color w:val="000000"/>
        </w:rPr>
        <w:t xml:space="preserve"> Komisję do przyjęcia </w:t>
      </w:r>
      <w:r w:rsidRPr="00B370CE">
        <w:t xml:space="preserve">nowego komunikatu zawierającego wyjaśnienie niektórych kluczowych pojęć zawartych w dyrektywie 2004/38/WE w sprawie prawa </w:t>
      </w:r>
      <w:r w:rsidRPr="00B370CE">
        <w:lastRenderedPageBreak/>
        <w:t>obywateli UE i członków ich rodzin do swobodnego przemieszczania się i pobytu na terytorium UE, aby zapewnić państwom członkowskim aktualne wytyczne, które pomogą poprawić wdrażanie przepisów tej dyrektywy na poziomie krajowym, a tym samym przyniosą korzyści obywatelom UE i członkom ich rodzin;</w:t>
      </w:r>
    </w:p>
    <w:p w:rsidR="00DC2C61" w:rsidRPr="00B370CE" w:rsidRDefault="00DC2C61" w:rsidP="00DC2C61">
      <w:pPr>
        <w:pStyle w:val="NormalHanging12a"/>
      </w:pPr>
      <w:r w:rsidRPr="00B370CE">
        <w:t>21.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UE, by wspierała przyjęcie wiążącej Europejskiej karty praw cyfrowych, w tym praw obywatelstwa cyfrowego, w oparciu o Europejską deklarację praw i zasad cyfrowych w cyfrowej dekadzie;</w:t>
      </w:r>
    </w:p>
    <w:p w:rsidR="00DC2C61" w:rsidRPr="00B370CE" w:rsidRDefault="00DC2C61" w:rsidP="00DC2C61">
      <w:pPr>
        <w:pStyle w:val="NormalHanging12a"/>
      </w:pPr>
      <w:r w:rsidRPr="00B370CE">
        <w:t>22.</w:t>
      </w:r>
      <w:r w:rsidRPr="00B370CE">
        <w:tab/>
      </w:r>
      <w:proofErr w:type="gramStart"/>
      <w:r w:rsidR="003C25C0" w:rsidRPr="002F2386">
        <w:rPr>
          <w:bCs/>
          <w:iCs/>
        </w:rPr>
        <w:t>z</w:t>
      </w:r>
      <w:proofErr w:type="gramEnd"/>
      <w:r w:rsidR="003C25C0" w:rsidRPr="002F2386">
        <w:rPr>
          <w:bCs/>
          <w:iCs/>
        </w:rPr>
        <w:t xml:space="preserve"> zadowoleniem przyjmuje wniosek Komisji</w:t>
      </w:r>
      <w:r w:rsidRPr="00B370CE">
        <w:t xml:space="preserve"> w sprawie aktualizacji i ulepszenia dyrektywy o ochronie konsularnej, </w:t>
      </w:r>
      <w:r w:rsidR="003C25C0" w:rsidRPr="002F2386">
        <w:rPr>
          <w:bCs/>
          <w:iCs/>
        </w:rPr>
        <w:t>służący wzmocnieniu prawa obywateli UE do ochrony konsularnej, zwłaszcza w sytuacjach kryzysowych,</w:t>
      </w:r>
      <w:r w:rsidR="003C25C0">
        <w:rPr>
          <w:bCs/>
          <w:iCs/>
        </w:rPr>
        <w:t xml:space="preserve"> </w:t>
      </w:r>
      <w:r w:rsidRPr="00B370CE">
        <w:t>np. przez przyznanie delegaturom UE aktywniejszej roli w udzielaniu wsparcia niedostatecznie reprezentowanym obywatelom UE;</w:t>
      </w:r>
    </w:p>
    <w:p w:rsidR="00DC2C61" w:rsidRPr="00B370CE" w:rsidRDefault="00DC2C61" w:rsidP="00DC2C61">
      <w:pPr>
        <w:pStyle w:val="NormalHanging12a"/>
      </w:pPr>
      <w:r w:rsidRPr="00B370CE">
        <w:t>23.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państwa członkowskie, by zaprzestały prowadzenia programów złotych wiz i prawa pobytu dla inwestorów oraz wszelkich podobnych programów krajowych, które umożliwiają nabycie ich obywatelstwa i wiążą się z bezpośrednią lub pośrednią sprzedażą obywatelstwa UE i z wykorzystywaniem go, ponieważ podważają koncepcję obywatelstwa UE i naruszają zasady i wartości UE; wzywa państwa członkowskie do ochrony integralności i wartości obywatelstwa UE; wzywa Komisję do podjęcia wszelkich niezbędnych działań, np. pozwania danych państw członkowskich przed TSUE;</w:t>
      </w:r>
    </w:p>
    <w:p w:rsidR="00DC2C61" w:rsidRPr="00B370CE" w:rsidRDefault="00DC2C61" w:rsidP="00DC2C61">
      <w:pPr>
        <w:pStyle w:val="NormalHanging12a"/>
      </w:pPr>
      <w:r w:rsidRPr="00B370CE">
        <w:t>24.</w:t>
      </w:r>
      <w:r w:rsidRPr="00B370CE">
        <w:rPr>
          <w:b/>
          <w:i/>
        </w:rPr>
        <w:tab/>
      </w:r>
      <w:proofErr w:type="gramStart"/>
      <w:r w:rsidRPr="00B370CE">
        <w:t>w</w:t>
      </w:r>
      <w:proofErr w:type="gramEnd"/>
      <w:r w:rsidRPr="00B370CE">
        <w:t xml:space="preserve"> związku z przyszłymi rewizjami traktatów apeluje, by umożliwiono Parlamentowi i Radzie przyjmowanie w zwykłej procedurze ustawodawczej wspólnych przepisów o zapobieganiu sprzedaży paszportów lub innym nadużyciom dotyczącym nabywania i utraty obywatelstwa UE przez obywateli państw trzecich, z myślą o ujednolicaniu warunków nabywania tego obywatelstwa;</w:t>
      </w:r>
    </w:p>
    <w:p w:rsidR="00DC2C61" w:rsidRPr="00B370CE" w:rsidRDefault="00DC2C61" w:rsidP="00DC2C61">
      <w:pPr>
        <w:pStyle w:val="NormalHanging12a"/>
      </w:pPr>
      <w:r w:rsidRPr="00B370CE">
        <w:t>25.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państwa członkowskie i odpowiednie organy, by dostosowały </w:t>
      </w:r>
      <w:proofErr w:type="spellStart"/>
      <w:r w:rsidRPr="00B370CE">
        <w:t>lu</w:t>
      </w:r>
      <w:proofErr w:type="spellEnd"/>
      <w:r w:rsidRPr="00B370CE">
        <w:t xml:space="preserve"> opracowały nowe programy nauczania historii Europy i Unii Europejskiej i jej funkcjonowania w celu propagowania aktywnej postawy obywatelskiej i wspólnych wartości europejskich oraz zwiększania świadomości wartości dodanej płynącej z bycia Europejczykiem i obywatelem UE; podkreśla, że umocnienie europejskiego wymiaru edukacji obywatelskiej i zapewnienie wszystkim równego dostępu, w tym dzięki wszelki dostępnym narzędziom cyfrowym, pozwoli obywatelom UE działać jako świadomi obywatele i w pełni uczestniczyć w życiu obywatelskim, politycznym i społecznym zarówno na szczeblu europejskim, jak i krajowym; podkreśla, że Erasmus+ może odegrać ważną rolę w pobudzaniu edukacji obywatelskiej UE dzięki mobilności </w:t>
      </w:r>
      <w:proofErr w:type="gramStart"/>
      <w:r w:rsidRPr="00B370CE">
        <w:t>edukacyjnej</w:t>
      </w:r>
      <w:proofErr w:type="gramEnd"/>
      <w:r w:rsidRPr="00B370CE">
        <w:t xml:space="preserve"> dla wszystkich, niezależnie od wieku, płci, zatrudnienia czy poziomu wykształcenia;</w:t>
      </w:r>
    </w:p>
    <w:p w:rsidR="00DC2C61" w:rsidRPr="00B370CE" w:rsidRDefault="00DC2C61" w:rsidP="00DC2C61">
      <w:pPr>
        <w:pStyle w:val="NormalHanging12a"/>
      </w:pPr>
      <w:r w:rsidRPr="00B370CE">
        <w:t>26.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Komisję, by przygotowała konsultacje publiczne dostosowane do potrzeb wszystkich obywateli UE, zwłaszcza ludzi młodych, aby zwiększyć ich udział w życiu publicznym; wzywa Komisję do uaktualnienia metod prowadzenia konsultacji publicznych, by zwiększyć zaangażowanie obywatelskie i umożliwić udział szerszego grona obywateli europejskich, na wzór udanej Konferencji w sprawie przyszłości Europy; dlatego wzywa Komisję, by z wykorzystaniem nowych technologii dalej usprawniała portal „Wyraź swoją opinię” i by pokazywała wkład informacji zwrotnych od obywateli w poszczególne inicjatywy; 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lastRenderedPageBreak/>
        <w:t>27.</w:t>
      </w:r>
      <w:r w:rsidRPr="00B370CE">
        <w:tab/>
      </w:r>
      <w:proofErr w:type="gramStart"/>
      <w:r w:rsidRPr="00B370CE">
        <w:t>apeluje</w:t>
      </w:r>
      <w:proofErr w:type="gramEnd"/>
      <w:r w:rsidRPr="00B370CE">
        <w:t xml:space="preserve"> o utworzenie punktu kompleksowej obsługi dla wszystkich unijnych narzędzi uczestnictwa, takich jak europejska inicjatywa obywatelska, petycje do Parlamentu Europejskiego, skargi do Europejskiego Rzecznika Praw Obywatelskich, konsultacje publiczne i dialogi obywatelskie, oraz o zwiększenie ich skuteczności, głównie przez zapewnienie ich wkładu w kształtowanie europejskiego programu prac, a zarazem przez zagwarantowanie silniejszej demokracji przedstawicielskiej w procesie decyzyjnym; wzywa Komisję, państwa członkowskie oraz władze regionalne i lokalne do intensywniejsze informowanie opinii publicznej o istniejących instrumentach uczestnictwa; 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t>28.</w:t>
      </w:r>
      <w:r w:rsidRPr="00B370CE">
        <w:tab/>
      </w:r>
      <w:proofErr w:type="gramStart"/>
      <w:r w:rsidRPr="00B370CE">
        <w:t>ponawia</w:t>
      </w:r>
      <w:proofErr w:type="gramEnd"/>
      <w:r w:rsidRPr="00B370CE">
        <w:t xml:space="preserve"> propozycję utworzenia stałego mechanizmu konsultacji z obywatelami umożliwiającego obywatelom, zwłaszcza młodym ludziom, omawianie priorytetów i strategii politycznych UE, co pomoże m.in. stosować w prawodawstwie „kontrolę przez młodzież”, uzupełniającą reprezentatywną demokrację parlamentarną, lecz nie zastępującą jej; proponuje, aby przedstawiciele Parlamentu byli informowani o tych dyskusjach, by mogli ocenić, czy należy podjąć działania następcze;</w:t>
      </w:r>
    </w:p>
    <w:p w:rsidR="00DC2C61" w:rsidRPr="00B370CE" w:rsidRDefault="00DC2C61" w:rsidP="00DC2C61">
      <w:pPr>
        <w:pStyle w:val="NormalHanging12a"/>
      </w:pPr>
      <w:r w:rsidRPr="00B370CE">
        <w:t>29.</w:t>
      </w:r>
      <w:r w:rsidRPr="00B370CE">
        <w:tab/>
      </w:r>
      <w:proofErr w:type="gramStart"/>
      <w:r w:rsidRPr="00B370CE">
        <w:t>proponuje</w:t>
      </w:r>
      <w:proofErr w:type="gramEnd"/>
      <w:r w:rsidRPr="00B370CE">
        <w:t xml:space="preserve"> rozważenie wprowadzenia europejskiego dowodu obywatelstwa, mogącego np. ułatwiać korzystanie z praw obywatelskich i głosowanie w wyborach europejskich, a także wykorzystanie instrumentów uczestnictwa;</w:t>
      </w:r>
    </w:p>
    <w:p w:rsidR="00DC2C61" w:rsidRPr="00B370CE" w:rsidRDefault="00DC2C61" w:rsidP="00DC2C61">
      <w:pPr>
        <w:pStyle w:val="NormalHanging12a"/>
        <w:shd w:val="clear" w:color="auto" w:fill="FFFFFF" w:themeFill="background1"/>
      </w:pPr>
      <w:r w:rsidRPr="00B370CE">
        <w:t>30.</w:t>
      </w:r>
      <w:r w:rsidRPr="00B370CE">
        <w:rPr>
          <w:b/>
          <w:i/>
        </w:rPr>
        <w:tab/>
      </w:r>
      <w:proofErr w:type="gramStart"/>
      <w:r w:rsidRPr="00B370CE">
        <w:t>podkreśla</w:t>
      </w:r>
      <w:proofErr w:type="gramEnd"/>
      <w:r w:rsidRPr="00B370CE">
        <w:t xml:space="preserve"> istotną rolę biur Europe Direct w zwiększaniu udziału obywateli w życiu demokratycznym UE na szczeblu lokalnym; zachęca państwa członkowskie i jednostki szczebla regionalnego i lokalnego do ściślejszej współpracy z tymi biurami;</w:t>
      </w:r>
    </w:p>
    <w:p w:rsidR="00DC2C61" w:rsidRPr="00B370CE" w:rsidRDefault="00DC2C61" w:rsidP="00DC2C61">
      <w:pPr>
        <w:pStyle w:val="NormalHanging12a"/>
      </w:pPr>
      <w:r w:rsidRPr="00B370CE">
        <w:t>31.</w:t>
      </w:r>
      <w:r w:rsidRPr="00B370CE">
        <w:rPr>
          <w:b/>
          <w:i/>
        </w:rPr>
        <w:tab/>
      </w:r>
      <w:proofErr w:type="gramStart"/>
      <w:r w:rsidRPr="00B370CE">
        <w:t>wzywa</w:t>
      </w:r>
      <w:proofErr w:type="gramEnd"/>
      <w:r w:rsidRPr="00B370CE">
        <w:t xml:space="preserve"> Komisję do lepszego wykorzystania mediów społecznościowych i narzędzi cyfrowych, ze szczególnym naciskiem na zwiększenie udziału młodych ludzi i osób z niepełnosprawnościami w procesach demokratycznych, a przez to do wspierania ich zaangażowania, przy jednoczesnym uznaniu również niższego wieku uprawniającego do głosowania w wyborach europejskich w państwach członkowskich; wzywa zatem Komisję do intensywniejszego wspierania udziału w życiu demokratycznym przez pogłębianie dialogu z obywatelami i zwiększanie wiedzy o wpływie prawodawstwa UE na ich codzienne życie; </w:t>
      </w:r>
    </w:p>
    <w:p w:rsidR="00DC2C61" w:rsidRPr="00B370CE" w:rsidRDefault="00DC2C61" w:rsidP="00DC2C61">
      <w:pPr>
        <w:pStyle w:val="NormalHanging12a"/>
      </w:pPr>
      <w:r w:rsidRPr="00B370CE">
        <w:t>32.</w:t>
      </w:r>
      <w:r w:rsidRPr="00B370CE">
        <w:rPr>
          <w:b/>
          <w:i/>
        </w:rPr>
        <w:tab/>
      </w:r>
      <w:proofErr w:type="gramStart"/>
      <w:r w:rsidRPr="00B370CE">
        <w:t>uważa</w:t>
      </w:r>
      <w:proofErr w:type="gramEnd"/>
      <w:r w:rsidRPr="00B370CE">
        <w:t xml:space="preserve">, że wobec rosnącego wpływu sfery cyfrowej, a zwłaszcza mediów społecznościowych i AI na życie obywateli państwa członkowskie i instytucje europejskie powinny nadal skupiać się na tworzeniu nowej polityki publicznej i wdrażaniu skutecznych mechanizmów ochrony praw podstawowych w </w:t>
      </w:r>
      <w:proofErr w:type="spellStart"/>
      <w:r w:rsidRPr="00B370CE">
        <w:t>internecie</w:t>
      </w:r>
      <w:proofErr w:type="spellEnd"/>
      <w:r w:rsidRPr="00B370CE">
        <w:t xml:space="preserve"> oraz zwalczania obcych ingerencji i dezinformacji, będących egzystencjalnym zagrożeniem dla demokracji i dla samego korzystania z praw obywatelskich; </w:t>
      </w:r>
    </w:p>
    <w:p w:rsidR="00DC2C61" w:rsidRPr="00B370CE" w:rsidRDefault="00DC2C61" w:rsidP="00DC2C61">
      <w:pPr>
        <w:spacing w:after="240"/>
        <w:ind w:left="567" w:hanging="567"/>
        <w:rPr>
          <w:rFonts w:eastAsiaTheme="minorHAnsi" w:cstheme="minorBidi"/>
          <w:szCs w:val="22"/>
        </w:rPr>
      </w:pPr>
      <w:r w:rsidRPr="00B370CE">
        <w:t>33.</w:t>
      </w:r>
      <w:r w:rsidRPr="00B370CE">
        <w:tab/>
      </w:r>
      <w:proofErr w:type="gramStart"/>
      <w:r w:rsidRPr="00B370CE">
        <w:t>wzywa</w:t>
      </w:r>
      <w:proofErr w:type="gramEnd"/>
      <w:r w:rsidRPr="00B370CE">
        <w:t xml:space="preserve"> Radę i Komisję do wznowienia negocjacji nad przeglądem rozporządzenia (WE) nr 1049/2001</w:t>
      </w:r>
      <w:r w:rsidRPr="00B370CE">
        <w:rPr>
          <w:rFonts w:eastAsiaTheme="minorHAnsi" w:cstheme="minorBidi"/>
          <w:szCs w:val="22"/>
          <w:vertAlign w:val="superscript"/>
          <w:lang w:eastAsia="en-US"/>
        </w:rPr>
        <w:footnoteReference w:id="26"/>
      </w:r>
      <w:r w:rsidRPr="00B370CE">
        <w:t>, by dać obywatelom UE możliwość pełnego korzystania z przysługującego im prawa dostępu do dokumentów oraz kontrolowania instytucji, organów, urzędów i agencji UE;</w:t>
      </w:r>
    </w:p>
    <w:p w:rsidR="00DC2C61" w:rsidRPr="00B370CE" w:rsidRDefault="00DC2C61" w:rsidP="00DC2C61">
      <w:pPr>
        <w:pStyle w:val="AMNumberTabs"/>
        <w:keepNext/>
        <w:spacing w:before="0" w:after="240"/>
        <w:ind w:left="567" w:hanging="567"/>
        <w:jc w:val="both"/>
        <w:rPr>
          <w:rStyle w:val="doceo-font-family-base"/>
          <w:rFonts w:eastAsiaTheme="minorHAnsi"/>
          <w:b w:val="0"/>
          <w:color w:val="000000"/>
          <w:szCs w:val="24"/>
        </w:rPr>
      </w:pPr>
      <w:r w:rsidRPr="00B370CE">
        <w:rPr>
          <w:rStyle w:val="doceo-font-family-base"/>
          <w:b w:val="0"/>
          <w:color w:val="000000"/>
        </w:rPr>
        <w:t>34.</w:t>
      </w:r>
      <w:r w:rsidRPr="00B370CE">
        <w:rPr>
          <w:rStyle w:val="doceo-font-family-base"/>
          <w:color w:val="000000"/>
        </w:rPr>
        <w:tab/>
      </w:r>
      <w:proofErr w:type="gramStart"/>
      <w:r w:rsidRPr="00B370CE">
        <w:rPr>
          <w:b w:val="0"/>
        </w:rPr>
        <w:t>ponownie</w:t>
      </w:r>
      <w:proofErr w:type="gramEnd"/>
      <w:r w:rsidRPr="00B370CE">
        <w:rPr>
          <w:b w:val="0"/>
        </w:rPr>
        <w:t xml:space="preserve"> podkreśla, że trzeba opracować status obywatelstwa UE na podstawie art. 25 </w:t>
      </w:r>
      <w:r w:rsidRPr="00B370CE">
        <w:rPr>
          <w:b w:val="0"/>
        </w:rPr>
        <w:lastRenderedPageBreak/>
        <w:t>TFUE, zbierający dotychczasowe i przyszłe prawa obywatelskie, by poprawić egzekwowanie praw obywatelskich i zapewnić obywatelom równość, poprawić spójność i reagować na zmiany społeczne, gospodarcze, polityczne i cyfrowe; przypomina, że należy to przeprowadzić zgodnie z zapisami Traktatów;</w:t>
      </w:r>
      <w:r w:rsidRPr="00B370CE">
        <w:rPr>
          <w:rStyle w:val="doceo-font-family-base"/>
          <w:b w:val="0"/>
          <w:color w:val="000000"/>
        </w:rPr>
        <w:t xml:space="preserve"> </w:t>
      </w:r>
    </w:p>
    <w:p w:rsidR="00DC2C61" w:rsidRPr="00B370CE" w:rsidRDefault="00DC2C61" w:rsidP="00DC2C61">
      <w:pPr>
        <w:pStyle w:val="AMNumberTabs"/>
        <w:keepNext/>
        <w:ind w:left="567" w:hanging="567"/>
        <w:jc w:val="both"/>
        <w:rPr>
          <w:b w:val="0"/>
        </w:rPr>
      </w:pPr>
      <w:r w:rsidRPr="00B370CE">
        <w:rPr>
          <w:b w:val="0"/>
        </w:rPr>
        <w:t>35.</w:t>
      </w:r>
      <w:r w:rsidRPr="00B370CE">
        <w:rPr>
          <w:b w:val="0"/>
        </w:rPr>
        <w:tab/>
      </w:r>
      <w:proofErr w:type="gramStart"/>
      <w:r w:rsidRPr="00B370CE">
        <w:rPr>
          <w:b w:val="0"/>
        </w:rPr>
        <w:t>sugeruje</w:t>
      </w:r>
      <w:proofErr w:type="gramEnd"/>
      <w:r w:rsidRPr="00B370CE">
        <w:rPr>
          <w:b w:val="0"/>
        </w:rPr>
        <w:t xml:space="preserve">, że w dziedzinie uczestnictwa i praw politycznych, swobody przemieszczania się i obywatelstwa cyfrowego obywatele powinni mieć w szczególności, zgodnie z obowiązującym i przyszłym prawodawstwem UE: </w:t>
      </w:r>
    </w:p>
    <w:p w:rsidR="00DC2C61" w:rsidRPr="00B370CE" w:rsidRDefault="00DC2C61" w:rsidP="00226DB8">
      <w:pPr>
        <w:pStyle w:val="AMNumberTabs"/>
        <w:keepNext/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zrównoważoną pod względem płci reprezentację demokratyczną na listach wyborczych;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stałą interaktywną platformę cyfrową, na której będą mogli przekazywać propozycje i pomysły we wszystkich językach urzędowych UE;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prawo do uznania równoważnych okresów studiów, a nie tylko kwalifikacji i kompetencji zawodowych, za uprawniające do pracy w innym państwie członkowskim: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powszechny dostęp do </w:t>
      </w:r>
      <w:proofErr w:type="spellStart"/>
      <w:r w:rsidRPr="00B370CE">
        <w:rPr>
          <w:b w:val="0"/>
        </w:rPr>
        <w:t>internetu</w:t>
      </w:r>
      <w:proofErr w:type="spellEnd"/>
      <w:r w:rsidRPr="00B370CE">
        <w:rPr>
          <w:b w:val="0"/>
        </w:rPr>
        <w:t xml:space="preserve"> zapewniający włączenie społeczne i równy dostęp do środowiska cyfrowego;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własną tożsamość w środowisku cyfrowym i możliwość zarządzania nią, wykraczającą poza dotychczasową ochronę danych osobowych w środowisku cyfrowym;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 xml:space="preserve">możliwość dziedziczenia danych cyfrowych osoby zmarłej; </w:t>
      </w:r>
    </w:p>
    <w:p w:rsidR="00DC2C61" w:rsidRPr="00B370CE" w:rsidRDefault="00DC2C61" w:rsidP="00226DB8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jc w:val="both"/>
        <w:rPr>
          <w:b w:val="0"/>
        </w:rPr>
      </w:pPr>
      <w:r w:rsidRPr="00B370CE">
        <w:rPr>
          <w:b w:val="0"/>
        </w:rPr>
        <w:t xml:space="preserve">– </w:t>
      </w:r>
      <w:r w:rsidR="00226DB8">
        <w:rPr>
          <w:b w:val="0"/>
        </w:rPr>
        <w:tab/>
      </w:r>
      <w:r w:rsidRPr="00B370CE">
        <w:rPr>
          <w:b w:val="0"/>
        </w:rPr>
        <w:t>rozwój bezpiecznych, przejrzystych, identyfikowalnych i nadzorowanych przez ludzi i instytucje regulacyjne systemów sztucznej inteligencji;</w:t>
      </w:r>
    </w:p>
    <w:p w:rsidR="00DC2C61" w:rsidRPr="00B370CE" w:rsidRDefault="00DC2C61" w:rsidP="00DC2C61">
      <w:pPr>
        <w:pStyle w:val="NormalHanging12a"/>
        <w:spacing w:before="240" w:after="0"/>
        <w:rPr>
          <w:rStyle w:val="doceo-font-family-base"/>
          <w:color w:val="000000"/>
          <w:u w:val="single"/>
        </w:rPr>
      </w:pPr>
      <w:r w:rsidRPr="00B370CE">
        <w:rPr>
          <w:rStyle w:val="doceo-font-family-base"/>
          <w:color w:val="000000"/>
        </w:rPr>
        <w:t>36.</w:t>
      </w:r>
      <w:r w:rsidRPr="00B370CE">
        <w:rPr>
          <w:rStyle w:val="doceo-font-family-base"/>
          <w:color w:val="000000"/>
        </w:rPr>
        <w:tab/>
      </w:r>
      <w:proofErr w:type="gramStart"/>
      <w:r w:rsidRPr="00B370CE">
        <w:t>apeluje</w:t>
      </w:r>
      <w:proofErr w:type="gramEnd"/>
      <w:r w:rsidRPr="00B370CE">
        <w:t xml:space="preserve"> o włączenie do statusu obywatelstwa UE horyzontalnej klauzuli o niedyskryminacji jako dodatkowego zabezpieczenia równości w korzystaniu z praw obywatelskich, by zapewnić niedyskryminację i ochronę obywateli, zwłaszcza osób należących do grup szczególnie wrażliwych i zmarginalizowanych oraz osób mieszkających w transgranicznych regionach UE;</w:t>
      </w:r>
    </w:p>
    <w:p w:rsidR="00DC2C61" w:rsidRPr="00B370CE" w:rsidRDefault="00DC2C61" w:rsidP="00DC2C61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B370CE">
        <w:rPr>
          <w:rStyle w:val="doceo-font-family-base"/>
          <w:color w:val="000000"/>
        </w:rPr>
        <w:t>37.</w:t>
      </w:r>
      <w:r w:rsidRPr="00B370CE">
        <w:rPr>
          <w:rStyle w:val="doceo-font-family-base"/>
          <w:color w:val="000000"/>
        </w:rPr>
        <w:tab/>
      </w:r>
      <w:proofErr w:type="gramStart"/>
      <w:r w:rsidRPr="00B370CE">
        <w:t>wzywa</w:t>
      </w:r>
      <w:proofErr w:type="gramEnd"/>
      <w:r w:rsidRPr="00B370CE">
        <w:t xml:space="preserve"> Komisję do prowadzenia ukierunkowanych kampanii uświadamiających o prawach i obowiązkach obywatelskich wynikających z obywatelstwa UE i jego statusu, w tym przez wprowadzenie pakietu UE z myślą o informowaniu o obywatelstwie UE oraz przez przeznaczenie większych zasobów na obywatelstwo UE;</w:t>
      </w:r>
      <w:r w:rsidRPr="00B370CE">
        <w:rPr>
          <w:rStyle w:val="doceo-font-family-base"/>
          <w:color w:val="000000"/>
        </w:rPr>
        <w:t xml:space="preserve"> podkreśla, że wraz z rewolucją cyfrową i technologiczną obywatele stali się prawdziwymi filarami europejskich systemów demokratycznych i to oni będą ich bronić; </w:t>
      </w:r>
    </w:p>
    <w:p w:rsidR="00DC2C61" w:rsidRPr="00B370CE" w:rsidRDefault="00DC2C61" w:rsidP="00DC2C61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B370CE">
        <w:rPr>
          <w:rStyle w:val="doceo-font-family-base"/>
          <w:color w:val="000000"/>
        </w:rPr>
        <w:t>38.</w:t>
      </w:r>
      <w:r w:rsidRPr="00B370CE">
        <w:rPr>
          <w:rStyle w:val="doceo-font-family-base"/>
          <w:color w:val="000000"/>
        </w:rPr>
        <w:tab/>
      </w:r>
      <w:proofErr w:type="gramStart"/>
      <w:r w:rsidR="003C25C0" w:rsidRPr="002F2386">
        <w:t>przyjmuje</w:t>
      </w:r>
      <w:proofErr w:type="gramEnd"/>
      <w:r w:rsidR="003C25C0" w:rsidRPr="002F2386">
        <w:t xml:space="preserve"> do wiadomości pakiet o obywatelstwie, zwłaszcza sprawozdanie na temat obywatelstwa UE z 2023 r. opublikowane przez Komisję 6 grudnia 2023 r., by dalej rozwijać obywatelstwo UE i sprawić, by było bardziej namacalne dla obywateli UE;</w:t>
      </w:r>
      <w:r w:rsidR="003C25C0">
        <w:rPr>
          <w:b/>
          <w:i/>
        </w:rPr>
        <w:t xml:space="preserve"> </w:t>
      </w:r>
      <w:r w:rsidRPr="00B370CE">
        <w:t xml:space="preserve">wzywa Komisję, by uwzględniła </w:t>
      </w:r>
      <w:r w:rsidR="003C25C0" w:rsidRPr="002F2386">
        <w:rPr>
          <w:bCs/>
          <w:iCs/>
        </w:rPr>
        <w:t>zalecenia zapisane w tym</w:t>
      </w:r>
      <w:r w:rsidR="003C25C0" w:rsidRPr="00275032">
        <w:t xml:space="preserve"> </w:t>
      </w:r>
      <w:r w:rsidRPr="00B370CE">
        <w:t>sprawozdaniu i podjęła działania niezbędne do ich realizacji zgodnie z procedurami traktatowymi;</w:t>
      </w:r>
    </w:p>
    <w:p w:rsidR="00DC2C61" w:rsidRPr="00B370CE" w:rsidRDefault="00DC2C61" w:rsidP="00226DB8">
      <w:pPr>
        <w:pStyle w:val="NormalHanging12a"/>
        <w:spacing w:before="240" w:after="0"/>
      </w:pPr>
      <w:r w:rsidRPr="00B370CE">
        <w:rPr>
          <w:rStyle w:val="doceo-font-family-base"/>
          <w:color w:val="000000"/>
        </w:rPr>
        <w:t>39.</w:t>
      </w:r>
      <w:r w:rsidRPr="00B370CE">
        <w:rPr>
          <w:rStyle w:val="doceo-font-family-base"/>
          <w:color w:val="000000"/>
        </w:rPr>
        <w:tab/>
      </w:r>
      <w:proofErr w:type="gramStart"/>
      <w:r w:rsidRPr="00B370CE">
        <w:t>ponawia</w:t>
      </w:r>
      <w:proofErr w:type="gramEnd"/>
      <w:r w:rsidRPr="00B370CE">
        <w:t xml:space="preserve"> apel o zwołanie konwentu w celu zmiany traktatów zgodnie z art. 48 TUE; zdecydowanie uważa, że konwent powinien dokładnie ocenić, jak można dalej </w:t>
      </w:r>
      <w:r w:rsidRPr="00B370CE">
        <w:lastRenderedPageBreak/>
        <w:t>umacniać obywatelstwo UE;</w:t>
      </w:r>
    </w:p>
    <w:p w:rsidR="00DC2C61" w:rsidRPr="00B370CE" w:rsidRDefault="00DC2C61" w:rsidP="00DC2C61">
      <w:pPr>
        <w:pStyle w:val="NormalHanging12a"/>
        <w:jc w:val="center"/>
      </w:pPr>
      <w:r w:rsidRPr="00B370CE">
        <w:t>°</w:t>
      </w:r>
    </w:p>
    <w:p w:rsidR="00DC2C61" w:rsidRPr="00B370CE" w:rsidRDefault="00DC2C61" w:rsidP="00DC2C61">
      <w:pPr>
        <w:pStyle w:val="NormalHanging12a"/>
        <w:jc w:val="center"/>
      </w:pPr>
      <w:r w:rsidRPr="00B370CE">
        <w:t>°</w:t>
      </w:r>
      <w:r w:rsidRPr="00B370CE">
        <w:tab/>
        <w:t>°</w:t>
      </w:r>
    </w:p>
    <w:p w:rsidR="00DC2C61" w:rsidRPr="00B370CE" w:rsidRDefault="00DC2C61" w:rsidP="00DC2C61">
      <w:pPr>
        <w:pStyle w:val="NormalHanging12a"/>
        <w:rPr>
          <w:rFonts w:eastAsiaTheme="minorHAnsi"/>
        </w:rPr>
      </w:pPr>
      <w:r w:rsidRPr="00B370CE">
        <w:t>40.</w:t>
      </w:r>
      <w:r w:rsidRPr="00B370CE">
        <w:tab/>
      </w:r>
      <w:proofErr w:type="gramStart"/>
      <w:r w:rsidRPr="00B370CE">
        <w:t>zobowiązuje</w:t>
      </w:r>
      <w:proofErr w:type="gramEnd"/>
      <w:r w:rsidRPr="00B370CE">
        <w:t xml:space="preserve"> swoją przewodniczącą do przekazania niniejszej rezolucji Radzie i Komisji.</w:t>
      </w:r>
    </w:p>
    <w:p w:rsidR="00E365E1" w:rsidRPr="00B370CE" w:rsidRDefault="00E365E1" w:rsidP="00A46EBA">
      <w:bookmarkStart w:id="8" w:name="TextBodyEnd"/>
      <w:bookmarkEnd w:id="8"/>
    </w:p>
    <w:sectPr w:rsidR="00E365E1" w:rsidRPr="00B370CE" w:rsidSect="00B37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EBA" w:rsidRPr="00B370CE" w:rsidRDefault="00A46EBA">
      <w:r w:rsidRPr="00B370CE">
        <w:separator/>
      </w:r>
    </w:p>
  </w:endnote>
  <w:endnote w:type="continuationSeparator" w:id="0">
    <w:p w:rsidR="00A46EBA" w:rsidRPr="00B370CE" w:rsidRDefault="00A46EBA">
      <w:r w:rsidRPr="00B37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EBA" w:rsidRPr="00B370CE" w:rsidRDefault="00A46EBA">
      <w:r w:rsidRPr="00B370CE">
        <w:separator/>
      </w:r>
    </w:p>
  </w:footnote>
  <w:footnote w:type="continuationSeparator" w:id="0">
    <w:p w:rsidR="00A46EBA" w:rsidRPr="00B370CE" w:rsidRDefault="00A46EBA">
      <w:r w:rsidRPr="00B370CE">
        <w:continuationSeparator/>
      </w:r>
    </w:p>
  </w:footnote>
  <w:footnote w:id="1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158 z 30.4.2004,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77.</w:t>
      </w:r>
    </w:p>
  </w:footnote>
  <w:footnote w:id="2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156 z 5.5.2021,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</w:t>
      </w:r>
      <w:r w:rsidRPr="00B370CE">
        <w:rPr>
          <w:rStyle w:val="Emphasis"/>
          <w:color w:val="333333"/>
          <w:sz w:val="24"/>
          <w:shd w:val="clear" w:color="auto" w:fill="FFFFFF"/>
          <w:lang w:val="pl-PL"/>
        </w:rPr>
        <w:t>.</w:t>
      </w:r>
    </w:p>
  </w:footnote>
  <w:footnote w:id="3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141 z 27.5.2011,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1.</w:t>
      </w:r>
    </w:p>
  </w:footnote>
  <w:footnote w:id="4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186 z 11.7.2019,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21.</w:t>
      </w:r>
    </w:p>
  </w:footnote>
  <w:footnote w:id="5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173 z 9.7.2018,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16.</w:t>
      </w:r>
    </w:p>
  </w:footnote>
  <w:footnote w:id="6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107 z 22.4.2016,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1.</w:t>
      </w:r>
    </w:p>
  </w:footnote>
  <w:footnote w:id="7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354 z 28.12.2013,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132.</w:t>
      </w:r>
    </w:p>
  </w:footnote>
  <w:footnote w:id="8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106 z 24.4.2015,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1.</w:t>
      </w:r>
    </w:p>
  </w:footnote>
  <w:footnote w:id="9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163 z 20.6.2019,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1.</w:t>
      </w:r>
    </w:p>
  </w:footnote>
  <w:footnote w:id="10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130 z 17.5.2019,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55.</w:t>
      </w:r>
    </w:p>
  </w:footnote>
  <w:footnote w:id="11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L 231 z 17.7.2020,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7.</w:t>
      </w:r>
    </w:p>
  </w:footnote>
  <w:footnote w:id="12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283 z 11.8.2023,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76.</w:t>
      </w:r>
    </w:p>
  </w:footnote>
  <w:footnote w:id="13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283 z 11.8.2023,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100.</w:t>
      </w:r>
    </w:p>
  </w:footnote>
  <w:footnote w:id="14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449 z 23.12.2020,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6.</w:t>
      </w:r>
    </w:p>
  </w:footnote>
  <w:footnote w:id="15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347 z 9.9.2022,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97.</w:t>
      </w:r>
    </w:p>
  </w:footnote>
  <w:footnote w:id="16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347 z 9.9.2022,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202.</w:t>
      </w:r>
    </w:p>
  </w:footnote>
  <w:footnote w:id="17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>Teksty przyjęte, P9_TA(2023)0230.</w:t>
      </w:r>
    </w:p>
  </w:footnote>
  <w:footnote w:id="18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>Teksty przyjęte, P9_TA(2023)0330.</w:t>
      </w:r>
    </w:p>
  </w:footnote>
  <w:footnote w:id="19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99 z 1.3.2022,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96.</w:t>
      </w:r>
    </w:p>
  </w:footnote>
  <w:footnote w:id="20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347 z 9.9.2022,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110.</w:t>
      </w:r>
    </w:p>
  </w:footnote>
  <w:footnote w:id="21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Dz.U. C 263 z 25.7.2018,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98.</w:t>
      </w:r>
    </w:p>
  </w:footnote>
  <w:footnote w:id="22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>Eurostat, „</w:t>
      </w:r>
      <w:r w:rsidR="002F2386">
        <w:fldChar w:fldCharType="begin"/>
      </w:r>
      <w:r w:rsidR="002F2386" w:rsidRPr="002F2386">
        <w:rPr>
          <w:lang w:val="pl-PL"/>
        </w:rPr>
        <w:instrText xml:space="preserve"> HYPERLINK "https://ec.europa.eu/eurostat/statistics-explained/index.php?title=Archive:EU_citizens_living_in_another_Member_State_-_statistical_overview" </w:instrText>
      </w:r>
      <w:r w:rsidR="002F2386">
        <w:fldChar w:fldCharType="separate"/>
      </w:r>
      <w:r w:rsidRPr="00B370CE">
        <w:rPr>
          <w:rStyle w:val="Hyperlink"/>
          <w:sz w:val="24"/>
          <w:lang w:val="pl-PL"/>
        </w:rPr>
        <w:t xml:space="preserve">Archive: </w:t>
      </w:r>
      <w:r w:rsidR="002F2386">
        <w:rPr>
          <w:rStyle w:val="Hyperlink"/>
          <w:sz w:val="24"/>
          <w:lang w:val="pl-PL"/>
        </w:rPr>
        <w:fldChar w:fldCharType="end"/>
      </w:r>
      <w:r w:rsidR="002F2386">
        <w:fldChar w:fldCharType="begin"/>
      </w:r>
      <w:r w:rsidR="002F2386" w:rsidRPr="002F2386">
        <w:rPr>
          <w:lang w:val="pl-PL"/>
        </w:rPr>
        <w:instrText xml:space="preserve"> HYPERLINK "https://ec.europa.eu/eurostat/statistics-explained/index.php?title=Archive:EU_</w:instrText>
      </w:r>
      <w:r w:rsidR="002F2386" w:rsidRPr="002F2386">
        <w:rPr>
          <w:lang w:val="pl-PL"/>
        </w:rPr>
        <w:instrText xml:space="preserve">citizens_living_in_another_Member_State_-_statistical_overview" </w:instrText>
      </w:r>
      <w:r w:rsidR="002F2386">
        <w:fldChar w:fldCharType="separate"/>
      </w:r>
      <w:r w:rsidRPr="00B370CE">
        <w:rPr>
          <w:rStyle w:val="Hyperlink"/>
          <w:sz w:val="24"/>
          <w:lang w:val="pl-PL"/>
        </w:rPr>
        <w:t xml:space="preserve">EU </w:t>
      </w:r>
      <w:proofErr w:type="spellStart"/>
      <w:r w:rsidRPr="00B370CE">
        <w:rPr>
          <w:rStyle w:val="Hyperlink"/>
          <w:sz w:val="24"/>
          <w:lang w:val="pl-PL"/>
        </w:rPr>
        <w:t>citizens</w:t>
      </w:r>
      <w:proofErr w:type="spellEnd"/>
      <w:r w:rsidRPr="00B370CE">
        <w:rPr>
          <w:rStyle w:val="Hyperlink"/>
          <w:sz w:val="24"/>
          <w:lang w:val="pl-PL"/>
        </w:rPr>
        <w:t xml:space="preserve"> </w:t>
      </w:r>
      <w:proofErr w:type="spellStart"/>
      <w:r w:rsidRPr="00B370CE">
        <w:rPr>
          <w:rStyle w:val="Hyperlink"/>
          <w:sz w:val="24"/>
          <w:lang w:val="pl-PL"/>
        </w:rPr>
        <w:t>living</w:t>
      </w:r>
      <w:proofErr w:type="spellEnd"/>
      <w:r w:rsidRPr="00B370CE">
        <w:rPr>
          <w:rStyle w:val="Hyperlink"/>
          <w:sz w:val="24"/>
          <w:lang w:val="pl-PL"/>
        </w:rPr>
        <w:t xml:space="preserve"> in </w:t>
      </w:r>
      <w:proofErr w:type="spellStart"/>
      <w:r w:rsidRPr="00B370CE">
        <w:rPr>
          <w:rStyle w:val="Hyperlink"/>
          <w:sz w:val="24"/>
          <w:lang w:val="pl-PL"/>
        </w:rPr>
        <w:t>another</w:t>
      </w:r>
      <w:proofErr w:type="spellEnd"/>
      <w:r w:rsidRPr="00B370CE">
        <w:rPr>
          <w:rStyle w:val="Hyperlink"/>
          <w:sz w:val="24"/>
          <w:lang w:val="pl-PL"/>
        </w:rPr>
        <w:t xml:space="preserve"> </w:t>
      </w:r>
      <w:proofErr w:type="spellStart"/>
      <w:r w:rsidRPr="00B370CE">
        <w:rPr>
          <w:rStyle w:val="Hyperlink"/>
          <w:sz w:val="24"/>
          <w:lang w:val="pl-PL"/>
        </w:rPr>
        <w:t>Member</w:t>
      </w:r>
      <w:proofErr w:type="spellEnd"/>
      <w:r w:rsidRPr="00B370CE">
        <w:rPr>
          <w:rStyle w:val="Hyperlink"/>
          <w:sz w:val="24"/>
          <w:lang w:val="pl-PL"/>
        </w:rPr>
        <w:t xml:space="preserve"> </w:t>
      </w:r>
      <w:proofErr w:type="spellStart"/>
      <w:r w:rsidRPr="00B370CE">
        <w:rPr>
          <w:rStyle w:val="Hyperlink"/>
          <w:sz w:val="24"/>
          <w:lang w:val="pl-PL"/>
        </w:rPr>
        <w:t>State</w:t>
      </w:r>
      <w:proofErr w:type="spellEnd"/>
      <w:r w:rsidRPr="00B370CE">
        <w:rPr>
          <w:rStyle w:val="Hyperlink"/>
          <w:sz w:val="24"/>
          <w:lang w:val="pl-PL"/>
        </w:rPr>
        <w:t xml:space="preserve"> - </w:t>
      </w:r>
      <w:proofErr w:type="spellStart"/>
      <w:r w:rsidRPr="00B370CE">
        <w:rPr>
          <w:rStyle w:val="Hyperlink"/>
          <w:sz w:val="24"/>
          <w:lang w:val="pl-PL"/>
        </w:rPr>
        <w:t>statistical</w:t>
      </w:r>
      <w:proofErr w:type="spellEnd"/>
      <w:r w:rsidRPr="00B370CE">
        <w:rPr>
          <w:rStyle w:val="Hyperlink"/>
          <w:sz w:val="24"/>
          <w:lang w:val="pl-PL"/>
        </w:rPr>
        <w:t xml:space="preserve"> </w:t>
      </w:r>
      <w:proofErr w:type="spellStart"/>
      <w:r w:rsidRPr="00B370CE">
        <w:rPr>
          <w:rStyle w:val="Hyperlink"/>
          <w:sz w:val="24"/>
          <w:lang w:val="pl-PL"/>
        </w:rPr>
        <w:t>overview</w:t>
      </w:r>
      <w:proofErr w:type="spellEnd"/>
      <w:r w:rsidR="002F2386">
        <w:rPr>
          <w:rStyle w:val="Hyperlink"/>
          <w:sz w:val="24"/>
          <w:lang w:val="pl-PL"/>
        </w:rPr>
        <w:fldChar w:fldCharType="end"/>
      </w:r>
      <w:r w:rsidRPr="00B370CE">
        <w:rPr>
          <w:sz w:val="24"/>
          <w:lang w:val="pl-PL"/>
        </w:rPr>
        <w:t>” [Archiwum: Obywatele UE mieszkający w innym państwie członkowskim – przegląd statystyczny].</w:t>
      </w:r>
    </w:p>
  </w:footnote>
  <w:footnote w:id="23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>Komisja Europejska, „Sprawozdanie na temat obywatelstwa UE z 2020 r.: wyniki konsultacji publicznych z 2020 r. dotyczących praw wynikających z obywatelstwa Unii”, grudzień 2020 r.</w:t>
      </w:r>
    </w:p>
  </w:footnote>
  <w:footnote w:id="24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Dane: europejskie badanie warunków życia ludności (EU-SILC) i badanie aktywności ekonomicznej ludności UE (BAEL UE); </w:t>
      </w:r>
      <w:proofErr w:type="spellStart"/>
      <w:r w:rsidRPr="00B370CE">
        <w:rPr>
          <w:sz w:val="24"/>
          <w:lang w:val="pl-PL"/>
        </w:rPr>
        <w:t>Grammenos</w:t>
      </w:r>
      <w:proofErr w:type="spellEnd"/>
      <w:r w:rsidRPr="00B370CE">
        <w:rPr>
          <w:sz w:val="24"/>
          <w:lang w:val="pl-PL"/>
        </w:rPr>
        <w:t xml:space="preserve">, S. i Priestley, M., „Europe 2020 data and </w:t>
      </w:r>
      <w:proofErr w:type="spellStart"/>
      <w:r w:rsidRPr="00B370CE">
        <w:rPr>
          <w:sz w:val="24"/>
          <w:lang w:val="pl-PL"/>
        </w:rPr>
        <w:t>people</w:t>
      </w:r>
      <w:proofErr w:type="spellEnd"/>
      <w:r w:rsidRPr="00B370CE">
        <w:rPr>
          <w:sz w:val="24"/>
          <w:lang w:val="pl-PL"/>
        </w:rPr>
        <w:t xml:space="preserve"> with </w:t>
      </w:r>
      <w:proofErr w:type="spellStart"/>
      <w:r w:rsidRPr="00B370CE">
        <w:rPr>
          <w:sz w:val="24"/>
          <w:lang w:val="pl-PL"/>
        </w:rPr>
        <w:t>disabilities</w:t>
      </w:r>
      <w:proofErr w:type="spellEnd"/>
      <w:r w:rsidRPr="00B370CE">
        <w:rPr>
          <w:sz w:val="24"/>
          <w:lang w:val="pl-PL"/>
        </w:rPr>
        <w:t xml:space="preserve"> – </w:t>
      </w:r>
      <w:proofErr w:type="spellStart"/>
      <w:r w:rsidRPr="00B370CE">
        <w:rPr>
          <w:sz w:val="24"/>
          <w:lang w:val="pl-PL"/>
        </w:rPr>
        <w:t>tables</w:t>
      </w:r>
      <w:proofErr w:type="spellEnd"/>
      <w:r w:rsidRPr="00B370CE">
        <w:rPr>
          <w:sz w:val="24"/>
          <w:lang w:val="pl-PL"/>
        </w:rPr>
        <w:t>” [Dane dotyczące strategii „Europa 2020” oraz osób z niepełnosprawnościami – tabele], Eurostat, 2020 r.</w:t>
      </w:r>
    </w:p>
  </w:footnote>
  <w:footnote w:id="25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>Komunikat Komisji z 17 czerwca 2022 r. pt. „Konferencja w sprawie przyszłości Europy – Od wizji do konkretnych działań” (COM(2022)0404).</w:t>
      </w:r>
    </w:p>
  </w:footnote>
  <w:footnote w:id="26">
    <w:p w:rsidR="00DC2C61" w:rsidRPr="00B370CE" w:rsidRDefault="00DC2C61" w:rsidP="00B370CE">
      <w:pPr>
        <w:pStyle w:val="FootnoteText"/>
        <w:ind w:left="567" w:hanging="567"/>
        <w:rPr>
          <w:sz w:val="24"/>
          <w:lang w:val="pl-PL"/>
        </w:rPr>
      </w:pPr>
      <w:r w:rsidRPr="00B370CE">
        <w:rPr>
          <w:rStyle w:val="FootnoteReference"/>
          <w:sz w:val="24"/>
          <w:lang w:val="pl-PL"/>
        </w:rPr>
        <w:footnoteRef/>
      </w:r>
      <w:r w:rsidR="00B370CE" w:rsidRPr="00B370CE">
        <w:rPr>
          <w:sz w:val="24"/>
          <w:lang w:val="pl-PL"/>
        </w:rPr>
        <w:t xml:space="preserve"> </w:t>
      </w:r>
      <w:r w:rsidR="00B370CE" w:rsidRPr="00B370CE">
        <w:rPr>
          <w:sz w:val="24"/>
          <w:lang w:val="pl-PL"/>
        </w:rPr>
        <w:tab/>
      </w:r>
      <w:r w:rsidRPr="00B370CE">
        <w:rPr>
          <w:sz w:val="24"/>
          <w:lang w:val="pl-PL"/>
        </w:rPr>
        <w:t xml:space="preserve">Rozporządzenie (WE) nr 1049/2001 Parlamentu Europejskiego i Rady z dnia 30 maja 2001 r. w sprawie publicznego dostępu do dokumentów Parlamentu Europejskiego, Rady i Komisji, Dz.U. L 145 z 31.5.2001, </w:t>
      </w:r>
      <w:proofErr w:type="gramStart"/>
      <w:r w:rsidRPr="00B370CE">
        <w:rPr>
          <w:sz w:val="24"/>
          <w:lang w:val="pl-PL"/>
        </w:rPr>
        <w:t>s</w:t>
      </w:r>
      <w:proofErr w:type="gramEnd"/>
      <w:r w:rsidRPr="00B370CE">
        <w:rPr>
          <w:sz w:val="24"/>
          <w:lang w:val="pl-PL"/>
        </w:rPr>
        <w:t>. 43.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0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6/2023"/>
    <w:docVar w:name="dvlangue" w:val="PL"/>
    <w:docVar w:name="dvnumam" w:val="0"/>
    <w:docVar w:name="dvpe" w:val="754.647"/>
    <w:docVar w:name="dvrapporteur" w:val="Sprawozdawca: "/>
    <w:docVar w:name="dvstar" w:val="??"/>
    <w:docVar w:name="dvtitre" w:val="Rezolucja Parlamentu Europejskiego z dnia  2024 r. w sprawie wdrożenia postanowień Traktatu dotyczących obywatelstwa UE(2023/2085(INI))"/>
  </w:docVars>
  <w:rsids>
    <w:rsidRoot w:val="00A46E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DB8"/>
    <w:rsid w:val="002767FF"/>
    <w:rsid w:val="002B18FE"/>
    <w:rsid w:val="002B5493"/>
    <w:rsid w:val="002F2386"/>
    <w:rsid w:val="00343214"/>
    <w:rsid w:val="00361C00"/>
    <w:rsid w:val="00395FA1"/>
    <w:rsid w:val="003C25C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500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EBA"/>
    <w:rsid w:val="00A778C7"/>
    <w:rsid w:val="00AB441E"/>
    <w:rsid w:val="00AB6293"/>
    <w:rsid w:val="00AE0928"/>
    <w:rsid w:val="00AF3B82"/>
    <w:rsid w:val="00B12E95"/>
    <w:rsid w:val="00B22876"/>
    <w:rsid w:val="00B370C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C6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A8B4A-B6EC-4C40-9C73-0C8F53C9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2C6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C2C61"/>
    <w:rPr>
      <w:color w:val="0563C1" w:themeColor="hyperlink"/>
      <w:u w:val="single"/>
    </w:rPr>
  </w:style>
  <w:style w:type="paragraph" w:customStyle="1" w:styleId="Normal12">
    <w:name w:val="Normal12"/>
    <w:basedOn w:val="Normal"/>
    <w:rsid w:val="00DC2C61"/>
    <w:pPr>
      <w:spacing w:after="240"/>
    </w:pPr>
  </w:style>
  <w:style w:type="character" w:customStyle="1" w:styleId="doceo-font-family-base">
    <w:name w:val="doceo-font-family-base"/>
    <w:basedOn w:val="DefaultParagraphFont"/>
    <w:rsid w:val="00DC2C61"/>
  </w:style>
  <w:style w:type="character" w:customStyle="1" w:styleId="y2iqfc">
    <w:name w:val="y2iqfc"/>
    <w:basedOn w:val="DefaultParagraphFont"/>
    <w:rsid w:val="00DC2C61"/>
  </w:style>
  <w:style w:type="character" w:styleId="Emphasis">
    <w:name w:val="Emphasis"/>
    <w:basedOn w:val="DefaultParagraphFont"/>
    <w:uiPriority w:val="20"/>
    <w:qFormat/>
    <w:rsid w:val="00DC2C61"/>
    <w:rPr>
      <w:i/>
      <w:iCs/>
    </w:rPr>
  </w:style>
  <w:style w:type="paragraph" w:customStyle="1" w:styleId="AMNumberTabs">
    <w:name w:val="AMNumberTabs"/>
    <w:basedOn w:val="Normal"/>
    <w:rsid w:val="00DC2C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locked/>
    <w:rsid w:val="00DC2C61"/>
    <w:rPr>
      <w:sz w:val="24"/>
      <w:lang w:val="pl-PL"/>
    </w:rPr>
  </w:style>
  <w:style w:type="paragraph" w:styleId="BalloonText">
    <w:name w:val="Balloon Text"/>
    <w:basedOn w:val="Normal"/>
    <w:link w:val="BalloonTextChar"/>
    <w:rsid w:val="003C2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25C0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0B387-7313-4C44-A6A2-F6FD9A4DC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4254</Words>
  <Characters>24251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2024-01-17T13:14:00Z</dcterms:created>
  <dcterms:modified xsi:type="dcterms:W3CDTF">2024-01-17T13:14:00Z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A9-0436/2023</vt:lpwstr>
  </property>
  <property fmtid="{D5CDD505-2E9C-101B-9397-08002B2CF9AE}" pid="4" name="&lt;Type&gt;">
    <vt:lpwstr>RR</vt:lpwstr>
  </property>
</Properties>
</file>