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81CCA" w:rsidRPr="005D3E2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381CCA" w:rsidRPr="005D3E27" w:rsidRDefault="00CC63DD">
            <w:pPr>
              <w:pStyle w:val="EPName"/>
            </w:pPr>
            <w:r w:rsidRPr="005D3E27">
              <w:t>Európsky parlament</w:t>
            </w:r>
          </w:p>
          <w:p w:rsidR="00381CCA" w:rsidRPr="005D3E27" w:rsidRDefault="00CC63DD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3E2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381CCA" w:rsidRPr="005D3E27" w:rsidRDefault="00CC63DD">
            <w:pPr>
              <w:pStyle w:val="EPLogo"/>
            </w:pPr>
            <w:r w:rsidRPr="005D3E2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81CCA" w:rsidRPr="005D3E27" w:rsidRDefault="00381CCA">
      <w:pPr>
        <w:pStyle w:val="LineTop"/>
      </w:pPr>
    </w:p>
    <w:p w:rsidR="00381CCA" w:rsidRPr="005D3E27" w:rsidRDefault="00CC63DD">
      <w:pPr>
        <w:pStyle w:val="EPBodyTA1"/>
      </w:pPr>
      <w:r w:rsidRPr="005D3E27">
        <w:t>PRIJATÉ TEXTY</w:t>
      </w:r>
    </w:p>
    <w:p w:rsidR="00381CCA" w:rsidRPr="005D3E27" w:rsidRDefault="00381CCA">
      <w:pPr>
        <w:pStyle w:val="LineBottom"/>
      </w:pPr>
    </w:p>
    <w:p w:rsidR="00381CCA" w:rsidRPr="005D3E27" w:rsidRDefault="00CC63DD">
      <w:pPr>
        <w:pStyle w:val="ATHeading1"/>
      </w:pPr>
      <w:bookmarkStart w:id="0" w:name="TANumber"/>
      <w:r w:rsidRPr="005D3E27">
        <w:t>P9_TA(2024)00</w:t>
      </w:r>
      <w:r w:rsidR="00D876F5" w:rsidRPr="005D3E27">
        <w:t>24</w:t>
      </w:r>
      <w:bookmarkEnd w:id="0"/>
    </w:p>
    <w:p w:rsidR="00381CCA" w:rsidRPr="005D3E27" w:rsidRDefault="00CC63DD">
      <w:pPr>
        <w:pStyle w:val="ATHeading2"/>
      </w:pPr>
      <w:bookmarkStart w:id="1" w:name="title"/>
      <w:r w:rsidRPr="005D3E27">
        <w:t>Vykonávanie ustanovení zmluvy týkajúcich sa občianstva EÚ</w:t>
      </w:r>
      <w:bookmarkEnd w:id="1"/>
    </w:p>
    <w:p w:rsidR="00381CCA" w:rsidRPr="005D3E27" w:rsidRDefault="00CC63DD">
      <w:pPr>
        <w:rPr>
          <w:i/>
          <w:vanish/>
        </w:rPr>
      </w:pPr>
      <w:r w:rsidRPr="005D3E27">
        <w:rPr>
          <w:i/>
        </w:rPr>
        <w:fldChar w:fldCharType="begin"/>
      </w:r>
      <w:r w:rsidRPr="005D3E27">
        <w:rPr>
          <w:i/>
        </w:rPr>
        <w:instrText xml:space="preserve"> TC"(</w:instrText>
      </w:r>
      <w:bookmarkStart w:id="2" w:name="DocNumber"/>
      <w:r w:rsidRPr="005D3E27">
        <w:rPr>
          <w:i/>
        </w:rPr>
        <w:instrText>A9-0436/2023</w:instrText>
      </w:r>
      <w:bookmarkEnd w:id="2"/>
      <w:r w:rsidRPr="005D3E27">
        <w:rPr>
          <w:i/>
        </w:rPr>
        <w:instrText xml:space="preserve"> - Spravodajkyňa: Maite Pagazaurtundúa)"\l3 \n&gt; \* MERGEFORMAT </w:instrText>
      </w:r>
      <w:r w:rsidRPr="005D3E27">
        <w:rPr>
          <w:i/>
        </w:rPr>
        <w:fldChar w:fldCharType="end"/>
      </w:r>
    </w:p>
    <w:p w:rsidR="00381CCA" w:rsidRPr="005D3E27" w:rsidRDefault="00CC63DD">
      <w:pPr>
        <w:rPr>
          <w:vanish/>
        </w:rPr>
      </w:pPr>
      <w:bookmarkStart w:id="3" w:name="Commission"/>
      <w:r w:rsidRPr="005D3E27">
        <w:rPr>
          <w:vanish/>
        </w:rPr>
        <w:t>Výbor pre ústavné veci</w:t>
      </w:r>
      <w:bookmarkEnd w:id="3"/>
    </w:p>
    <w:p w:rsidR="00381CCA" w:rsidRPr="005D3E27" w:rsidRDefault="00CC63DD">
      <w:pPr>
        <w:rPr>
          <w:vanish/>
        </w:rPr>
      </w:pPr>
      <w:bookmarkStart w:id="4" w:name="PE"/>
      <w:r w:rsidRPr="005D3E27">
        <w:rPr>
          <w:vanish/>
        </w:rPr>
        <w:t>PE754.647</w:t>
      </w:r>
      <w:bookmarkEnd w:id="4"/>
    </w:p>
    <w:p w:rsidR="00381CCA" w:rsidRPr="005D3E27" w:rsidRDefault="00CC63DD">
      <w:pPr>
        <w:pStyle w:val="ATHeading3"/>
      </w:pPr>
      <w:bookmarkStart w:id="5" w:name="Sujet"/>
      <w:r w:rsidRPr="005D3E27">
        <w:t>Uznesenie Európskeho parlamentu zo 17. januára 2024 o vykonávaní ustanovení zmluvy týkajúcich sa občianstva EÚ</w:t>
      </w:r>
      <w:bookmarkEnd w:id="5"/>
      <w:r w:rsidRPr="005D3E27">
        <w:t xml:space="preserve"> </w:t>
      </w:r>
      <w:bookmarkStart w:id="6" w:name="References"/>
      <w:r w:rsidRPr="005D3E27">
        <w:t>(2023/2085(INI))</w:t>
      </w:r>
      <w:bookmarkEnd w:id="6"/>
    </w:p>
    <w:p w:rsidR="00381CCA" w:rsidRPr="005D3E27" w:rsidRDefault="00381CCA"/>
    <w:p w:rsidR="00381CCA" w:rsidRPr="005D3E27" w:rsidRDefault="00CC63DD">
      <w:pPr>
        <w:pStyle w:val="Normal12"/>
        <w:jc w:val="both"/>
      </w:pPr>
      <w:bookmarkStart w:id="7" w:name="TextBodyBegin"/>
      <w:bookmarkEnd w:id="7"/>
      <w:r w:rsidRPr="005D3E27">
        <w:rPr>
          <w:i/>
          <w:iCs/>
        </w:rPr>
        <w:t>Európsky parlament</w:t>
      </w:r>
      <w:r w:rsidRPr="005D3E27">
        <w:t>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články 2, 3, 6, 9, 10, 11, 12, 21 a 23 Zmluvy o Európskej únii (ďalej len „Zmluvy o EÚ“),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články 15, 20, 21, 22, 24, 26, 45, 46, 47, 48, 153 a 165 Zmluvy o fungovaní Európskej únie (ďalej len „ZFEÚ“),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Chartu základných práv Európskej únie,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 zreteľom na smernicu Európskeho parlamentu a Rady 2004/38/ES z 29. apríla 2004 o práve občanov Únie a ich rodinných príslušníkov voľne sa pohybovať a zdržiavať sa v rámci územia členských štátov, ktorá mení a dopĺňa nariadenie (EHS) č. 1612/68 a ruší smernice 64/221/EHS, 68/360/EHS, 72/194/EHS, 73/148/EHS, 75/34/EHS, 75/35/EHS, 90/364/EHS, 90/365/EHS a 93/96/EHS</w:t>
      </w:r>
      <w:r w:rsidRPr="005D3E27">
        <w:rPr>
          <w:rStyle w:val="FootnoteReference"/>
          <w:color w:val="000000"/>
        </w:rPr>
        <w:footnoteReference w:id="1"/>
      </w:r>
      <w:r w:rsidRPr="005D3E27">
        <w:t>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nariadenie Európskeho parlamentu a Rady (EÚ) 2021/692 z 28. apríla 2021, ktorým sa zriaďuje program Občania, rovnosť, práva a hodnoty a zrušuje nariadenie Európskeho parlamentu a Rady (EÚ) č. 1381/2013 a nariadenie Rady (EÚ) č. 390/2014</w:t>
      </w:r>
      <w:r w:rsidRPr="005D3E27">
        <w:rPr>
          <w:rStyle w:val="FootnoteReference"/>
          <w:color w:val="000000"/>
        </w:rPr>
        <w:footnoteReference w:id="2"/>
      </w:r>
      <w:r w:rsidRPr="005D3E27">
        <w:t>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nariadenie Európskeho parlamentu a Rady (EÚ) č. 492/2011 z 5. apríla 2011 o slobode pohybu pracovníkov v rámci Únie</w:t>
      </w:r>
      <w:r w:rsidRPr="005D3E27">
        <w:rPr>
          <w:rStyle w:val="FootnoteReference"/>
          <w:color w:val="000000"/>
        </w:rPr>
        <w:footnoteReference w:id="3"/>
      </w:r>
      <w:r w:rsidRPr="005D3E27">
        <w:t>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nariadenie Európskeho parlamentu a Rady (EÚ)</w:t>
      </w:r>
      <w:r w:rsidR="006F0928">
        <w:t xml:space="preserve"> č.</w:t>
      </w:r>
      <w:r w:rsidRPr="005D3E27">
        <w:t xml:space="preserve"> 2019/1149 z 20. júna 2019, ktorým sa zriaďuje Európsky orgán práce a ktorým sa menia nariadenia (ES) č. 883/2004, (EÚ) č. 492/2011 a (EÚ) 2016/589 a ktorým sa zrušuje rozhodnutie (EÚ) </w:t>
      </w:r>
      <w:r w:rsidRPr="005D3E27">
        <w:lastRenderedPageBreak/>
        <w:t>2016/344</w:t>
      </w:r>
      <w:r w:rsidRPr="005D3E27">
        <w:rPr>
          <w:rStyle w:val="FootnoteReference"/>
          <w:color w:val="000000"/>
        </w:rPr>
        <w:footnoteReference w:id="4"/>
      </w:r>
      <w:r w:rsidRPr="005D3E27">
        <w:t>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smernicu Európskeho parlamentu a Rady (EÚ) 2018/957 z 28. júna 2018, ktorou sa mení smernica 96/71/ES o vysielaní pracovníkov v rámci poskytovania služieb</w:t>
      </w:r>
      <w:r w:rsidRPr="005D3E27">
        <w:rPr>
          <w:rStyle w:val="FootnoteReference"/>
          <w:color w:val="000000"/>
        </w:rPr>
        <w:footnoteReference w:id="5"/>
      </w:r>
      <w:r w:rsidRPr="005D3E27">
        <w:t>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nariadenie Európskeho parlamentu a Rady (EÚ) 2016/589 z 13. apríla 2016 o Európskej sieti služieb zamestnanosti (ďalej len „EURES“), prístupe pracovníkov k službám v oblasti mobility a o ďalšej integrácii trhov práce a o zmene nariadenia (EÚ) č. 492/2011 a (EÚ) č. 1296/2013</w:t>
      </w:r>
      <w:r w:rsidRPr="005D3E27">
        <w:rPr>
          <w:rStyle w:val="FootnoteReference"/>
          <w:color w:val="000000"/>
        </w:rPr>
        <w:footnoteReference w:id="6"/>
      </w:r>
      <w:r w:rsidRPr="005D3E27">
        <w:t>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smernicu Európskeho parlamentu a Rady 2013/55/EÚ z 20. novembra 2013, ktorou sa mení smernica 2005/36/ES o uznávaní odborných kvalifikácií, a nariadenie (EÚ) č. 1024/2012 o administratívnej spolupráci prostredníctvom informačného systému o vnútornom trhu</w:t>
      </w:r>
      <w:r w:rsidRPr="005D3E27">
        <w:rPr>
          <w:rStyle w:val="FootnoteReference"/>
          <w:color w:val="000000"/>
        </w:rPr>
        <w:footnoteReference w:id="7"/>
      </w:r>
      <w:r w:rsidRPr="005D3E27">
        <w:t>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smernicu Rady (EÚ) 2015/637 z 20. apríla 2015 o opatreniach koordinácie a spolupráce na uľahčenie konzulárnej ochrany nezastúpených občanov Únie v tretích krajinách a o zrušení rozhodnutia 95/553/ES</w:t>
      </w:r>
      <w:r w:rsidRPr="005D3E27">
        <w:rPr>
          <w:rStyle w:val="FootnoteReference"/>
        </w:rPr>
        <w:footnoteReference w:id="8"/>
      </w:r>
      <w:r w:rsidRPr="005D3E27">
        <w:t>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smernicu Rady (EÚ) 2019/997 z 18. júna 2019, ktorou sa zavádza náhradný cestovný doklad EÚ a zrušuje rozhodnutie 96/409/SZBP</w:t>
      </w:r>
      <w:r w:rsidRPr="005D3E27">
        <w:rPr>
          <w:rStyle w:val="FootnoteReference"/>
          <w:color w:val="000000"/>
        </w:rPr>
        <w:footnoteReference w:id="9"/>
      </w:r>
      <w:r w:rsidRPr="005D3E27">
        <w:t>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oznámenie Komisie z 2. júla 2009 o usmernení na lepšiu transpozíciu a uplatňovanie smernice 2004/38/ES o práve občanov Únie a ich rodinných príslušníkov voľne sa pohybovať a zdržiavať sa v rámci územia členských štátov (COM(2009)0313),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nariadenie Európskeho parlamentu a Rady (EÚ) 2019/788 zo 17. apríla 2019 o európskej iniciatíve občanov</w:t>
      </w:r>
      <w:r w:rsidRPr="005D3E27">
        <w:rPr>
          <w:vertAlign w:val="superscript"/>
        </w:rPr>
        <w:footnoteReference w:id="10"/>
      </w:r>
      <w:r w:rsidRPr="005D3E27">
        <w:t>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nariadenie Európskeho parlamentu a Rady (EÚ) 2020/1042 z 15. júla 2020, ktorým sa stanovujú dočasné opatrenia týkajúce sa lehôt pre fázy zberu, overovania a posudzovania uvedené v nariadení (EÚ) 2019/788 o európskej iniciatíve občanov vzhľadom na výskyt ochorenia COVID-19</w:t>
      </w:r>
      <w:r w:rsidRPr="005D3E27">
        <w:rPr>
          <w:rStyle w:val="FootnoteReference"/>
          <w:color w:val="000000"/>
        </w:rPr>
        <w:footnoteReference w:id="11"/>
      </w:r>
      <w:r w:rsidRPr="005D3E27">
        <w:t>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oznámenie Komisie z 2. decembra 2020 s názvom Stratégia posilnenia uplatňovania Charty základných práv v EÚ (COM(2020)0711),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oznámenie Komisie z 3. decembra 2020 o akčnom pláne pre európsku demokraciu (COM(2020)0790),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oznámenie Komisie z </w:t>
      </w:r>
      <w:r w:rsidRPr="005D3E27">
        <w:rPr>
          <w:shd w:val="clear" w:color="auto" w:fill="FFFFFF"/>
        </w:rPr>
        <w:t>25. novembra 2021</w:t>
      </w:r>
      <w:r w:rsidRPr="005D3E27">
        <w:t xml:space="preserve"> s názvom Ochrana integrity </w:t>
      </w:r>
      <w:r w:rsidRPr="005D3E27">
        <w:lastRenderedPageBreak/>
        <w:t>volieb a podpora demokratickej účasti (COM(2021)0730),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správu Komisie z 15. decembra 2020 s názvom Správa o občianstve EÚ za rok 2020 – Posilnenie postavenia občanov a ochrana ich práv (COM(2020)0730),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správu Komisie z 15. decembra 2020 podľa článku 25 ZFEÚ o dosiahnutom pokroku na ceste k skutočnému občianstvu EÚ v rokoch 2016 – 2020 (COM(2020)0731),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 xml:space="preserve">so zreteľom na svoju pozíciu zo 14. februára 2023 k návrhu smernice Rady, ktorou sa stanovujú podrobnosti </w:t>
      </w:r>
      <w:r w:rsidRPr="005D3E27">
        <w:rPr>
          <w:rStyle w:val="Bold"/>
          <w:b w:val="0"/>
          <w:color w:val="000000"/>
        </w:rPr>
        <w:t>u</w:t>
      </w:r>
      <w:r w:rsidRPr="005D3E27">
        <w:t>platňovania práva voliť a byť volený vo voľbách do Európskeho parlamentu pre občanov Únie s bydliskom v členskom štáte, ktorého nie sú štátnymi príslušníkmi</w:t>
      </w:r>
      <w:r w:rsidRPr="005D3E27">
        <w:rPr>
          <w:rStyle w:val="FootnoteReference"/>
          <w:color w:val="000000"/>
        </w:rPr>
        <w:footnoteReference w:id="12"/>
      </w:r>
      <w:r w:rsidRPr="005D3E27">
        <w:t>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svoju pozíciu zo 14. februára 2023 k návrhu smernice Rady, ktorou sa stanovujú podrobnosti uplatňovania práva voliť a byť volený v komunálnych voľbách pre občanov Únie s bydliskom v členskom štáte, ktorého nie sú štátnymi príslušníkmi</w:t>
      </w:r>
      <w:r w:rsidRPr="005D3E27">
        <w:rPr>
          <w:rStyle w:val="FootnoteReference"/>
          <w:color w:val="000000"/>
        </w:rPr>
        <w:footnoteReference w:id="13"/>
      </w:r>
      <w:r w:rsidRPr="005D3E27">
        <w:t>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svoje uznesenie z 12. februára 2019 o vykonávaní ustanovení zmluvy týkajúcich sa občianstva EÚ</w:t>
      </w:r>
      <w:r w:rsidRPr="005D3E27">
        <w:rPr>
          <w:rStyle w:val="FootnoteReference"/>
          <w:color w:val="000000"/>
        </w:rPr>
        <w:footnoteReference w:id="14"/>
      </w:r>
      <w:r w:rsidRPr="005D3E27">
        <w:t>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uznesenie Európskeho parlamentu z 9. marca 2022 s návrhmi pre Komisiu o systémoch udeľovania občianstva a povolení na pobyt investorom</w:t>
      </w:r>
      <w:r w:rsidRPr="005D3E27">
        <w:rPr>
          <w:rStyle w:val="FootnoteReference"/>
          <w:color w:val="000000"/>
        </w:rPr>
        <w:footnoteReference w:id="15"/>
      </w:r>
      <w:r w:rsidRPr="005D3E27">
        <w:t>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svoje uznesenie z 10. marca 2022 o Správe o občianstve EÚ za rok 2020: posilnenie postavenia občanov a ochrana ich práv</w:t>
      </w:r>
      <w:r w:rsidRPr="005D3E27">
        <w:rPr>
          <w:rStyle w:val="FootnoteReference"/>
          <w:color w:val="000000"/>
        </w:rPr>
        <w:footnoteReference w:id="16"/>
      </w:r>
      <w:r w:rsidRPr="005D3E27">
        <w:t>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svoje uznesenie z 13. júna 2023 o vykonávaní nariadení o európskej iniciatíve občanov</w:t>
      </w:r>
      <w:r w:rsidRPr="005D3E27">
        <w:rPr>
          <w:rStyle w:val="FootnoteReference"/>
          <w:color w:val="000000"/>
        </w:rPr>
        <w:footnoteReference w:id="17"/>
      </w:r>
      <w:r w:rsidRPr="005D3E27">
        <w:t>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svoje uznesenie zo 14. septembra 2023 o parlamentarizme, európskom občianstve a demokracii</w:t>
      </w:r>
      <w:r w:rsidRPr="005D3E27">
        <w:rPr>
          <w:rStyle w:val="FootnoteReference"/>
          <w:color w:val="000000"/>
        </w:rPr>
        <w:footnoteReference w:id="18"/>
      </w:r>
      <w:r w:rsidRPr="005D3E27">
        <w:t>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svoje uznesenie zo 7. júla 2021 o dialógoch s občanmi a účasti občanov na rozhodovaní EÚ</w:t>
      </w:r>
      <w:r w:rsidRPr="005D3E27">
        <w:rPr>
          <w:rStyle w:val="FootnoteReference"/>
          <w:color w:val="000000"/>
        </w:rPr>
        <w:footnoteReference w:id="19"/>
      </w:r>
      <w:r w:rsidRPr="005D3E27">
        <w:t>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svoje uznesenie z 9. marca 2022 o iniciatíve s názvom V ústrety občanom: petičné právo, právo predložiť vec európskemu ombudsmanovi a európska iniciatíva občanov</w:t>
      </w:r>
      <w:r w:rsidRPr="005D3E27">
        <w:rPr>
          <w:rStyle w:val="FootnoteReference"/>
          <w:color w:val="000000"/>
        </w:rPr>
        <w:footnoteReference w:id="20"/>
      </w:r>
      <w:r w:rsidRPr="005D3E27">
        <w:t>,</w:t>
      </w:r>
    </w:p>
    <w:p w:rsidR="00381CCA" w:rsidRPr="005D3E27" w:rsidRDefault="00CC63DD">
      <w:pPr>
        <w:pStyle w:val="NormalHanging12a"/>
        <w:rPr>
          <w:szCs w:val="23"/>
        </w:rPr>
      </w:pPr>
      <w:r w:rsidRPr="005D3E27">
        <w:t>–</w:t>
      </w:r>
      <w:r w:rsidRPr="005D3E27">
        <w:tab/>
        <w:t xml:space="preserve">so zreteľom na svoje uznesenie z 15. marca 2017 o prekážkach pre občanov EÚ </w:t>
      </w:r>
      <w:r w:rsidRPr="005D3E27">
        <w:lastRenderedPageBreak/>
        <w:t>slobodne sa pohybovať a pracovať na vnútornom trhu</w:t>
      </w:r>
      <w:r w:rsidRPr="005D3E27">
        <w:rPr>
          <w:rStyle w:val="FootnoteReference"/>
          <w:color w:val="000000"/>
          <w:szCs w:val="23"/>
        </w:rPr>
        <w:footnoteReference w:id="21"/>
      </w:r>
      <w:r w:rsidRPr="005D3E27">
        <w:t>,</w:t>
      </w:r>
    </w:p>
    <w:p w:rsidR="00381CCA" w:rsidRPr="005D3E27" w:rsidRDefault="00CC63DD">
      <w:pPr>
        <w:pStyle w:val="NormalHanging12a"/>
        <w:rPr>
          <w:szCs w:val="23"/>
        </w:rPr>
      </w:pPr>
      <w:r w:rsidRPr="005D3E27">
        <w:t>–</w:t>
      </w:r>
      <w:r w:rsidRPr="005D3E27">
        <w:tab/>
        <w:t>so zreteľom na správu Agentúry EÚ pre základné práva o základných právach za rok 2023,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správu o konečnom výsledku Konferencie o budúcnosti Európy,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 xml:space="preserve">so zreteľom na výsledky rýchleho prieskumu </w:t>
      </w:r>
      <w:proofErr w:type="spellStart"/>
      <w:r w:rsidRPr="005D3E27">
        <w:t>Eurobarometra</w:t>
      </w:r>
      <w:proofErr w:type="spellEnd"/>
      <w:r w:rsidRPr="005D3E27">
        <w:t xml:space="preserve"> </w:t>
      </w:r>
      <w:bookmarkStart w:id="8" w:name="_GoBack"/>
      <w:bookmarkEnd w:id="8"/>
      <w:r w:rsidRPr="005D3E27">
        <w:t xml:space="preserve">485/2020 a štandardného prieskumu </w:t>
      </w:r>
      <w:proofErr w:type="spellStart"/>
      <w:r w:rsidRPr="005D3E27">
        <w:t>Eurobarometra</w:t>
      </w:r>
      <w:proofErr w:type="spellEnd"/>
      <w:r w:rsidRPr="005D3E27">
        <w:t xml:space="preserve"> 99/2023,</w:t>
      </w:r>
    </w:p>
    <w:p w:rsidR="00AC050E" w:rsidRPr="005D3E27" w:rsidRDefault="00AC050E">
      <w:pPr>
        <w:pStyle w:val="NormalHanging12a"/>
      </w:pPr>
      <w:r w:rsidRPr="005D3E27">
        <w:t>–</w:t>
      </w:r>
      <w:r w:rsidRPr="005D3E27">
        <w:tab/>
        <w:t>so zreteľom na správu Komisie zo 6. decembra 2023 podľa článku 25 ZFEÚ o dosiahnutom pokroku na ceste k skutočnému občianstvu EÚ v rokoch 2020 – 202</w:t>
      </w:r>
      <w:r w:rsidR="00886AFA" w:rsidRPr="005D3E27">
        <w:t>3</w:t>
      </w:r>
      <w:r w:rsidRPr="005D3E27">
        <w:t xml:space="preserve"> (COM(202</w:t>
      </w:r>
      <w:r w:rsidR="00886AFA" w:rsidRPr="005D3E27">
        <w:t>3</w:t>
      </w:r>
      <w:r w:rsidRPr="005D3E27">
        <w:t>)</w:t>
      </w:r>
      <w:r w:rsidR="00886AFA" w:rsidRPr="005D3E27">
        <w:t>0931</w:t>
      </w:r>
      <w:r w:rsidRPr="005D3E27">
        <w:t>) (správa o občianstve EÚ za rok 2023),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článok 54 rokovacieho poriadku, ako aj na článok 1 ods. 1 písm. e) rozhodnutia Konferencie predsedov z 12. decembra 2002 o schvaľovacom postupe pre vypracovanie iniciatívnych správ a na prílohu 3 k tomuto rozhodnutiu,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stanovisko Výboru pre občianske slobody, spravodlivosť a vnútorné veci,</w:t>
      </w:r>
    </w:p>
    <w:p w:rsidR="00381CCA" w:rsidRPr="005D3E27" w:rsidRDefault="00CC63DD">
      <w:pPr>
        <w:pStyle w:val="NormalHanging12a"/>
      </w:pPr>
      <w:r w:rsidRPr="005D3E27">
        <w:t>–</w:t>
      </w:r>
      <w:r w:rsidRPr="005D3E27">
        <w:tab/>
        <w:t>so zreteľom na správu Výboru pre ústavné veci (A9-0436/2023),</w:t>
      </w:r>
    </w:p>
    <w:p w:rsidR="00381CCA" w:rsidRPr="005D3E27" w:rsidRDefault="00CC63DD">
      <w:pPr>
        <w:pStyle w:val="NormalHanging12a"/>
      </w:pPr>
      <w:r w:rsidRPr="005D3E27">
        <w:t>A.</w:t>
      </w:r>
      <w:r w:rsidRPr="005D3E27">
        <w:tab/>
        <w:t>keďže občianstvo EÚ bolo zavedené nadobudnutím platnosti Maastrichtskej zmluvy v roku 1993 a ďalej posilnené Lisabonskou zmluvou v roku 2009; keďže od jeho zavedenia uplynulo tridsať rokov a uskutočnili sa významné sociálne, digitálne, hospodárske a politické zmeny;</w:t>
      </w:r>
    </w:p>
    <w:p w:rsidR="00381CCA" w:rsidRPr="005D3E27" w:rsidRDefault="00CC63DD">
      <w:pPr>
        <w:pStyle w:val="NormalHanging12a"/>
        <w:rPr>
          <w:b/>
          <w:i/>
        </w:rPr>
      </w:pPr>
      <w:r w:rsidRPr="005D3E27">
        <w:t>B.</w:t>
      </w:r>
      <w:r w:rsidRPr="005D3E27">
        <w:rPr>
          <w:b/>
          <w:i/>
        </w:rPr>
        <w:tab/>
      </w:r>
      <w:r w:rsidRPr="005D3E27">
        <w:t>keďže podľa článku 20 ods. 1 ZFEÚ občianstvo EÚ dopĺňa štátne občianstvo a</w:t>
      </w:r>
      <w:r w:rsidRPr="005D3E27">
        <w:rPr>
          <w:color w:val="333333"/>
          <w:sz w:val="27"/>
          <w:shd w:val="clear" w:color="auto" w:fill="FFFFFF"/>
        </w:rPr>
        <w:t xml:space="preserve"> </w:t>
      </w:r>
      <w:r w:rsidRPr="005D3E27">
        <w:t>nenahrádza ho; keďže z občianstva Únie zatiaľ pre občanov Únie nevyplývajú žiadne povinnosti;</w:t>
      </w:r>
    </w:p>
    <w:p w:rsidR="00381CCA" w:rsidRPr="005D3E27" w:rsidRDefault="00CC63DD">
      <w:pPr>
        <w:pStyle w:val="NormalHanging12a"/>
        <w:rPr>
          <w:shd w:val="clear" w:color="auto" w:fill="FFFFFF"/>
        </w:rPr>
      </w:pPr>
      <w:r w:rsidRPr="005D3E27">
        <w:t>C.</w:t>
      </w:r>
      <w:r w:rsidRPr="005D3E27">
        <w:tab/>
      </w:r>
      <w:r w:rsidRPr="005D3E27">
        <w:rPr>
          <w:shd w:val="clear" w:color="auto" w:fill="FFFFFF"/>
        </w:rPr>
        <w:t>keďže občianstvo EÚ je jedinečnou koncepciou odrážajúcou spoločnú demokratickú identitu a spoločné hodnoty občanov EÚ a prispieva k vytváraniu väzieb, podpore rovnosti a odmietaniu všetkých foriem rasizmu a diskriminácie; keďže potenciál občianstva EÚ sa ešte v plnom rozsahu nevyužíva;</w:t>
      </w:r>
    </w:p>
    <w:p w:rsidR="00381CCA" w:rsidRPr="005D3E27" w:rsidRDefault="00CC63DD">
      <w:pPr>
        <w:pStyle w:val="NormalHanging12a"/>
      </w:pPr>
      <w:r w:rsidRPr="005D3E27">
        <w:rPr>
          <w:shd w:val="clear" w:color="auto" w:fill="FFFFFF"/>
        </w:rPr>
        <w:t>D.</w:t>
      </w:r>
      <w:r w:rsidRPr="005D3E27">
        <w:rPr>
          <w:b/>
          <w:i/>
          <w:shd w:val="clear" w:color="auto" w:fill="FFFFFF"/>
        </w:rPr>
        <w:tab/>
      </w:r>
      <w:r w:rsidRPr="005D3E27">
        <w:rPr>
          <w:shd w:val="clear" w:color="auto" w:fill="FFFFFF"/>
        </w:rPr>
        <w:t>keďže sloboda pohybu umožňuje viac ako 15 miliónom občanov EÚ</w:t>
      </w:r>
      <w:r w:rsidRPr="005D3E27">
        <w:rPr>
          <w:rStyle w:val="FootnoteReference"/>
          <w:shd w:val="clear" w:color="auto" w:fill="FFFFFF"/>
        </w:rPr>
        <w:footnoteReference w:id="22"/>
      </w:r>
      <w:r w:rsidRPr="005D3E27">
        <w:rPr>
          <w:shd w:val="clear" w:color="auto" w:fill="FFFFFF"/>
        </w:rPr>
        <w:t xml:space="preserve"> žiť a pracovať v inom členskom štáte a všetkým občanom EÚ slobodne cestovať v celej EÚ, čím sa občianstvo EÚ stalo dôležitejším ako kedykoľvek predtým;</w:t>
      </w:r>
    </w:p>
    <w:p w:rsidR="00381CCA" w:rsidRPr="005D3E27" w:rsidRDefault="00CC63DD">
      <w:pPr>
        <w:pStyle w:val="NormalHanging12a"/>
      </w:pPr>
      <w:r w:rsidRPr="005D3E27">
        <w:t>E.</w:t>
      </w:r>
      <w:r w:rsidRPr="005D3E27">
        <w:tab/>
      </w:r>
      <w:r w:rsidRPr="005D3E27">
        <w:rPr>
          <w:shd w:val="clear" w:color="auto" w:fill="FFFFFF"/>
        </w:rPr>
        <w:t>keďže občania EÚ sú si príliš často nedostatočne vedomí a znalí svojich práv, občianskych povinností a slobôd vyplývajúcich z občianstva EÚ ani im dostatočne nerozumejú; keďže v praktickom uplatňovaní občianstva EÚ a v úplnom vykonávaní práv a slobôd, ktoré z neho vyplývajú, stále existujú značné nedostatky, z ktorých sú niektoré spôsobené nejednotným vykonávaním právnych predpisov EÚ členskými štátmi;</w:t>
      </w:r>
    </w:p>
    <w:p w:rsidR="00381CCA" w:rsidRPr="005D3E27" w:rsidRDefault="00CC63DD">
      <w:pPr>
        <w:pStyle w:val="NormalHanging12a"/>
      </w:pPr>
      <w:r w:rsidRPr="005D3E27">
        <w:lastRenderedPageBreak/>
        <w:t>F.</w:t>
      </w:r>
      <w:r w:rsidRPr="005D3E27">
        <w:tab/>
        <w:t>keďže výsledky verejnej konzultácie o občianstve EÚ v roku 2020 ukázali, že viac ako 60 % účastníkov sa nepovažovalo za dobre informovaných o svojich právach vyplývajúcich z občianstva EÚ</w:t>
      </w:r>
      <w:r w:rsidRPr="005D3E27">
        <w:rPr>
          <w:rStyle w:val="FootnoteReference"/>
          <w:color w:val="000000"/>
          <w:szCs w:val="24"/>
        </w:rPr>
        <w:footnoteReference w:id="23"/>
      </w:r>
      <w:r w:rsidRPr="005D3E27">
        <w:t>;</w:t>
      </w:r>
      <w:r w:rsidR="00526B92" w:rsidRPr="005D3E27">
        <w:t xml:space="preserve"> keďže z rýchleho prieskumu </w:t>
      </w:r>
      <w:proofErr w:type="spellStart"/>
      <w:r w:rsidR="00526B92" w:rsidRPr="005D3E27">
        <w:t>Eurobarometra</w:t>
      </w:r>
      <w:proofErr w:type="spellEnd"/>
      <w:r w:rsidR="00526B92" w:rsidRPr="005D3E27">
        <w:t xml:space="preserve"> o občianstve a demokracii z roku 2023 vyplýva, že polovica respondentov sa domnieva, že je dobre informovaná o svojich právach občanov EÚ;</w:t>
      </w:r>
    </w:p>
    <w:p w:rsidR="00381CCA" w:rsidRPr="005D3E27" w:rsidRDefault="00CC63DD">
      <w:pPr>
        <w:pStyle w:val="NormalHanging12a"/>
      </w:pPr>
      <w:r w:rsidRPr="005D3E27">
        <w:t>G.</w:t>
      </w:r>
      <w:r w:rsidRPr="005D3E27">
        <w:tab/>
        <w:t>keďže popri digitálnej revolúcii a s ňou spojenej sociálnej a hospodárskej transformácii čelia občania EÚ bezprecedentným výzvam, ktorú sú dôsledkom pandémie ochorenia COVID-19;</w:t>
      </w:r>
    </w:p>
    <w:p w:rsidR="00381CCA" w:rsidRPr="005D3E27" w:rsidRDefault="00CC63DD">
      <w:pPr>
        <w:pStyle w:val="NormalHanging12a"/>
        <w:shd w:val="clear" w:color="auto" w:fill="FFFFFF" w:themeFill="background1"/>
      </w:pPr>
      <w:r w:rsidRPr="005D3E27">
        <w:t>H.</w:t>
      </w:r>
      <w:r w:rsidRPr="005D3E27">
        <w:tab/>
        <w:t>keďže zostavenie a konsolidácia existujúcich a budúcich práv by umožnili lepšie a informovanejšie uplatňovať práva a slobody vyplývajúce z občianstva EÚ;</w:t>
      </w:r>
    </w:p>
    <w:p w:rsidR="00381CCA" w:rsidRPr="005D3E27" w:rsidRDefault="00CC63DD">
      <w:pPr>
        <w:pStyle w:val="NormalHanging12a"/>
        <w:shd w:val="clear" w:color="auto" w:fill="FFFFFF" w:themeFill="background1"/>
      </w:pPr>
      <w:r w:rsidRPr="005D3E27">
        <w:t>I.</w:t>
      </w:r>
      <w:r w:rsidRPr="005D3E27">
        <w:tab/>
        <w:t>keďže Konferencia o budúcnosti Európy predstavuje konkrétny príklad účasti občanov na demokratickom živote Únie; keďže jej závery zahŕňajú návrhy a opatrenia, ktoré odrážajú dohodu medzi európskymi inštitúciami a občanmi EÚ o posilnení občianstva EÚ;</w:t>
      </w:r>
    </w:p>
    <w:p w:rsidR="00381CCA" w:rsidRPr="005D3E27" w:rsidRDefault="00CC63DD">
      <w:pPr>
        <w:pStyle w:val="NormalHanging12a"/>
        <w:shd w:val="clear" w:color="auto" w:fill="FFFFFF" w:themeFill="background1"/>
      </w:pPr>
      <w:r w:rsidRPr="005D3E27">
        <w:t>J.</w:t>
      </w:r>
      <w:r w:rsidRPr="005D3E27">
        <w:tab/>
        <w:t>keďže existujúce prekážky výkonu práv vyplývajúcich z občianstva EÚ vedú k situáciám nerovnosti a diskriminácie medzi občanmi EÚ, najmä migrujúcimi občanmi EÚ a ich rodinnými príslušníkmi, najmä deťmi, osobami žijúcimi v cezhraničných regiónoch EÚ a vo vidieckych oblastiach a členmi zraniteľných a marginalizovaných skupín, ako sú menšiny, osoby s nízkym príjmom, bezdomovci, starší ľudia, osoby so zdravotným postihnutím, ako aj osoby ohrozené digitálnym vylúčením;</w:t>
      </w:r>
    </w:p>
    <w:p w:rsidR="00381CCA" w:rsidRPr="005D3E27" w:rsidRDefault="00CC63DD">
      <w:pPr>
        <w:pStyle w:val="NormalHanging12a"/>
        <w:rPr>
          <w:rStyle w:val="y2iqfc"/>
          <w:color w:val="000000"/>
          <w:shd w:val="clear" w:color="auto" w:fill="FFFFFF"/>
        </w:rPr>
      </w:pPr>
      <w:r w:rsidRPr="005D3E27">
        <w:t>K.</w:t>
      </w:r>
      <w:r w:rsidRPr="005D3E27">
        <w:tab/>
        <w:t>keďže takmer 87 miliónov občanov EÚ žije s určitou formou zdravotného postihnutia</w:t>
      </w:r>
      <w:r w:rsidRPr="005D3E27">
        <w:rPr>
          <w:rStyle w:val="FootnoteReference"/>
          <w:color w:val="000000"/>
          <w:shd w:val="clear" w:color="auto" w:fill="FFFFFF"/>
        </w:rPr>
        <w:footnoteReference w:id="24"/>
      </w:r>
      <w:r w:rsidRPr="005D3E27">
        <w:t xml:space="preserve"> a má ťažkosti pri uplatňovaní svojich občianskych práv, pričom tieto ťažkosti niekedy znamenajú priame odopretie ich práva na voľný pohyb a pobyt a obmedzenie výkonu ich politických práv;</w:t>
      </w:r>
    </w:p>
    <w:p w:rsidR="00381CCA" w:rsidRPr="005D3E27" w:rsidRDefault="00CC63DD">
      <w:pPr>
        <w:pStyle w:val="NormalHanging12a"/>
      </w:pPr>
      <w:r w:rsidRPr="005D3E27">
        <w:rPr>
          <w:rStyle w:val="y2iqfc"/>
          <w:color w:val="000000"/>
          <w:shd w:val="clear" w:color="auto" w:fill="FFFFFF"/>
        </w:rPr>
        <w:t>L.</w:t>
      </w:r>
      <w:r w:rsidRPr="005D3E27">
        <w:rPr>
          <w:rStyle w:val="y2iqfc"/>
          <w:color w:val="000000"/>
          <w:shd w:val="clear" w:color="auto" w:fill="FFFFFF"/>
        </w:rPr>
        <w:tab/>
      </w:r>
      <w:r w:rsidRPr="005D3E27">
        <w:t>keďže niektoré členské štáty stále ponúkajú tzv. programy zlatých víz a investorské programy ako prostriedok na získanie štátnej príslušnosti a následne aj občianstva EÚ;</w:t>
      </w:r>
    </w:p>
    <w:p w:rsidR="00381CCA" w:rsidRPr="005D3E27" w:rsidRDefault="00CC63DD">
      <w:pPr>
        <w:pStyle w:val="NormalHanging12a"/>
        <w:rPr>
          <w:b/>
          <w:i/>
        </w:rPr>
      </w:pPr>
      <w:r w:rsidRPr="005D3E27">
        <w:rPr>
          <w:b/>
          <w:i/>
        </w:rPr>
        <w:t>Úvod</w:t>
      </w:r>
    </w:p>
    <w:p w:rsidR="00381CCA" w:rsidRPr="005D3E27" w:rsidRDefault="00CC63DD">
      <w:pPr>
        <w:pStyle w:val="NormalHanging12a"/>
      </w:pPr>
      <w:r w:rsidRPr="005D3E27">
        <w:t>1.</w:t>
      </w:r>
      <w:r w:rsidRPr="005D3E27">
        <w:tab/>
        <w:t xml:space="preserve">zastáva názor, že občianstvo EÚ zahŕňa spoločnú európsku demokratickú identitu a osobitné práva, občianske povinnosti a slobody, ktoré sú s ňou spojené, a že uplatňovanie týchto práv online aj </w:t>
      </w:r>
      <w:proofErr w:type="spellStart"/>
      <w:r w:rsidRPr="005D3E27">
        <w:t>offline</w:t>
      </w:r>
      <w:proofErr w:type="spellEnd"/>
      <w:r w:rsidRPr="005D3E27">
        <w:t xml:space="preserve"> posilňuje prepojenie občanov s EÚ a jej demokratickú legitimitu a ponúka im dodatočné práva;</w:t>
      </w:r>
    </w:p>
    <w:p w:rsidR="00381CCA" w:rsidRPr="005D3E27" w:rsidRDefault="00CC63DD">
      <w:pPr>
        <w:pStyle w:val="NormalHanging12a"/>
      </w:pPr>
      <w:r w:rsidRPr="005D3E27">
        <w:t>2.</w:t>
      </w:r>
      <w:r w:rsidRPr="005D3E27">
        <w:tab/>
        <w:t xml:space="preserve">poukazuje na to, že budovanie občianstva EÚ musí napredovať, aby bolo možné reagovať na potreby a výzvy EÚ v 21. storočí, pričom berie na vedomie potenciál digitálnych inovácií a potrebu vyváženého prístupu k riešeniu spletitých výziev, ktoré vyplývajú z globalizácie a nových technológií; zdôrazňuje, že digitalizácia demokratických procesov v kombinácii s nedostatočnou digitálnou gramotnosťou a </w:t>
      </w:r>
      <w:r w:rsidRPr="005D3E27">
        <w:lastRenderedPageBreak/>
        <w:t>nedostatočným prístupom k informačným a komunikačným technológiám by mohla prispieť k prehĺbeniu digitálnej priepasti pri výkone občianskych práv, v dôsledku čoho sa európsky projekt časti verejnosti vzdiali;</w:t>
      </w:r>
    </w:p>
    <w:p w:rsidR="00381CCA" w:rsidRPr="005D3E27" w:rsidRDefault="00CC63DD">
      <w:pPr>
        <w:pStyle w:val="NormalHanging12a"/>
        <w:rPr>
          <w:rStyle w:val="doceo-font-family-base"/>
          <w:rFonts w:eastAsiaTheme="minorHAnsi"/>
          <w:b/>
          <w:i/>
        </w:rPr>
      </w:pPr>
      <w:r w:rsidRPr="005D3E27">
        <w:rPr>
          <w:rStyle w:val="doceo-font-family-base"/>
        </w:rPr>
        <w:t>3.</w:t>
      </w:r>
      <w:r w:rsidRPr="005D3E27">
        <w:rPr>
          <w:rStyle w:val="doceo-font-family-base"/>
        </w:rPr>
        <w:tab/>
        <w:t>domnieva sa, že viacjazyčnosť v rámci inštitúcií EÚ a ich interakcia s občanmi predstavuje hlavný aspekt na posilnenie koncepcie občianstva EÚ; v tejto súvislosti zdôrazňuje, že v záveroch Rady z 13. júna 2005 sa uvádza, že jazyky EÚ, ktoré nie sú úradnými jazykmi a ktoré sú uznané v členskom štáte alebo na časti jeho územia, by mohli občania EÚ používať v styku s inštitúciami EÚ, pričom sa môžu oficiálne používať aj v inštitúciách alebo orgánoch EÚ vrátane Európskeho parlamentu;</w:t>
      </w:r>
      <w:r w:rsidRPr="005D3E27">
        <w:rPr>
          <w:rStyle w:val="doceo-font-family-base"/>
          <w:b/>
          <w:i/>
        </w:rPr>
        <w:t xml:space="preserve"> </w:t>
      </w:r>
    </w:p>
    <w:p w:rsidR="00381CCA" w:rsidRPr="005D3E27" w:rsidRDefault="00CC63DD">
      <w:pPr>
        <w:pStyle w:val="NormalHanging12a"/>
        <w:rPr>
          <w:rStyle w:val="doceo-font-family-base"/>
        </w:rPr>
      </w:pPr>
      <w:r w:rsidRPr="005D3E27">
        <w:rPr>
          <w:rStyle w:val="doceo-font-family-base"/>
        </w:rPr>
        <w:t>4.</w:t>
      </w:r>
      <w:r w:rsidRPr="005D3E27">
        <w:rPr>
          <w:rStyle w:val="doceo-font-family-base"/>
        </w:rPr>
        <w:tab/>
        <w:t>poukazuje na to, že Európsky parlament vyzval na vytvorenie štatútu občianstva EÚ</w:t>
      </w:r>
      <w:r w:rsidRPr="005D3E27">
        <w:t xml:space="preserve"> vo svojom uznesení z 12. februára 2019 o vykonávaní ustanovení zmluvy týkajúcich sa občianstva EÚ </w:t>
      </w:r>
      <w:r w:rsidRPr="005D3E27">
        <w:rPr>
          <w:rStyle w:val="doceo-font-family-base"/>
        </w:rPr>
        <w:t>a vo</w:t>
      </w:r>
      <w:r w:rsidRPr="005D3E27">
        <w:t xml:space="preserve"> svojom uznesení z 10. marca 2022 o správe o občianstve EÚ za rok 2020: posilnenie postavenia občanov a ochrana ich práv;</w:t>
      </w:r>
      <w:r w:rsidRPr="005D3E27">
        <w:rPr>
          <w:rStyle w:val="doceo-font-family-base"/>
        </w:rPr>
        <w:t xml:space="preserve"> pripomína, že Konferencia o budúcnosti Európy</w:t>
      </w:r>
      <w:r w:rsidRPr="005D3E27">
        <w:t xml:space="preserve"> zdôraznila význam posilnenia občianstva EÚ </w:t>
      </w:r>
      <w:r w:rsidRPr="005D3E27">
        <w:rPr>
          <w:rStyle w:val="doceo-font-family-base"/>
        </w:rPr>
        <w:t>tým, že vo svojich záveroch uviedla, že takýto štatút by bol užitočným nástrojom na to, aby sa zásady a hodnoty EÚ stali hmatateľnejšími;</w:t>
      </w:r>
    </w:p>
    <w:p w:rsidR="00381CCA" w:rsidRPr="005D3E27" w:rsidRDefault="00CC63DD">
      <w:pPr>
        <w:pStyle w:val="NormalHanging12a"/>
      </w:pPr>
      <w:r w:rsidRPr="005D3E27">
        <w:t>5.</w:t>
      </w:r>
      <w:r w:rsidRPr="005D3E27">
        <w:tab/>
        <w:t>vyjadruje poľutovanie nad tým, že Komisia sa vo svojom oznámení nadväzujúcom na Konferenciu o budúcnosti Európy osobitne nezmienila o posilnení občianstva EÚ ani o možných spôsoboch, ako to dosiahnuť</w:t>
      </w:r>
      <w:r w:rsidRPr="005D3E27">
        <w:rPr>
          <w:rStyle w:val="FootnoteReference"/>
          <w:bCs/>
        </w:rPr>
        <w:footnoteReference w:id="25"/>
      </w:r>
      <w:r w:rsidRPr="005D3E27">
        <w:t>; pripomína, že Rada prejavila ochotu posilniť občianstvo v technickom hodnotení, ktoré uverejnila v súvislosti s Konferenciou o budúcnosti Európy, zatiaľ však nenavrhla, neprijala ani nevykonala žiadne opatrenia na splnenie tohto cieľa;</w:t>
      </w:r>
    </w:p>
    <w:p w:rsidR="00381CCA" w:rsidRPr="005D3E27" w:rsidRDefault="00CC63DD">
      <w:pPr>
        <w:pStyle w:val="NormalHanging12a"/>
      </w:pPr>
      <w:r w:rsidRPr="005D3E27">
        <w:t>6.</w:t>
      </w:r>
      <w:r w:rsidRPr="005D3E27">
        <w:tab/>
        <w:t>pripomína, že Komisia do konca roka uverejní svoju správu o občianstve EÚ za rok 2023, a očakáva, že navrhne nové iniciatívy na posilnenie občianstva EÚ a riešenie nedostatkov v jeho vykonávaní; vyjadruje poľutovanie nad tým, že tentoraz sa Komisia rozhodla uverejniť výzvu na predkladanie podkladov, a nie verejnú konzultáciu, ako to urobila v predchádzajúcich rokoch; pripomína, že výsledky výzvy na predkladanie podkladov neobsahujú komplexný prehľad najnovšieho vývoja a nedostatkov vo vykonávaní; zdôrazňuje, že správa by sa mala vypracovať na základe aktualizovaných údajov;</w:t>
      </w:r>
    </w:p>
    <w:p w:rsidR="00381CCA" w:rsidRPr="005D3E27" w:rsidRDefault="00CC63DD">
      <w:pPr>
        <w:pStyle w:val="NormalHanging12a"/>
        <w:rPr>
          <w:b/>
          <w:i/>
        </w:rPr>
      </w:pPr>
      <w:r w:rsidRPr="005D3E27">
        <w:rPr>
          <w:b/>
          <w:i/>
        </w:rPr>
        <w:t>Problémy súvisiace s občianstvom EÚ</w:t>
      </w:r>
    </w:p>
    <w:p w:rsidR="00381CCA" w:rsidRPr="005D3E27" w:rsidRDefault="00CC63DD">
      <w:pPr>
        <w:pStyle w:val="NormalHanging12a"/>
        <w:rPr>
          <w:bCs/>
        </w:rPr>
      </w:pPr>
      <w:r w:rsidRPr="005D3E27">
        <w:t>7.</w:t>
      </w:r>
      <w:r w:rsidRPr="005D3E27">
        <w:tab/>
        <w:t>vyjadruje znepokojenie nad osobitnými ťažkosťami, ktoré bránia plnému výkonu práv a slobôd vyplývajúcich z občianstva EÚ;</w:t>
      </w:r>
    </w:p>
    <w:p w:rsidR="00381CCA" w:rsidRPr="005D3E27" w:rsidRDefault="00CC63DD">
      <w:pPr>
        <w:pStyle w:val="NormalHanging12a"/>
        <w:rPr>
          <w:b/>
          <w:i/>
        </w:rPr>
      </w:pPr>
      <w:r w:rsidRPr="005D3E27">
        <w:rPr>
          <w:b/>
          <w:i/>
        </w:rPr>
        <w:t>Politické práva</w:t>
      </w:r>
    </w:p>
    <w:p w:rsidR="00381CCA" w:rsidRPr="005D3E27" w:rsidRDefault="00CC63DD">
      <w:pPr>
        <w:pStyle w:val="NormalHanging12a"/>
        <w:rPr>
          <w:rStyle w:val="y2iqfc"/>
        </w:rPr>
      </w:pPr>
      <w:r w:rsidRPr="005D3E27">
        <w:rPr>
          <w:rStyle w:val="y2iqfc"/>
        </w:rPr>
        <w:t>8.</w:t>
      </w:r>
      <w:r w:rsidRPr="005D3E27">
        <w:rPr>
          <w:rStyle w:val="y2iqfc"/>
        </w:rPr>
        <w:tab/>
        <w:t>vyjadruje poľutovanie nad skutočnosťou, že pri migrujúcich občanoch je menej pravdepodobné, že uplatnia svoje právo voliť a kandidovať vo voľbách do Európskeho parlamentu a do orgánov územnej samosprávy v členskom štáte svojho bydliska, a to okrem iného z dôvodov, medzi ktoré patria nedostatočné informácie, jazyková bariéra, ťažkostí s registráciou voličov a nízka miera úspešnosti kandidátov, ktorí nie sú štátnymi príslušníkmi daného štátu;</w:t>
      </w:r>
    </w:p>
    <w:p w:rsidR="00381CCA" w:rsidRPr="005D3E27" w:rsidRDefault="00CC63DD">
      <w:pPr>
        <w:pStyle w:val="NormalHanging12a"/>
      </w:pPr>
      <w:r w:rsidRPr="005D3E27">
        <w:lastRenderedPageBreak/>
        <w:t>9.</w:t>
      </w:r>
      <w:r w:rsidRPr="005D3E27">
        <w:tab/>
        <w:t>vyjadruje hlboké znepokojenie nad praxou niektorých členských štátov, ktoré zbavujú svojich občanov práva voliť v národných parlamentných voľbách, pokiaľ trvalo či dočasne žijú v zahraničí, čo vedie k ich vylúčeniu z politického života tak v krajine ich pôvodu, ako aj v krajine pobytu;</w:t>
      </w:r>
      <w:r w:rsidRPr="005D3E27">
        <w:rPr>
          <w:b/>
          <w:i/>
        </w:rPr>
        <w:t xml:space="preserve"> </w:t>
      </w:r>
    </w:p>
    <w:p w:rsidR="00381CCA" w:rsidRPr="005D3E27" w:rsidRDefault="00CC63DD">
      <w:pPr>
        <w:pStyle w:val="NormalHanging12a"/>
        <w:rPr>
          <w:b/>
          <w:i/>
        </w:rPr>
      </w:pPr>
      <w:r w:rsidRPr="005D3E27">
        <w:rPr>
          <w:b/>
          <w:i/>
        </w:rPr>
        <w:t>Sloboda pohybu a pobytu</w:t>
      </w:r>
    </w:p>
    <w:p w:rsidR="00381CCA" w:rsidRPr="005D3E27" w:rsidRDefault="00CC63DD">
      <w:pPr>
        <w:pStyle w:val="NormalHanging12a"/>
      </w:pPr>
      <w:r w:rsidRPr="005D3E27">
        <w:t>10.</w:t>
      </w:r>
      <w:r w:rsidRPr="005D3E27">
        <w:rPr>
          <w:b/>
          <w:i/>
        </w:rPr>
        <w:tab/>
      </w:r>
      <w:r w:rsidRPr="005D3E27">
        <w:t>zdôrazňuje, že schengenský priestor je jedným z najväčších úspechov EÚ; zdôrazňuje, že by sa mali odstrániť všetky prekážky voľného pohybu v rámci EÚ, aby sa všetkým európskym občanom zabezpečili rovnaké práva spojené s občianstvom EÚ; vyzýva na pristúpenie Rumunska a Bulharska k schengenskému priestoru v súlade s uzneseniami Európskeho parlamentu;</w:t>
      </w:r>
    </w:p>
    <w:p w:rsidR="00381CCA" w:rsidRPr="005D3E27" w:rsidRDefault="00CC63DD">
      <w:pPr>
        <w:pStyle w:val="NormalHanging12a"/>
        <w:rPr>
          <w:b/>
          <w:i/>
        </w:rPr>
      </w:pPr>
      <w:r w:rsidRPr="005D3E27">
        <w:t>11.</w:t>
      </w:r>
      <w:r w:rsidRPr="005D3E27">
        <w:tab/>
      </w:r>
      <w:r w:rsidRPr="005D3E27">
        <w:rPr>
          <w:rStyle w:val="y2iqfc"/>
        </w:rPr>
        <w:t>vyjadruje znepokojenie nad skutočnosťou, že s migrujúcimi občanmi EÚ</w:t>
      </w:r>
      <w:r w:rsidRPr="005D3E27">
        <w:t xml:space="preserve">, najmä s občanmi patriacimi k zraniteľných skupinám, </w:t>
      </w:r>
      <w:r w:rsidRPr="005D3E27">
        <w:rPr>
          <w:rStyle w:val="y2iqfc"/>
        </w:rPr>
        <w:t>zaobchádzajú členské štáty, v ktorých majú títo občania bydlisko, odlišne ako so svojimi štátnymi príslušníkmi, pokiaľ ide o prístup k dávkam; vyzýva členské štáty, aby riadne vykonávali</w:t>
      </w:r>
      <w:r w:rsidRPr="005D3E27">
        <w:t xml:space="preserve"> judikatúru Súdneho dvora EÚ, ktorá takúto diskrimináciu zakazuje;</w:t>
      </w:r>
      <w:r w:rsidRPr="005D3E27">
        <w:rPr>
          <w:b/>
          <w:i/>
        </w:rPr>
        <w:t xml:space="preserve"> </w:t>
      </w:r>
    </w:p>
    <w:p w:rsidR="00381CCA" w:rsidRPr="005D3E27" w:rsidRDefault="00CC63DD">
      <w:pPr>
        <w:pStyle w:val="NormalHanging12a"/>
      </w:pPr>
      <w:r w:rsidRPr="005D3E27">
        <w:t>12.</w:t>
      </w:r>
      <w:r w:rsidRPr="005D3E27">
        <w:rPr>
          <w:b/>
          <w:i/>
        </w:rPr>
        <w:tab/>
      </w:r>
      <w:r w:rsidRPr="005D3E27">
        <w:t xml:space="preserve">vyjadruje znepokojenie nad ťažkosťami a výzvami, ktorým čelia občania žijúci v cezhraničných regiónoch EÚ, najmä v prípade uzavretia hraníc v dôsledku </w:t>
      </w:r>
      <w:proofErr w:type="spellStart"/>
      <w:r w:rsidRPr="005D3E27">
        <w:t>celoúnijných</w:t>
      </w:r>
      <w:proofErr w:type="spellEnd"/>
      <w:r w:rsidRPr="005D3E27">
        <w:t xml:space="preserve"> alebo regionálnych kríz; vyzýva členské štáty, aby v takýchto prípadoch zachovali cezhraničnú spoluprácu a prípadne úzku interakciu s príslušnými miestnymi a regionálnymi orgánmi;</w:t>
      </w:r>
    </w:p>
    <w:p w:rsidR="00381CCA" w:rsidRPr="005D3E27" w:rsidRDefault="00CC63DD">
      <w:pPr>
        <w:pStyle w:val="NormalHanging12a"/>
        <w:rPr>
          <w:b/>
          <w:i/>
        </w:rPr>
      </w:pPr>
      <w:r w:rsidRPr="005D3E27">
        <w:rPr>
          <w:b/>
          <w:i/>
        </w:rPr>
        <w:t>Konzulárna ochrana</w:t>
      </w:r>
    </w:p>
    <w:p w:rsidR="00381CCA" w:rsidRPr="005D3E27" w:rsidRDefault="00CC63DD">
      <w:pPr>
        <w:pStyle w:val="NormalHanging12a"/>
      </w:pPr>
      <w:r w:rsidRPr="005D3E27">
        <w:t>13.</w:t>
      </w:r>
      <w:r w:rsidRPr="005D3E27">
        <w:tab/>
        <w:t>vyjadruje znepokojenie nad nedostatkami vo vykonávaní smernice o konzulárnej ochrane a vo fungovaní konzulárnych sietí členských štátov, pričom konštatuje, že tieto nedostatky sa prehĺbili po vystúpení Spojeného kráľovstva z EÚ; v tejto súvislosti vyjadruje poľutovanie nad tým, že občania EÚ majú v niektorých krajinách mimo EÚ obmedzený prístup ku konzulárnej ochrane a pomoci;</w:t>
      </w:r>
    </w:p>
    <w:p w:rsidR="00381CCA" w:rsidRPr="005D3E27" w:rsidRDefault="00CC63DD">
      <w:pPr>
        <w:pStyle w:val="NormalHanging12a"/>
      </w:pPr>
      <w:r w:rsidRPr="005D3E27">
        <w:t>14.</w:t>
      </w:r>
      <w:r w:rsidRPr="005D3E27">
        <w:tab/>
        <w:t>poukazuje na to, že sa vyskytli prípady, keď dve osoby, ktoré sú štátnymi príslušníkmi dvoch rôznych členských štátov, neboli schopné splniť určité formality (napríklad uzavretie manželstva) na konzulárnom zastúpení jedného z členských štátov, aj keď druhý členský štát nemá v tejto krajine dostupné konzulárne zastúpenie;</w:t>
      </w:r>
    </w:p>
    <w:p w:rsidR="00381CCA" w:rsidRPr="005D3E27" w:rsidRDefault="00CC63DD">
      <w:pPr>
        <w:pStyle w:val="NormalHanging12a"/>
        <w:rPr>
          <w:b/>
          <w:i/>
        </w:rPr>
      </w:pPr>
      <w:r w:rsidRPr="005D3E27">
        <w:rPr>
          <w:b/>
          <w:i/>
        </w:rPr>
        <w:t>Diskriminácia</w:t>
      </w:r>
    </w:p>
    <w:p w:rsidR="00381CCA" w:rsidRPr="005D3E27" w:rsidRDefault="00CC63DD">
      <w:pPr>
        <w:pStyle w:val="NormalHanging12a"/>
      </w:pPr>
      <w:r w:rsidRPr="005D3E27">
        <w:t>15.</w:t>
      </w:r>
      <w:r w:rsidRPr="005D3E27">
        <w:tab/>
        <w:t>domnieva sa, že nejednotnosť pravidiel členských štátov v oblasti nadobudnutia a straty štátneho občianstva vedie k rozdielom, pokiaľ ide o nadobudnutie a stratu občianstva EÚ, a že tieto rozdiely v niektorých prípadoch vedú k porušeniu zásad a hodnôt EÚ;</w:t>
      </w:r>
    </w:p>
    <w:p w:rsidR="00381CCA" w:rsidRPr="005D3E27" w:rsidRDefault="00CC63DD">
      <w:pPr>
        <w:pStyle w:val="NormalHanging12a"/>
      </w:pPr>
      <w:r w:rsidRPr="005D3E27">
        <w:t>16.</w:t>
      </w:r>
      <w:r w:rsidRPr="005D3E27">
        <w:tab/>
        <w:t xml:space="preserve">zdôrazňuje, že stále existuje niekoľko prípadov, keď sa nadobudnutie odvodeného práva na pobyt pre štátnych príslušníkov tretích krajín, ktorých maloletí nezaopatrení rodinní príslušníci sú občanmi EÚ, zamieta i napriek vývoju judikatúry Súdneho dvora EÚ; </w:t>
      </w:r>
    </w:p>
    <w:p w:rsidR="00381CCA" w:rsidRPr="005D3E27" w:rsidRDefault="00CC63DD">
      <w:pPr>
        <w:pStyle w:val="NormalHanging12a"/>
      </w:pPr>
      <w:r w:rsidRPr="005D3E27">
        <w:t>17.</w:t>
      </w:r>
      <w:r w:rsidRPr="005D3E27">
        <w:rPr>
          <w:b/>
        </w:rPr>
        <w:tab/>
      </w:r>
      <w:r w:rsidRPr="005D3E27">
        <w:t xml:space="preserve">opakuje svoje znepokojenie v súvislosti s diskrimináciou párov rovnakého pohlavia a ich detí pri uplatňovaní základného práva na slobodu pohybu v rámci EÚ; </w:t>
      </w:r>
    </w:p>
    <w:p w:rsidR="00381CCA" w:rsidRPr="005D3E27" w:rsidRDefault="00CC63DD">
      <w:pPr>
        <w:pStyle w:val="NormalHanging12a"/>
        <w:rPr>
          <w:b/>
          <w:i/>
        </w:rPr>
      </w:pPr>
      <w:r w:rsidRPr="005D3E27">
        <w:rPr>
          <w:b/>
          <w:i/>
        </w:rPr>
        <w:t>Odporúčania</w:t>
      </w:r>
    </w:p>
    <w:p w:rsidR="00381CCA" w:rsidRPr="005D3E27" w:rsidRDefault="00CC63DD">
      <w:pPr>
        <w:pStyle w:val="NormalHanging12a"/>
      </w:pPr>
      <w:r w:rsidRPr="005D3E27">
        <w:lastRenderedPageBreak/>
        <w:t>18.</w:t>
      </w:r>
      <w:r w:rsidRPr="005D3E27">
        <w:tab/>
        <w:t>vyzýva členské štáty a regionálne a miestne samosprávy, aby v plnej miere vykonávali existujúce smernice o právach migrujúcich občanov a aby vzhľadom na nadchádzajúce európske voľby promptne vyriešili existujúce nedostatky; požaduje, aby sa s cieľom informovať migrujúcich občanov EÚ o ich práve voliť a kandidovať v európskych a komunálnych voľbách v krajine ich pobytu vytvorili cielené vnútroštátne informačné kampane; opakuje svoju výzvu rozšíriť práva migrujúcich občanov na vnútroštátne a regionálne voľby;</w:t>
      </w:r>
    </w:p>
    <w:p w:rsidR="00381CCA" w:rsidRPr="005D3E27" w:rsidRDefault="00CC63DD">
      <w:pPr>
        <w:pStyle w:val="NormalHanging12a"/>
      </w:pPr>
      <w:r w:rsidRPr="005D3E27">
        <w:t>19.</w:t>
      </w:r>
      <w:r w:rsidRPr="005D3E27">
        <w:tab/>
        <w:t>vyzýva členské štáty, aby svojim štátnym príslušníkom žijúcim v zahraničí zaručili právo voliť vo svojej krajine pôvodu, ak je toto právo uznané, a to vytvorením regulačných podmienok, ktoré im umožnia voliť, a odstránením všetkých byrokratických prekážok, ktoré sťažujú výkon tohto práva a niekedy ho znemožňujú; vyzýva najmä členské štáty, aby tieto práva rovnocenne zaručili a odstránili akékoľvek rozdiely v zaobchádzaní so svojimi štátnymi príslušníkmi žijúcimi v zahraničí, pokiaľ ide o hlasovanie na diaľku, predovšetkým hlasovanie poštou; požaduje jednotné uplatňovanie práva voliť vo voľbách do Európskeho parlamentu pre občanov EÚ s pobytom mimo EÚ;</w:t>
      </w:r>
    </w:p>
    <w:p w:rsidR="00381CCA" w:rsidRPr="005D3E27" w:rsidRDefault="00CC63DD">
      <w:pPr>
        <w:pStyle w:val="NormalHanging12a"/>
      </w:pPr>
      <w:r w:rsidRPr="005D3E27">
        <w:t>20.</w:t>
      </w:r>
      <w:r w:rsidRPr="005D3E27">
        <w:tab/>
      </w:r>
      <w:r w:rsidRPr="005D3E27">
        <w:rPr>
          <w:rStyle w:val="doceo-font-family-base"/>
          <w:color w:val="000000"/>
        </w:rPr>
        <w:t>vyzýva Komisiu, aby prijala</w:t>
      </w:r>
      <w:r w:rsidRPr="005D3E27">
        <w:t xml:space="preserve"> nové oznámenie, v ktorom objasní určité kľúčové pojmy obsiahnuté v smernici 2004/38/ES o práve občanov Únie a ich rodinných príslušníkov voľne sa pohybovať a zdržiavať sa v rámci EÚ, s cieľom poskytnúť členským štátom aktuálne usmernenia, ktoré by mohli prispieť k lepšiemu vykonávaniu smernice na vnútroštátnej úrovni, z čoho budú mať prospech občania EÚ aj ich rodinní príslušníci;</w:t>
      </w:r>
    </w:p>
    <w:p w:rsidR="00381CCA" w:rsidRPr="005D3E27" w:rsidRDefault="00CC63DD">
      <w:pPr>
        <w:pStyle w:val="NormalHanging12a"/>
      </w:pPr>
      <w:r w:rsidRPr="005D3E27">
        <w:t>21.</w:t>
      </w:r>
      <w:r w:rsidRPr="005D3E27">
        <w:tab/>
        <w:t>vyzýva EÚ, aby podporila prijatie záväznej európskej charty digitálnych práv vrátane práv týkajúcich sa digitálneho občianstva, pričom bude vychádzať z Európskeho vyhlásenia o digitálnych právach a zásadách v digitálnom desaťročí;</w:t>
      </w:r>
    </w:p>
    <w:p w:rsidR="00381CCA" w:rsidRPr="005D3E27" w:rsidRDefault="00CC63DD">
      <w:pPr>
        <w:pStyle w:val="NormalHanging12a"/>
      </w:pPr>
      <w:r w:rsidRPr="005D3E27">
        <w:t>22.</w:t>
      </w:r>
      <w:r w:rsidRPr="005D3E27">
        <w:tab/>
      </w:r>
      <w:r w:rsidR="00795BF7" w:rsidRPr="005D3E27">
        <w:t>víta návrh Komisie</w:t>
      </w:r>
      <w:r w:rsidRPr="005D3E27">
        <w:t xml:space="preserve"> na aktualizáciu a zlepšenie smernice o konzulárnej ochrane</w:t>
      </w:r>
      <w:r w:rsidR="00795BF7" w:rsidRPr="005D3E27">
        <w:t xml:space="preserve"> s cieľom posilniť právo občanov EÚ na konzulárnu ochranu, najmä v krízových situáciách</w:t>
      </w:r>
      <w:r w:rsidRPr="005D3E27">
        <w:t>, a to aj tým, že sa delegáciám EÚ udelí aktívnejšia úloha pri poskytovaní pomoci nedostatočne zastúpeným občanom EÚ;</w:t>
      </w:r>
    </w:p>
    <w:p w:rsidR="00381CCA" w:rsidRPr="005D3E27" w:rsidRDefault="00CC63DD">
      <w:pPr>
        <w:pStyle w:val="NormalHanging12a"/>
      </w:pPr>
      <w:r w:rsidRPr="005D3E27">
        <w:t>23.</w:t>
      </w:r>
      <w:r w:rsidRPr="005D3E27">
        <w:tab/>
        <w:t>vyzýva členské štáty, aby ukončili programy zlatých víz a systémy pre investorov a akékoľvek ďalšie podobné vnútroštátne systémy, ktoré vedú k nadobudnutiu občianstva daného štátu a zahŕňajú priamy či nepriamy predaj alebo zneužitie občianstva EÚ, pretože ohrozujú samotnú koncepciu občianstva EÚ a porušujú zásady a hodnoty EÚ; naliehavo vyzýva členské štáty, aby zaručili integritu a hodnotu občianstva EÚ; vyzýva Komisiu, aby prijala všetky potrebné opatrenia, ako napr. postúpenie prípadov dotknutých členských štátov Súdnemu dvoru EÚ;</w:t>
      </w:r>
    </w:p>
    <w:p w:rsidR="00381CCA" w:rsidRPr="005D3E27" w:rsidRDefault="00CC63DD">
      <w:pPr>
        <w:pStyle w:val="NormalHanging12a"/>
      </w:pPr>
      <w:r w:rsidRPr="005D3E27">
        <w:t>24.</w:t>
      </w:r>
      <w:r w:rsidRPr="005D3E27">
        <w:rPr>
          <w:b/>
          <w:i/>
        </w:rPr>
        <w:tab/>
      </w:r>
      <w:r w:rsidRPr="005D3E27">
        <w:t xml:space="preserve">žiada v kontexte ďalšej revízie zmlúv, aby sa Európskemu parlamentu a Rade v súlade s riadnym legislatívnym postupom umožnilo prijať spoločné ustanovenia o predchádzaní predaju pasov alebo inému zneužívaniu v súvislosti s nadobudnutím a stratou občianstva EÚ štátnymi príslušníkmi tretích krajín, s cieľom </w:t>
      </w:r>
      <w:proofErr w:type="spellStart"/>
      <w:r w:rsidRPr="005D3E27">
        <w:t>aproximovať</w:t>
      </w:r>
      <w:proofErr w:type="spellEnd"/>
      <w:r w:rsidRPr="005D3E27">
        <w:t xml:space="preserve"> podmienky, za ktorých možno takéto občianstvo nadobudnúť;</w:t>
      </w:r>
    </w:p>
    <w:p w:rsidR="00381CCA" w:rsidRPr="005D3E27" w:rsidRDefault="00CC63DD">
      <w:pPr>
        <w:pStyle w:val="NormalHanging12a"/>
      </w:pPr>
      <w:r w:rsidRPr="005D3E27">
        <w:t>25.</w:t>
      </w:r>
      <w:r w:rsidRPr="005D3E27">
        <w:tab/>
        <w:t xml:space="preserve">vyzýva členské štáty a príslušné orgány, aby upravili aktuálne školské osnovy alebo zaviedli nové osnovy zamerané na výučbu dejín Európy a Európskej únie a jej fungovania s cieľom podporiť aktívne občianstvo a spoločné európske hodnoty a zvýšiť povedomie o pridanej hodnote európanstva a občianstva EÚ; zdôrazňuje, že posilnenie </w:t>
      </w:r>
      <w:r w:rsidRPr="005D3E27">
        <w:lastRenderedPageBreak/>
        <w:t>európskeho rozmeru občianskej výchovy a zabezpečenie rovnakého prístupu pre všetkých, a to aj využitím všetkých digitálnych nástrojov, ktoré máme k dispozícii, umožní občanom EÚ konať ako informovaní občania a plne sa podieľať na občianskom, politickom a spoločenskom živote na európskej aj vnútroštátnej úrovni; zdôrazňuje, že program Erasmus+ môže zohrávať dôležitú úlohu pri podpore vzdelávania o občianstve EÚ prostredníctvom vzdelávacej mobility pre všetkých bez ohľadu na vek, rod, zamestnanie alebo úroveň vzdelania;</w:t>
      </w:r>
    </w:p>
    <w:p w:rsidR="00381CCA" w:rsidRPr="005D3E27" w:rsidRDefault="00CC63DD">
      <w:pPr>
        <w:pStyle w:val="NormalHanging12a"/>
      </w:pPr>
      <w:r w:rsidRPr="005D3E27">
        <w:t>26.</w:t>
      </w:r>
      <w:r w:rsidRPr="005D3E27">
        <w:tab/>
        <w:t xml:space="preserve">vyzýva Komisiu, aby rozvíjala verejné konzultácie prispôsobené všetkým občanom EÚ, najmä mladým ľuďom, s cieľom zvýšiť účasť občanov EÚ; naliehavo vyzýva Komisiu, aby aktualizovala spôsob vedenia verejných konzultácií s cieľom posilniť občiansku angažovanosť a účasť širšieho počtu európskych občanov v súlade s úspešným príkladom Konferencie o budúcnosti Európy; v tejto súvislosti vyzýva Komisiu, aby s využitím nových technológií ďalej zlepšovala portál Vyjadrite svoj názor a aby informovala o tom, ako spätná väzba občanov prispieva k rozličným iniciatívam; </w:t>
      </w:r>
    </w:p>
    <w:p w:rsidR="00381CCA" w:rsidRPr="005D3E27" w:rsidRDefault="00CC63DD">
      <w:pPr>
        <w:pStyle w:val="NormalHanging12a"/>
        <w:shd w:val="clear" w:color="auto" w:fill="FFFFFF" w:themeFill="background1"/>
      </w:pPr>
      <w:r w:rsidRPr="005D3E27">
        <w:t>27.</w:t>
      </w:r>
      <w:r w:rsidRPr="005D3E27">
        <w:tab/>
        <w:t xml:space="preserve">žiada, aby sa vytvorilo jednotné kontaktné miesto pre všetky </w:t>
      </w:r>
      <w:proofErr w:type="spellStart"/>
      <w:r w:rsidRPr="005D3E27">
        <w:t>participatívne</w:t>
      </w:r>
      <w:proofErr w:type="spellEnd"/>
      <w:r w:rsidRPr="005D3E27">
        <w:t xml:space="preserve"> nástroje EÚ, ako sú európska iniciatíva občanov, petície adresované Európskemu parlamentu, sťažnosti európskemu ombudsmanovi, verejné konzultácie a dialóg s občanmi, a aby sa zvýšila efektívnosť týchto nástrojov, a to najmä zabezpečím toho, aby prispievali k tvorbe európskej agendy, pričom sa zároveň zaručí posilnenie zastupiteľskej demokracie v rozhodovacom procese; vyzýva Komisiu, členské štáty a regionálne a miestne samosprávy, aby zvýšili svoje úsilie pri informovaní verejnosti o existujúcich </w:t>
      </w:r>
      <w:proofErr w:type="spellStart"/>
      <w:r w:rsidRPr="005D3E27">
        <w:t>participatívnych</w:t>
      </w:r>
      <w:proofErr w:type="spellEnd"/>
      <w:r w:rsidRPr="005D3E27">
        <w:t xml:space="preserve"> nástrojoch; </w:t>
      </w:r>
    </w:p>
    <w:p w:rsidR="00381CCA" w:rsidRPr="005D3E27" w:rsidRDefault="00CC63DD">
      <w:pPr>
        <w:pStyle w:val="NormalHanging12a"/>
        <w:shd w:val="clear" w:color="auto" w:fill="FFFFFF" w:themeFill="background1"/>
      </w:pPr>
      <w:r w:rsidRPr="005D3E27">
        <w:t>28.</w:t>
      </w:r>
      <w:r w:rsidRPr="005D3E27">
        <w:tab/>
        <w:t>opakuje svoj návrh vytvoriť stály mechanizmus konzultácií s občanmi, ktorý by občanom, najmä mladým ľuďom, umožnil diskutovať o prioritách a politikách EÚ, čím by sa okrem iného prispelo k uplatňovaniu kontroly právnych predpisov z hľadiska mládeže s cieľom doplniť zastupiteľskú parlamentnú demokraciu, no nenahrádzať ju; navrhuje, aby zástupcovia Európskeho parlamentu boli informovaní o týchto diskusiách a v prípade potreby tak mohli posúdiť, či je potrebné prijať nadväzujúce opatrenia;</w:t>
      </w:r>
    </w:p>
    <w:p w:rsidR="00381CCA" w:rsidRPr="005D3E27" w:rsidRDefault="00CC63DD">
      <w:pPr>
        <w:pStyle w:val="NormalHanging12a"/>
      </w:pPr>
      <w:r w:rsidRPr="005D3E27">
        <w:t>29.</w:t>
      </w:r>
      <w:r w:rsidRPr="005D3E27">
        <w:tab/>
        <w:t xml:space="preserve">navrhuje zvážiť zavedenie európskeho občianskeho preukazu, ktorý by mohol, napríklad, uľahčiť uplatňovanie občianskych práv a hlasovanie vo voľbách do Európskeho parlamentu, ako aj využívanie </w:t>
      </w:r>
      <w:proofErr w:type="spellStart"/>
      <w:r w:rsidRPr="005D3E27">
        <w:t>participatívnych</w:t>
      </w:r>
      <w:proofErr w:type="spellEnd"/>
      <w:r w:rsidRPr="005D3E27">
        <w:t xml:space="preserve"> nástrojov;</w:t>
      </w:r>
    </w:p>
    <w:p w:rsidR="00381CCA" w:rsidRPr="005D3E27" w:rsidRDefault="00CC63DD">
      <w:pPr>
        <w:pStyle w:val="NormalHanging12a"/>
        <w:shd w:val="clear" w:color="auto" w:fill="FFFFFF" w:themeFill="background1"/>
      </w:pPr>
      <w:r w:rsidRPr="005D3E27">
        <w:t>30.</w:t>
      </w:r>
      <w:r w:rsidRPr="005D3E27">
        <w:rPr>
          <w:b/>
          <w:i/>
        </w:rPr>
        <w:tab/>
      </w:r>
      <w:r w:rsidRPr="005D3E27">
        <w:t xml:space="preserve">zdôrazňuje významnú úlohu kancelárií </w:t>
      </w:r>
      <w:proofErr w:type="spellStart"/>
      <w:r w:rsidRPr="005D3E27">
        <w:t>Europe</w:t>
      </w:r>
      <w:proofErr w:type="spellEnd"/>
      <w:r w:rsidRPr="005D3E27">
        <w:t xml:space="preserve"> </w:t>
      </w:r>
      <w:proofErr w:type="spellStart"/>
      <w:r w:rsidRPr="005D3E27">
        <w:t>Direct</w:t>
      </w:r>
      <w:proofErr w:type="spellEnd"/>
      <w:r w:rsidRPr="005D3E27">
        <w:t xml:space="preserve"> pri zvyšovaní účasti občanov na miestnej úrovni na demokratickom živote EÚ; nabáda členské štáty a subjekty na regionálnej a miestnej úrovni, aby s týmito kanceláriami zintenzívnili spoluprácu;</w:t>
      </w:r>
    </w:p>
    <w:p w:rsidR="00381CCA" w:rsidRPr="005D3E27" w:rsidRDefault="00CC63DD">
      <w:pPr>
        <w:pStyle w:val="NormalHanging12a"/>
      </w:pPr>
      <w:r w:rsidRPr="005D3E27">
        <w:t>31.</w:t>
      </w:r>
      <w:r w:rsidRPr="005D3E27">
        <w:rPr>
          <w:b/>
          <w:i/>
        </w:rPr>
        <w:tab/>
      </w:r>
      <w:r w:rsidRPr="005D3E27">
        <w:t xml:space="preserve">vyzýva Komisiu, aby intenzívnejšie využívala sociálne médiá a digitálne nástroje s osobitným dôrazom na zvýšenie zapojenia mladých ľudí a osôb so zdravotným postihnutím do demokratického procesu a tým podporila ich angažovanosť, pričom berie na vedomie aj znížený vek voličov v členských štátoch pri voľbách do Európskeho parlamentu; v tejto súvislosti vyzýva Komisiu, aby posilnila podporu demokratickej účasti zintenzívnením dialógu s občanmi a zvyšovaním informovanosti občanov o vplyve právnych predpisov EÚ na ich každodenný život; </w:t>
      </w:r>
    </w:p>
    <w:p w:rsidR="00381CCA" w:rsidRPr="005D3E27" w:rsidRDefault="00CC63DD">
      <w:pPr>
        <w:pStyle w:val="NormalHanging12a"/>
      </w:pPr>
      <w:r w:rsidRPr="005D3E27">
        <w:t>32.</w:t>
      </w:r>
      <w:r w:rsidRPr="005D3E27">
        <w:rPr>
          <w:b/>
          <w:i/>
        </w:rPr>
        <w:tab/>
      </w:r>
      <w:r w:rsidRPr="005D3E27">
        <w:t xml:space="preserve">domnieva sa, že vzhľadom na rastúci vplyv digitálnej sféry na život občanov, najmä vplyv sociálnych médií a umelej inteligencie, je naďalej nevyhnutné, aby sa členské štáty a európske inštitúcie neustále zameriavali na vytváranie nových verejných politík a </w:t>
      </w:r>
      <w:r w:rsidRPr="005D3E27">
        <w:lastRenderedPageBreak/>
        <w:t>vykonávanie účinných mechanizmov na ochranu základných práv online a na boj proti zahraničnému zasahovaniu a dezinformáciám, pretože predstavujú existenčné hrozby pre demokraciu a samotný výkon</w:t>
      </w:r>
      <w:r w:rsidRPr="005D3E27">
        <w:rPr>
          <w:b/>
          <w:i/>
        </w:rPr>
        <w:t xml:space="preserve"> </w:t>
      </w:r>
      <w:r w:rsidRPr="005D3E27">
        <w:t xml:space="preserve">práv občanov; </w:t>
      </w:r>
    </w:p>
    <w:p w:rsidR="00381CCA" w:rsidRPr="005D3E27" w:rsidRDefault="00CC63DD">
      <w:pPr>
        <w:spacing w:after="240"/>
        <w:ind w:left="567" w:hanging="567"/>
        <w:rPr>
          <w:rFonts w:eastAsiaTheme="minorHAnsi" w:cstheme="minorBidi"/>
          <w:szCs w:val="22"/>
        </w:rPr>
      </w:pPr>
      <w:r w:rsidRPr="005D3E27">
        <w:t>33.</w:t>
      </w:r>
      <w:r w:rsidRPr="005D3E27">
        <w:tab/>
        <w:t>naliehavo vyzýva Radu a Komisiu, aby obnovili rokovania o revízii nariadenia (ES) č. 1049/2001</w:t>
      </w:r>
      <w:r w:rsidRPr="005D3E27">
        <w:rPr>
          <w:rFonts w:eastAsiaTheme="minorHAnsi" w:cstheme="minorBidi"/>
          <w:szCs w:val="22"/>
          <w:vertAlign w:val="superscript"/>
          <w:lang w:eastAsia="en-US"/>
        </w:rPr>
        <w:footnoteReference w:id="26"/>
      </w:r>
      <w:r w:rsidRPr="005D3E27">
        <w:t xml:space="preserve"> s cieľom zabezpečiť, aby občania EÚ mohli v plnej miere uplatňovať svoje právo na prístup k dokumentom a kontrolovať inštitúcie, orgány, úrady a agentúry EÚ.</w:t>
      </w:r>
    </w:p>
    <w:p w:rsidR="00381CCA" w:rsidRPr="005D3E27" w:rsidRDefault="00CC63DD">
      <w:pPr>
        <w:pStyle w:val="AMNumberTabs"/>
        <w:keepNext/>
        <w:spacing w:before="0" w:after="240"/>
        <w:ind w:left="567" w:hanging="567"/>
        <w:jc w:val="both"/>
        <w:rPr>
          <w:rStyle w:val="doceo-font-family-base"/>
          <w:rFonts w:eastAsiaTheme="minorHAnsi"/>
          <w:b w:val="0"/>
          <w:color w:val="000000"/>
          <w:szCs w:val="24"/>
        </w:rPr>
      </w:pPr>
      <w:r w:rsidRPr="005D3E27">
        <w:rPr>
          <w:rStyle w:val="doceo-font-family-base"/>
          <w:b w:val="0"/>
          <w:color w:val="000000"/>
        </w:rPr>
        <w:t>34.</w:t>
      </w:r>
      <w:r w:rsidRPr="005D3E27">
        <w:rPr>
          <w:rStyle w:val="doceo-font-family-base"/>
          <w:color w:val="000000"/>
        </w:rPr>
        <w:tab/>
      </w:r>
      <w:r w:rsidRPr="005D3E27">
        <w:rPr>
          <w:b w:val="0"/>
        </w:rPr>
        <w:t>opakuje, že je potrebné vypracovať štatút občianstva EÚ na základe článku 25 ZFEÚ, v ktorom sa zhrnú existujúce a budúce občianske práva s cieľom posilniť vykonateľnosť občianskych práv a zaručiť rovnosť občanov, zlepšiť súdržnosť a reagovať na sociálne, hospodárske, politické a digitálne zmeny; pripomína, že by sa to malo uskutočniť v rámci zmlúv</w:t>
      </w:r>
      <w:r w:rsidRPr="005D3E27">
        <w:rPr>
          <w:rStyle w:val="doceo-font-family-base"/>
          <w:b w:val="0"/>
          <w:color w:val="000000"/>
        </w:rPr>
        <w:t xml:space="preserve">; </w:t>
      </w:r>
    </w:p>
    <w:p w:rsidR="00381CCA" w:rsidRPr="005D3E27" w:rsidRDefault="00CC63DD">
      <w:pPr>
        <w:pStyle w:val="AMNumberTabs"/>
        <w:keepNext/>
        <w:ind w:left="567" w:hanging="567"/>
        <w:jc w:val="both"/>
        <w:rPr>
          <w:b w:val="0"/>
        </w:rPr>
      </w:pPr>
      <w:r w:rsidRPr="005D3E27">
        <w:rPr>
          <w:b w:val="0"/>
        </w:rPr>
        <w:t>35.</w:t>
      </w:r>
      <w:r w:rsidRPr="005D3E27">
        <w:rPr>
          <w:b w:val="0"/>
        </w:rPr>
        <w:tab/>
        <w:t xml:space="preserve">navrhuje, aby v oblasti účasti a politických práv, slobody pohybu a digitálneho občianstva a v súlade s existujúcimi a budúcimi právnymi predpismi EÚ mali občania najmä: </w:t>
      </w:r>
    </w:p>
    <w:p w:rsidR="00381CCA" w:rsidRPr="005D3E27" w:rsidRDefault="00CC63DD" w:rsidP="00D876F5">
      <w:pPr>
        <w:pStyle w:val="AMNumberTabs"/>
        <w:keepNext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ind w:left="1134" w:hanging="567"/>
        <w:rPr>
          <w:b w:val="0"/>
        </w:rPr>
      </w:pPr>
      <w:r w:rsidRPr="005D3E27">
        <w:rPr>
          <w:b w:val="0"/>
        </w:rPr>
        <w:t xml:space="preserve">– </w:t>
      </w:r>
      <w:r w:rsidRPr="005D3E27">
        <w:rPr>
          <w:b w:val="0"/>
        </w:rPr>
        <w:tab/>
        <w:t xml:space="preserve">demokratické a rodovo vyvážené zastúpenie na volebných zoznamoch, </w:t>
      </w:r>
    </w:p>
    <w:p w:rsidR="00381CCA" w:rsidRPr="005D3E27" w:rsidRDefault="00CC63DD" w:rsidP="00D876F5">
      <w:pPr>
        <w:pStyle w:val="AMNumberTabs"/>
        <w:keepNext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ind w:left="1134" w:hanging="567"/>
        <w:rPr>
          <w:b w:val="0"/>
        </w:rPr>
      </w:pPr>
      <w:r w:rsidRPr="005D3E27">
        <w:rPr>
          <w:b w:val="0"/>
        </w:rPr>
        <w:t xml:space="preserve">– </w:t>
      </w:r>
      <w:r w:rsidRPr="005D3E27">
        <w:rPr>
          <w:b w:val="0"/>
        </w:rPr>
        <w:tab/>
        <w:t xml:space="preserve">stálu interaktívnu digitálnu platformu, prostredníctvom ktorej môžu občania predkladať svoje návrhy a nápady vo všetkých úradných jazykoch EÚ, </w:t>
      </w:r>
    </w:p>
    <w:p w:rsidR="00381CCA" w:rsidRPr="005D3E27" w:rsidRDefault="00CC63DD" w:rsidP="00D876F5">
      <w:pPr>
        <w:pStyle w:val="AMNumberTabs"/>
        <w:keepNext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ind w:left="1134" w:hanging="567"/>
        <w:rPr>
          <w:b w:val="0"/>
        </w:rPr>
      </w:pPr>
      <w:r w:rsidRPr="005D3E27">
        <w:rPr>
          <w:b w:val="0"/>
        </w:rPr>
        <w:t xml:space="preserve">– </w:t>
      </w:r>
      <w:r w:rsidRPr="005D3E27">
        <w:rPr>
          <w:b w:val="0"/>
        </w:rPr>
        <w:tab/>
        <w:t xml:space="preserve">uznané obdobia štúdia, a nielen kvalifikácií a odbornej spôsobilosti, ako rovnocenného obdobia štúdia umožňujúceho pracovať v inom členskom štáte, </w:t>
      </w:r>
    </w:p>
    <w:p w:rsidR="00381CCA" w:rsidRPr="005D3E27" w:rsidRDefault="00CC63DD" w:rsidP="00D876F5">
      <w:pPr>
        <w:pStyle w:val="AMNumberTabs"/>
        <w:keepNext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ind w:left="1134" w:hanging="567"/>
        <w:rPr>
          <w:b w:val="0"/>
        </w:rPr>
      </w:pPr>
      <w:r w:rsidRPr="005D3E27">
        <w:rPr>
          <w:b w:val="0"/>
        </w:rPr>
        <w:t xml:space="preserve">– </w:t>
      </w:r>
      <w:r w:rsidRPr="005D3E27">
        <w:rPr>
          <w:b w:val="0"/>
        </w:rPr>
        <w:tab/>
        <w:t xml:space="preserve">všeobecný prístup na internet s cieľom zabezpečiť začlenenie občanov a ich rovnaký prístup k digitálnemu prostrediu, </w:t>
      </w:r>
    </w:p>
    <w:p w:rsidR="00381CCA" w:rsidRPr="005D3E27" w:rsidRDefault="00CC63DD" w:rsidP="00D876F5">
      <w:pPr>
        <w:pStyle w:val="AMNumberTabs"/>
        <w:keepNext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ind w:left="1134" w:hanging="567"/>
        <w:rPr>
          <w:b w:val="0"/>
        </w:rPr>
      </w:pPr>
      <w:r w:rsidRPr="005D3E27">
        <w:rPr>
          <w:b w:val="0"/>
        </w:rPr>
        <w:t xml:space="preserve">– </w:t>
      </w:r>
      <w:r w:rsidRPr="005D3E27">
        <w:rPr>
          <w:b w:val="0"/>
        </w:rPr>
        <w:tab/>
        <w:t xml:space="preserve">správu vlastnej digitálnej identity presahujúcu rámec ochrany, ktorá už existuje v súvislosti s osobnými údajmi v digitálnom prostredí, </w:t>
      </w:r>
    </w:p>
    <w:p w:rsidR="00381CCA" w:rsidRPr="005D3E27" w:rsidRDefault="00CC63DD" w:rsidP="00D876F5">
      <w:pPr>
        <w:pStyle w:val="AMNumberTabs"/>
        <w:keepNext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ind w:left="1134" w:hanging="567"/>
        <w:rPr>
          <w:b w:val="0"/>
        </w:rPr>
      </w:pPr>
      <w:r w:rsidRPr="005D3E27">
        <w:rPr>
          <w:b w:val="0"/>
        </w:rPr>
        <w:t xml:space="preserve">– </w:t>
      </w:r>
      <w:r w:rsidRPr="005D3E27">
        <w:rPr>
          <w:b w:val="0"/>
        </w:rPr>
        <w:tab/>
        <w:t xml:space="preserve">digitálne dedičstvo digitálnych údajov zosnulej osoby, </w:t>
      </w:r>
    </w:p>
    <w:p w:rsidR="00381CCA" w:rsidRPr="005D3E27" w:rsidRDefault="00CC63DD" w:rsidP="00D876F5">
      <w:pPr>
        <w:pStyle w:val="AMNumberTabs"/>
        <w:keepNext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ind w:left="1134" w:hanging="567"/>
        <w:rPr>
          <w:b w:val="0"/>
        </w:rPr>
      </w:pPr>
      <w:r w:rsidRPr="005D3E27">
        <w:rPr>
          <w:b w:val="0"/>
        </w:rPr>
        <w:t xml:space="preserve">– </w:t>
      </w:r>
      <w:r w:rsidRPr="005D3E27">
        <w:rPr>
          <w:b w:val="0"/>
        </w:rPr>
        <w:tab/>
        <w:t xml:space="preserve">vývoj systémov umelej inteligencie, ktoré sú bezpečné, transparentné, </w:t>
      </w:r>
      <w:proofErr w:type="spellStart"/>
      <w:r w:rsidRPr="005D3E27">
        <w:rPr>
          <w:b w:val="0"/>
        </w:rPr>
        <w:t>vysledovateľné</w:t>
      </w:r>
      <w:proofErr w:type="spellEnd"/>
      <w:r w:rsidRPr="005D3E27">
        <w:rPr>
          <w:b w:val="0"/>
        </w:rPr>
        <w:t xml:space="preserve"> a kontrolované ľuďmi a regulačnými inštitúciami;</w:t>
      </w:r>
    </w:p>
    <w:p w:rsidR="00381CCA" w:rsidRPr="005D3E27" w:rsidRDefault="00CC63DD">
      <w:pPr>
        <w:pStyle w:val="NormalHanging12a"/>
        <w:spacing w:before="240" w:after="0"/>
        <w:rPr>
          <w:rStyle w:val="doceo-font-family-base"/>
          <w:color w:val="000000"/>
          <w:u w:val="single"/>
        </w:rPr>
      </w:pPr>
      <w:r w:rsidRPr="005D3E27">
        <w:rPr>
          <w:rStyle w:val="doceo-font-family-base"/>
          <w:color w:val="000000"/>
        </w:rPr>
        <w:t>36.</w:t>
      </w:r>
      <w:r w:rsidRPr="005D3E27">
        <w:rPr>
          <w:rStyle w:val="doceo-font-family-base"/>
          <w:color w:val="000000"/>
        </w:rPr>
        <w:tab/>
      </w:r>
      <w:r w:rsidRPr="005D3E27">
        <w:t>žiada, aby sa do štatútu občianstva EÚ zahrnula horizontálna doložka o nediskriminácii ako dodatočná záruka rovnosti pri výkone občianskych práv s cieľom zabezpečiť nediskrimináciu a chrániť občanov, najmä príslušníkov zraniteľných a marginalizovaných skupín a osoby žijúce v cezhraničných regiónoch EÚ;</w:t>
      </w:r>
    </w:p>
    <w:p w:rsidR="00381CCA" w:rsidRPr="005D3E27" w:rsidRDefault="00CC63DD">
      <w:pPr>
        <w:pStyle w:val="NormalHanging12a"/>
        <w:spacing w:before="240" w:after="0"/>
        <w:rPr>
          <w:rStyle w:val="doceo-font-family-base"/>
          <w:color w:val="000000"/>
          <w:szCs w:val="24"/>
        </w:rPr>
      </w:pPr>
      <w:r w:rsidRPr="005D3E27">
        <w:rPr>
          <w:rStyle w:val="doceo-font-family-base"/>
          <w:color w:val="000000"/>
        </w:rPr>
        <w:t>37.</w:t>
      </w:r>
      <w:r w:rsidRPr="005D3E27">
        <w:rPr>
          <w:rStyle w:val="doceo-font-family-base"/>
          <w:color w:val="000000"/>
        </w:rPr>
        <w:tab/>
        <w:t>vyzýva Komisiu, aby uskutočnila cielené kampane na zvyšovanie informovanosti o</w:t>
      </w:r>
      <w:r w:rsidRPr="005D3E27">
        <w:t xml:space="preserve"> právach a občianskych povinnostiach vyplývajúcich z </w:t>
      </w:r>
      <w:r w:rsidRPr="005D3E27">
        <w:rPr>
          <w:rStyle w:val="doceo-font-family-base"/>
          <w:color w:val="000000"/>
        </w:rPr>
        <w:t xml:space="preserve">občianstva EÚ a štatútu, a to okrem iného zavedením balíka EÚ na informovanie o občianstve EÚ, a aby na občianstvo EÚ vyčlenila viac zdrojov; zdôrazňuje, že vďaka digitálnej a technologickej revolúcii sa občania stali skutočnými piliermi našich demokratických systémov a budú tými, ktorí ich budú brániť; </w:t>
      </w:r>
    </w:p>
    <w:p w:rsidR="00381CCA" w:rsidRPr="005D3E27" w:rsidRDefault="00CC63DD">
      <w:pPr>
        <w:pStyle w:val="NormalHanging12a"/>
        <w:spacing w:before="240" w:after="0"/>
        <w:rPr>
          <w:rStyle w:val="doceo-font-family-base"/>
          <w:color w:val="000000"/>
          <w:szCs w:val="24"/>
        </w:rPr>
      </w:pPr>
      <w:r w:rsidRPr="005D3E27">
        <w:rPr>
          <w:rStyle w:val="doceo-font-family-base"/>
          <w:color w:val="000000"/>
        </w:rPr>
        <w:lastRenderedPageBreak/>
        <w:t>38.</w:t>
      </w:r>
      <w:r w:rsidRPr="005D3E27">
        <w:rPr>
          <w:rStyle w:val="doceo-font-family-base"/>
          <w:color w:val="000000"/>
        </w:rPr>
        <w:tab/>
      </w:r>
      <w:r w:rsidR="00AC050E" w:rsidRPr="005D3E27">
        <w:t>berie na vedomie balík opatrení v oblasti občianstva, najmä správu o občianstve EÚ za rok 2023, ktorú Komisia uverejnila 6. decembra 2023, s cieľom ďalej rozvíjať občianstvo EÚ a zviditeľniť ho pre občanov EÚ;</w:t>
      </w:r>
      <w:r w:rsidR="00AC050E" w:rsidRPr="005D3E27">
        <w:rPr>
          <w:b/>
          <w:i/>
        </w:rPr>
        <w:t xml:space="preserve"> </w:t>
      </w:r>
      <w:r w:rsidRPr="005D3E27">
        <w:rPr>
          <w:rStyle w:val="doceo-font-family-base"/>
          <w:color w:val="000000"/>
        </w:rPr>
        <w:t xml:space="preserve">vyzýva Komisiu, aby zohľadnila </w:t>
      </w:r>
      <w:r w:rsidR="00AC050E" w:rsidRPr="005D3E27">
        <w:rPr>
          <w:rStyle w:val="doceo-font-family-base"/>
          <w:color w:val="000000"/>
        </w:rPr>
        <w:t xml:space="preserve">odporúčania uvedené </w:t>
      </w:r>
      <w:r w:rsidRPr="005D3E27">
        <w:rPr>
          <w:rStyle w:val="doceo-font-family-base"/>
          <w:color w:val="000000"/>
        </w:rPr>
        <w:t>v </w:t>
      </w:r>
      <w:r w:rsidR="00AC050E" w:rsidRPr="005D3E27">
        <w:rPr>
          <w:rStyle w:val="doceo-font-family-base"/>
          <w:color w:val="000000"/>
        </w:rPr>
        <w:t xml:space="preserve">tejto </w:t>
      </w:r>
      <w:r w:rsidRPr="005D3E27">
        <w:rPr>
          <w:rStyle w:val="doceo-font-family-base"/>
          <w:color w:val="000000"/>
        </w:rPr>
        <w:t xml:space="preserve">správe </w:t>
      </w:r>
      <w:r w:rsidRPr="005D3E27">
        <w:t>a aby prijala kroky potrebné na ich vykonanie v súlade s</w:t>
      </w:r>
      <w:r w:rsidRPr="005D3E27">
        <w:rPr>
          <w:rStyle w:val="doceo-font-family-base"/>
          <w:color w:val="000000"/>
        </w:rPr>
        <w:t> postupom stanoveným v zmluvách</w:t>
      </w:r>
      <w:r w:rsidRPr="005D3E27">
        <w:t>;</w:t>
      </w:r>
    </w:p>
    <w:p w:rsidR="00381CCA" w:rsidRPr="005D3E27" w:rsidRDefault="00CC63DD">
      <w:pPr>
        <w:pStyle w:val="NormalHanging12a"/>
        <w:spacing w:before="240" w:after="0"/>
      </w:pPr>
      <w:r w:rsidRPr="005D3E27">
        <w:rPr>
          <w:rStyle w:val="doceo-font-family-base"/>
          <w:color w:val="000000"/>
        </w:rPr>
        <w:t>39.</w:t>
      </w:r>
      <w:r w:rsidRPr="005D3E27">
        <w:rPr>
          <w:rStyle w:val="doceo-font-family-base"/>
          <w:color w:val="000000"/>
        </w:rPr>
        <w:tab/>
        <w:t>o</w:t>
      </w:r>
      <w:r w:rsidRPr="005D3E27">
        <w:t>pakuje svoju výzvu na zvolanie konventu na revíziu zmlúv, ako sa stanovuje v článku 48 Zmluvy o EÚ; vyjadruje pevné presvedčenie, že konvent by mal dôkladne posúdiť, ako by sa mohlo občianstvo EÚ ďalej posilniť;</w:t>
      </w:r>
    </w:p>
    <w:p w:rsidR="00381CCA" w:rsidRPr="005D3E27" w:rsidRDefault="00CC63DD">
      <w:pPr>
        <w:pStyle w:val="NormalHanging12a"/>
        <w:jc w:val="center"/>
      </w:pPr>
      <w:r w:rsidRPr="005D3E27">
        <w:t>°</w:t>
      </w:r>
    </w:p>
    <w:p w:rsidR="00381CCA" w:rsidRPr="005D3E27" w:rsidRDefault="00CC63DD">
      <w:pPr>
        <w:pStyle w:val="NormalHanging12a"/>
        <w:jc w:val="center"/>
      </w:pPr>
      <w:r w:rsidRPr="005D3E27">
        <w:t>°</w:t>
      </w:r>
      <w:r w:rsidRPr="005D3E27">
        <w:tab/>
        <w:t>°</w:t>
      </w:r>
    </w:p>
    <w:p w:rsidR="00381CCA" w:rsidRPr="005D3E27" w:rsidRDefault="00CC63DD">
      <w:pPr>
        <w:pStyle w:val="NormalHanging12a"/>
        <w:rPr>
          <w:rFonts w:eastAsiaTheme="minorHAnsi"/>
        </w:rPr>
      </w:pPr>
      <w:r w:rsidRPr="005D3E27">
        <w:t>40.</w:t>
      </w:r>
      <w:r w:rsidRPr="005D3E27">
        <w:tab/>
        <w:t>poveruje svoju predsedníčku, aby postúpila toto uznesenie Rade a Komisii.</w:t>
      </w:r>
    </w:p>
    <w:p w:rsidR="00381CCA" w:rsidRPr="005D3E27" w:rsidRDefault="00381CCA"/>
    <w:p w:rsidR="00381CCA" w:rsidRPr="005D3E27" w:rsidRDefault="00381CCA">
      <w:bookmarkStart w:id="9" w:name="TextBodyEnd"/>
      <w:bookmarkEnd w:id="9"/>
    </w:p>
    <w:sectPr w:rsidR="00381CCA" w:rsidRPr="005D3E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CCA" w:rsidRDefault="00CC63DD">
      <w:r>
        <w:separator/>
      </w:r>
    </w:p>
  </w:endnote>
  <w:endnote w:type="continuationSeparator" w:id="0">
    <w:p w:rsidR="00381CCA" w:rsidRDefault="00CC6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CCA" w:rsidRDefault="00381CC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CCA" w:rsidRDefault="00381CC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CCA" w:rsidRDefault="00381C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CCA" w:rsidRDefault="00CC63DD">
      <w:r>
        <w:separator/>
      </w:r>
    </w:p>
  </w:footnote>
  <w:footnote w:type="continuationSeparator" w:id="0">
    <w:p w:rsidR="00381CCA" w:rsidRDefault="00CC63DD">
      <w:r>
        <w:continuationSeparator/>
      </w:r>
    </w:p>
  </w:footnote>
  <w:footnote w:id="1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158, 30.4.2004, s. 77.</w:t>
      </w:r>
    </w:p>
  </w:footnote>
  <w:footnote w:id="2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L 156, 5.5.2021, s. 1</w:t>
      </w:r>
      <w:r>
        <w:rPr>
          <w:rStyle w:val="Emphasis"/>
          <w:color w:val="333333"/>
          <w:sz w:val="24"/>
          <w:shd w:val="clear" w:color="auto" w:fill="FFFFFF"/>
          <w:lang w:val="sk-SK"/>
        </w:rPr>
        <w:t>.</w:t>
      </w:r>
    </w:p>
  </w:footnote>
  <w:footnote w:id="3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141, 27.5.2011, s. 1.</w:t>
      </w:r>
    </w:p>
  </w:footnote>
  <w:footnote w:id="4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186, 11.7.2019, s. 21.</w:t>
      </w:r>
    </w:p>
  </w:footnote>
  <w:footnote w:id="5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L 173, 9.7.2018, s. 16.</w:t>
      </w:r>
    </w:p>
  </w:footnote>
  <w:footnote w:id="6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107, 22.4.2016, s. 1.</w:t>
      </w:r>
    </w:p>
  </w:footnote>
  <w:footnote w:id="7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354, 28.12.2013, s. 132.</w:t>
      </w:r>
    </w:p>
  </w:footnote>
  <w:footnote w:id="8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106, 24.4.2015, s. 1.</w:t>
      </w:r>
    </w:p>
  </w:footnote>
  <w:footnote w:id="9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163, 20.6.2019, s. 1.</w:t>
      </w:r>
    </w:p>
  </w:footnote>
  <w:footnote w:id="10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130, 17.5.2019, s. 55.</w:t>
      </w:r>
    </w:p>
  </w:footnote>
  <w:footnote w:id="11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231, 17.7.2020, s. 7.</w:t>
      </w:r>
    </w:p>
  </w:footnote>
  <w:footnote w:id="12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C 283, 11.8.2023, s. 76.</w:t>
      </w:r>
    </w:p>
  </w:footnote>
  <w:footnote w:id="13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283, 11.8.2023, s. 100.</w:t>
      </w:r>
    </w:p>
  </w:footnote>
  <w:footnote w:id="14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C 449, 23.12.2020, s. 6.</w:t>
      </w:r>
    </w:p>
  </w:footnote>
  <w:footnote w:id="15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C 347, 9.9.2022, s. 97.</w:t>
      </w:r>
    </w:p>
  </w:footnote>
  <w:footnote w:id="16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 C 347, 9.9.2022, s. 202.</w:t>
      </w:r>
    </w:p>
  </w:footnote>
  <w:footnote w:id="17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P9_TA(2023)0230.</w:t>
      </w:r>
    </w:p>
  </w:footnote>
  <w:footnote w:id="18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P9_TA(2023)0330.</w:t>
      </w:r>
    </w:p>
  </w:footnote>
  <w:footnote w:id="19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99, 1.3.2022, s. 96.</w:t>
      </w:r>
    </w:p>
  </w:footnote>
  <w:footnote w:id="20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347, 9.9.2022, s. 110.</w:t>
      </w:r>
    </w:p>
  </w:footnote>
  <w:footnote w:id="21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 C 263, 25.7.2018, s. 98.</w:t>
      </w:r>
    </w:p>
  </w:footnote>
  <w:footnote w:id="22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proofErr w:type="spellStart"/>
      <w:r>
        <w:rPr>
          <w:sz w:val="24"/>
          <w:lang w:val="sk-SK"/>
        </w:rPr>
        <w:t>Eurostat</w:t>
      </w:r>
      <w:proofErr w:type="spellEnd"/>
      <w:r>
        <w:rPr>
          <w:sz w:val="24"/>
          <w:lang w:val="sk-SK"/>
        </w:rPr>
        <w:t xml:space="preserve">, </w:t>
      </w:r>
      <w:r w:rsidR="006F0928">
        <w:fldChar w:fldCharType="begin"/>
      </w:r>
      <w:r w:rsidR="006F0928" w:rsidRPr="006F0928">
        <w:rPr>
          <w:lang w:val="sk-SK"/>
        </w:rPr>
        <w:instrText xml:space="preserve"> HYPERLINK "https://ec.europa.eu/eurostat/statistics-explained/index.php?title=Archive:EU_citizens_living_in_another_Member_State_-_statistical_overview" </w:instrText>
      </w:r>
      <w:r w:rsidR="006F0928">
        <w:fldChar w:fldCharType="separate"/>
      </w:r>
      <w:proofErr w:type="spellStart"/>
      <w:r>
        <w:rPr>
          <w:rStyle w:val="Hyperlink"/>
          <w:sz w:val="24"/>
          <w:lang w:val="sk-SK"/>
        </w:rPr>
        <w:t>Archive</w:t>
      </w:r>
      <w:proofErr w:type="spellEnd"/>
      <w:r>
        <w:rPr>
          <w:rStyle w:val="Hyperlink"/>
          <w:sz w:val="24"/>
          <w:lang w:val="sk-SK"/>
        </w:rPr>
        <w:t xml:space="preserve">: </w:t>
      </w:r>
      <w:r w:rsidR="006F0928">
        <w:rPr>
          <w:rStyle w:val="Hyperlink"/>
          <w:sz w:val="24"/>
          <w:lang w:val="sk-SK"/>
        </w:rPr>
        <w:fldChar w:fldCharType="end"/>
      </w:r>
      <w:r w:rsidR="006F0928">
        <w:fldChar w:fldCharType="begin"/>
      </w:r>
      <w:r w:rsidR="006F0928" w:rsidRPr="006F0928">
        <w:rPr>
          <w:lang w:val="sk-SK"/>
        </w:rPr>
        <w:instrText xml:space="preserve"> HYPERLINK "https://ec.europa.eu/eurostat/statistics-explained/index.php?title=Archive:EU_citizens_living_in_another_Member_State_-_statistical_overview" </w:instrText>
      </w:r>
      <w:r w:rsidR="006F0928">
        <w:fldChar w:fldCharType="separate"/>
      </w:r>
      <w:r>
        <w:rPr>
          <w:rStyle w:val="Hyperlink"/>
          <w:sz w:val="24"/>
          <w:lang w:val="sk-SK"/>
        </w:rPr>
        <w:t xml:space="preserve">EU </w:t>
      </w:r>
      <w:proofErr w:type="spellStart"/>
      <w:r>
        <w:rPr>
          <w:rStyle w:val="Hyperlink"/>
          <w:sz w:val="24"/>
          <w:lang w:val="sk-SK"/>
        </w:rPr>
        <w:t>citizens</w:t>
      </w:r>
      <w:proofErr w:type="spellEnd"/>
      <w:r>
        <w:rPr>
          <w:rStyle w:val="Hyperlink"/>
          <w:sz w:val="24"/>
          <w:lang w:val="sk-SK"/>
        </w:rPr>
        <w:t xml:space="preserve"> </w:t>
      </w:r>
      <w:proofErr w:type="spellStart"/>
      <w:r>
        <w:rPr>
          <w:rStyle w:val="Hyperlink"/>
          <w:sz w:val="24"/>
          <w:lang w:val="sk-SK"/>
        </w:rPr>
        <w:t>living</w:t>
      </w:r>
      <w:proofErr w:type="spellEnd"/>
      <w:r>
        <w:rPr>
          <w:rStyle w:val="Hyperlink"/>
          <w:sz w:val="24"/>
          <w:lang w:val="sk-SK"/>
        </w:rPr>
        <w:t xml:space="preserve"> in </w:t>
      </w:r>
      <w:proofErr w:type="spellStart"/>
      <w:r>
        <w:rPr>
          <w:rStyle w:val="Hyperlink"/>
          <w:sz w:val="24"/>
          <w:lang w:val="sk-SK"/>
        </w:rPr>
        <w:t>another</w:t>
      </w:r>
      <w:proofErr w:type="spellEnd"/>
      <w:r>
        <w:rPr>
          <w:rStyle w:val="Hyperlink"/>
          <w:sz w:val="24"/>
          <w:lang w:val="sk-SK"/>
        </w:rPr>
        <w:t xml:space="preserve"> </w:t>
      </w:r>
      <w:proofErr w:type="spellStart"/>
      <w:r>
        <w:rPr>
          <w:rStyle w:val="Hyperlink"/>
          <w:sz w:val="24"/>
          <w:lang w:val="sk-SK"/>
        </w:rPr>
        <w:t>Member</w:t>
      </w:r>
      <w:proofErr w:type="spellEnd"/>
      <w:r>
        <w:rPr>
          <w:rStyle w:val="Hyperlink"/>
          <w:sz w:val="24"/>
          <w:lang w:val="sk-SK"/>
        </w:rPr>
        <w:t xml:space="preserve"> State - </w:t>
      </w:r>
      <w:proofErr w:type="spellStart"/>
      <w:r>
        <w:rPr>
          <w:rStyle w:val="Hyperlink"/>
          <w:sz w:val="24"/>
          <w:lang w:val="sk-SK"/>
        </w:rPr>
        <w:t>statistical</w:t>
      </w:r>
      <w:proofErr w:type="spellEnd"/>
      <w:r>
        <w:rPr>
          <w:rStyle w:val="Hyperlink"/>
          <w:sz w:val="24"/>
          <w:lang w:val="sk-SK"/>
        </w:rPr>
        <w:t xml:space="preserve"> </w:t>
      </w:r>
      <w:proofErr w:type="spellStart"/>
      <w:r>
        <w:rPr>
          <w:rStyle w:val="Hyperlink"/>
          <w:sz w:val="24"/>
          <w:lang w:val="sk-SK"/>
        </w:rPr>
        <w:t>overview</w:t>
      </w:r>
      <w:proofErr w:type="spellEnd"/>
      <w:r w:rsidR="006F0928"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 xml:space="preserve"> (Archív: občania EÚ žijúci v inom členskom štáte – štatistický prehľad).</w:t>
      </w:r>
    </w:p>
  </w:footnote>
  <w:footnote w:id="23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Európska komisia, Občianstvo EÚ 2020 – záverečná správa: výsledky verejnej konzultácie o právach vyplývajúcich z občianstva EÚ z roku 2020, december 2020.</w:t>
      </w:r>
    </w:p>
  </w:footnote>
  <w:footnote w:id="24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Údaje: štatistika EÚ o príjmoch a životných podmienkach (EU-SILC) a výberové zisťovanie pracovných síl EÚ (VZPS); </w:t>
      </w:r>
      <w:proofErr w:type="spellStart"/>
      <w:r>
        <w:rPr>
          <w:sz w:val="24"/>
          <w:lang w:val="sk-SK"/>
        </w:rPr>
        <w:t>Grammenos</w:t>
      </w:r>
      <w:proofErr w:type="spellEnd"/>
      <w:r>
        <w:rPr>
          <w:sz w:val="24"/>
          <w:lang w:val="sk-SK"/>
        </w:rPr>
        <w:t xml:space="preserve">, S. a </w:t>
      </w:r>
      <w:proofErr w:type="spellStart"/>
      <w:r>
        <w:rPr>
          <w:sz w:val="24"/>
          <w:lang w:val="sk-SK"/>
        </w:rPr>
        <w:t>Priestley</w:t>
      </w:r>
      <w:proofErr w:type="spellEnd"/>
      <w:r>
        <w:rPr>
          <w:sz w:val="24"/>
          <w:lang w:val="sk-SK"/>
        </w:rPr>
        <w:t xml:space="preserve">, M., </w:t>
      </w:r>
      <w:proofErr w:type="spellStart"/>
      <w:r>
        <w:rPr>
          <w:sz w:val="24"/>
          <w:lang w:val="sk-SK"/>
        </w:rPr>
        <w:t>Europe</w:t>
      </w:r>
      <w:proofErr w:type="spellEnd"/>
      <w:r>
        <w:rPr>
          <w:sz w:val="24"/>
          <w:lang w:val="sk-SK"/>
        </w:rPr>
        <w:t xml:space="preserve"> 2020 </w:t>
      </w:r>
      <w:proofErr w:type="spellStart"/>
      <w:r>
        <w:rPr>
          <w:sz w:val="24"/>
          <w:lang w:val="sk-SK"/>
        </w:rPr>
        <w:t>data</w:t>
      </w:r>
      <w:proofErr w:type="spellEnd"/>
      <w:r>
        <w:rPr>
          <w:sz w:val="24"/>
          <w:lang w:val="sk-SK"/>
        </w:rPr>
        <w:t xml:space="preserve"> and </w:t>
      </w:r>
      <w:proofErr w:type="spellStart"/>
      <w:r>
        <w:rPr>
          <w:sz w:val="24"/>
          <w:lang w:val="sk-SK"/>
        </w:rPr>
        <w:t>people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with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disabilities</w:t>
      </w:r>
      <w:proofErr w:type="spellEnd"/>
      <w:r>
        <w:rPr>
          <w:sz w:val="24"/>
          <w:lang w:val="sk-SK"/>
        </w:rPr>
        <w:t xml:space="preserve"> – </w:t>
      </w:r>
      <w:proofErr w:type="spellStart"/>
      <w:r>
        <w:rPr>
          <w:sz w:val="24"/>
          <w:lang w:val="sk-SK"/>
        </w:rPr>
        <w:t>tables</w:t>
      </w:r>
      <w:proofErr w:type="spellEnd"/>
      <w:r>
        <w:rPr>
          <w:sz w:val="24"/>
          <w:lang w:val="sk-SK"/>
        </w:rPr>
        <w:t xml:space="preserve"> (Údaje a osoby so zdravotným postihnutím – tabuľky, Európa 2020), </w:t>
      </w:r>
      <w:proofErr w:type="spellStart"/>
      <w:r>
        <w:rPr>
          <w:sz w:val="24"/>
          <w:lang w:val="sk-SK"/>
        </w:rPr>
        <w:t>Eurostat</w:t>
      </w:r>
      <w:proofErr w:type="spellEnd"/>
      <w:r>
        <w:rPr>
          <w:sz w:val="24"/>
          <w:lang w:val="sk-SK"/>
        </w:rPr>
        <w:t>, 2020.</w:t>
      </w:r>
    </w:p>
  </w:footnote>
  <w:footnote w:id="25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Oznámenie Komisie zo 17. júna 2022 s názvom Konferencia o budúcnosti Európy – Meniť víziu na konkrétne kroky (COM(2022)0404).</w:t>
      </w:r>
    </w:p>
  </w:footnote>
  <w:footnote w:id="26">
    <w:p w:rsidR="00381CCA" w:rsidRDefault="00CC63DD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(ES) č. 1049/2001 z 30. mája 2001 o prístupe verejnosti k dokumentom Európskeho parlamentu, Rady a Komisie (Ú. v. ES L 145, 31.5.2001, s. 43).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CCA" w:rsidRDefault="00381CC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CCA" w:rsidRDefault="00381CC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CCA" w:rsidRDefault="00381CC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6/2023"/>
    <w:docVar w:name="dvlangue" w:val="SK"/>
    <w:docVar w:name="dvnumam" w:val="0"/>
    <w:docVar w:name="dvpe" w:val="754.647"/>
    <w:docVar w:name="dvrapporteur" w:val="Spravodajkyňa: "/>
    <w:docVar w:name="dvtitre" w:val="Uznesenie Európskeho parlamentu zo 17. januára 2024 o vykonávaní ustanovení zmluvy týkajúcich sa občianstva EÚ(2023/2085(INI))"/>
  </w:docVars>
  <w:rsids>
    <w:rsidRoot w:val="00381CCA"/>
    <w:rsid w:val="00165A5D"/>
    <w:rsid w:val="00381CCA"/>
    <w:rsid w:val="00526B92"/>
    <w:rsid w:val="005D3E27"/>
    <w:rsid w:val="006F0928"/>
    <w:rsid w:val="00795BF7"/>
    <w:rsid w:val="00886AFA"/>
    <w:rsid w:val="00AC050E"/>
    <w:rsid w:val="00CC63DD"/>
    <w:rsid w:val="00D8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02D5F5"/>
  <w15:chartTrackingRefBased/>
  <w15:docId w15:val="{3975885B-E2EC-444F-A774-C899DD1DA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customStyle="1" w:styleId="Normal12">
    <w:name w:val="Normal12"/>
    <w:basedOn w:val="Normal"/>
    <w:pPr>
      <w:spacing w:after="240"/>
    </w:pPr>
  </w:style>
  <w:style w:type="character" w:customStyle="1" w:styleId="doceo-font-family-base">
    <w:name w:val="doceo-font-family-base"/>
    <w:basedOn w:val="DefaultParagraphFont"/>
  </w:style>
  <w:style w:type="character" w:customStyle="1" w:styleId="y2iqfc">
    <w:name w:val="y2iqfc"/>
    <w:basedOn w:val="DefaultParagraphFont"/>
  </w:style>
  <w:style w:type="character" w:customStyle="1" w:styleId="Bold">
    <w:name w:val="Bold"/>
    <w:uiPriority w:val="1"/>
    <w:rPr>
      <w:b/>
      <w:bCs w:val="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paragraph" w:styleId="BalloonText">
    <w:name w:val="Balloon Text"/>
    <w:basedOn w:val="Normal"/>
    <w:link w:val="BalloonTextChar"/>
    <w:rsid w:val="00886A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86AFA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62008-14C1-474C-A332-26E7C0736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3813</Words>
  <Characters>22583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3</cp:revision>
  <cp:lastPrinted>2004-11-19T15:42:00Z</cp:lastPrinted>
  <dcterms:created xsi:type="dcterms:W3CDTF">2024-01-17T14:16:00Z</dcterms:created>
  <dcterms:modified xsi:type="dcterms:W3CDTF">2024-02-22T11:05:00Z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A9-0436/2023</vt:lpwstr>
  </property>
  <property fmtid="{D5CDD505-2E9C-101B-9397-08002B2CF9AE}" pid="4" name="&lt;Type&gt;">
    <vt:lpwstr>RR</vt:lpwstr>
  </property>
</Properties>
</file>