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6EE5" w14:paraId="1886CC66" w14:textId="77777777" w:rsidTr="0010095E">
        <w:trPr>
          <w:trHeight w:hRule="exact" w:val="1418"/>
        </w:trPr>
        <w:tc>
          <w:tcPr>
            <w:tcW w:w="6804" w:type="dxa"/>
            <w:shd w:val="clear" w:color="auto" w:fill="auto"/>
            <w:vAlign w:val="center"/>
          </w:tcPr>
          <w:p w14:paraId="21B5A680" w14:textId="77777777" w:rsidR="00751A4A" w:rsidRPr="00036EE5" w:rsidRDefault="00E950AA" w:rsidP="0010095E">
            <w:pPr>
              <w:pStyle w:val="EPName"/>
            </w:pPr>
            <w:r w:rsidRPr="00036EE5">
              <w:t>Europaparlamentet</w:t>
            </w:r>
          </w:p>
          <w:p w14:paraId="50C14C99" w14:textId="77777777" w:rsidR="00751A4A" w:rsidRPr="00036EE5" w:rsidRDefault="00817416" w:rsidP="00756632">
            <w:pPr>
              <w:pStyle w:val="EPTerm"/>
              <w:rPr>
                <w:rStyle w:val="HideTWBExt"/>
                <w:noProof w:val="0"/>
                <w:vanish w:val="0"/>
                <w:color w:val="auto"/>
              </w:rPr>
            </w:pPr>
            <w:r w:rsidRPr="00036EE5">
              <w:t>2019-2024</w:t>
            </w:r>
          </w:p>
        </w:tc>
        <w:tc>
          <w:tcPr>
            <w:tcW w:w="2268" w:type="dxa"/>
            <w:shd w:val="clear" w:color="auto" w:fill="auto"/>
          </w:tcPr>
          <w:p w14:paraId="22A46A17" w14:textId="77777777" w:rsidR="00751A4A" w:rsidRPr="00036EE5" w:rsidRDefault="00187494" w:rsidP="0010095E">
            <w:pPr>
              <w:pStyle w:val="EPLogo"/>
            </w:pPr>
            <w:r w:rsidRPr="00036EE5">
              <w:rPr>
                <w:noProof/>
                <w:lang w:val="en-GB"/>
              </w:rPr>
              <w:drawing>
                <wp:inline distT="0" distB="0" distL="0" distR="0" wp14:anchorId="29EDDA6B" wp14:editId="24E10D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5C28F2" w14:textId="77777777" w:rsidR="00D058B8" w:rsidRPr="00036EE5" w:rsidRDefault="00D058B8" w:rsidP="004C5D52">
      <w:pPr>
        <w:pStyle w:val="LineTop"/>
      </w:pPr>
    </w:p>
    <w:p w14:paraId="189B6EC2" w14:textId="77777777" w:rsidR="00680577" w:rsidRPr="00036EE5" w:rsidRDefault="00E950AA" w:rsidP="00680577">
      <w:pPr>
        <w:pStyle w:val="EPBodyTA1"/>
      </w:pPr>
      <w:r w:rsidRPr="00036EE5">
        <w:t>ANTAGNA TEXTER</w:t>
      </w:r>
    </w:p>
    <w:p w14:paraId="1DF4CDB6" w14:textId="77777777" w:rsidR="00D058B8" w:rsidRPr="00036EE5" w:rsidRDefault="00D058B8" w:rsidP="00D058B8">
      <w:pPr>
        <w:pStyle w:val="LineBottom"/>
      </w:pPr>
    </w:p>
    <w:p w14:paraId="538492A9" w14:textId="4396D074" w:rsidR="00E950AA" w:rsidRPr="00036EE5" w:rsidRDefault="00E950AA" w:rsidP="00E950AA">
      <w:pPr>
        <w:pStyle w:val="ATHeading1"/>
      </w:pPr>
      <w:bookmarkStart w:id="0" w:name="TANumber"/>
      <w:r w:rsidRPr="00036EE5">
        <w:t>P9_TA(2024)00</w:t>
      </w:r>
      <w:r w:rsidR="00623AC3" w:rsidRPr="00036EE5">
        <w:t>24</w:t>
      </w:r>
      <w:bookmarkEnd w:id="0"/>
    </w:p>
    <w:p w14:paraId="1FFB4B8B" w14:textId="77777777" w:rsidR="00E950AA" w:rsidRPr="00036EE5" w:rsidRDefault="00E950AA" w:rsidP="00E950AA">
      <w:pPr>
        <w:pStyle w:val="ATHeading2"/>
      </w:pPr>
      <w:bookmarkStart w:id="1" w:name="title"/>
      <w:r w:rsidRPr="00036EE5">
        <w:t>Genomförande av fördragets bestämmelser om EU-medborgarskap</w:t>
      </w:r>
      <w:bookmarkEnd w:id="1"/>
    </w:p>
    <w:p w14:paraId="068DC76D" w14:textId="77777777" w:rsidR="00E950AA" w:rsidRPr="00036EE5" w:rsidRDefault="00E950AA" w:rsidP="00E950AA">
      <w:pPr>
        <w:rPr>
          <w:i/>
          <w:vanish/>
        </w:rPr>
      </w:pPr>
      <w:r w:rsidRPr="00036EE5">
        <w:rPr>
          <w:i/>
        </w:rPr>
        <w:fldChar w:fldCharType="begin"/>
      </w:r>
      <w:r w:rsidRPr="00036EE5">
        <w:rPr>
          <w:i/>
        </w:rPr>
        <w:instrText xml:space="preserve"> TC"(</w:instrText>
      </w:r>
      <w:bookmarkStart w:id="2" w:name="DocNumber"/>
      <w:r w:rsidRPr="00036EE5">
        <w:rPr>
          <w:i/>
        </w:rPr>
        <w:instrText>A9-0436/2023</w:instrText>
      </w:r>
      <w:bookmarkEnd w:id="2"/>
      <w:r w:rsidRPr="00036EE5">
        <w:rPr>
          <w:i/>
        </w:rPr>
        <w:instrText xml:space="preserve"> - Föredragande: Maite Pagazaurtundúa)"\l3 \n&gt; \* MERGEFORMAT </w:instrText>
      </w:r>
      <w:r w:rsidRPr="00036EE5">
        <w:rPr>
          <w:i/>
        </w:rPr>
        <w:fldChar w:fldCharType="end"/>
      </w:r>
    </w:p>
    <w:p w14:paraId="08284F5B" w14:textId="77777777" w:rsidR="00E950AA" w:rsidRPr="00036EE5" w:rsidRDefault="00E950AA" w:rsidP="00E950AA">
      <w:pPr>
        <w:rPr>
          <w:vanish/>
        </w:rPr>
      </w:pPr>
      <w:bookmarkStart w:id="3" w:name="Commission"/>
      <w:r w:rsidRPr="00036EE5">
        <w:rPr>
          <w:vanish/>
        </w:rPr>
        <w:t>Utskottet för konstitutionella frågor</w:t>
      </w:r>
      <w:bookmarkEnd w:id="3"/>
    </w:p>
    <w:p w14:paraId="0D7916BA" w14:textId="77777777" w:rsidR="00E950AA" w:rsidRPr="00036EE5" w:rsidRDefault="00E950AA" w:rsidP="00E950AA">
      <w:pPr>
        <w:rPr>
          <w:vanish/>
        </w:rPr>
      </w:pPr>
      <w:bookmarkStart w:id="4" w:name="PE"/>
      <w:r w:rsidRPr="00036EE5">
        <w:rPr>
          <w:vanish/>
        </w:rPr>
        <w:t>PE754.647</w:t>
      </w:r>
      <w:bookmarkEnd w:id="4"/>
    </w:p>
    <w:p w14:paraId="796987AD" w14:textId="5BCBAA17" w:rsidR="00E950AA" w:rsidRPr="00036EE5" w:rsidRDefault="00E950AA" w:rsidP="00E950AA">
      <w:pPr>
        <w:pStyle w:val="ATHeading3"/>
      </w:pPr>
      <w:bookmarkStart w:id="5" w:name="Sujet"/>
      <w:r w:rsidRPr="00036EE5">
        <w:t xml:space="preserve">Europaparlamentets resolution av den </w:t>
      </w:r>
      <w:r w:rsidR="00D03C0B" w:rsidRPr="00036EE5">
        <w:t>17</w:t>
      </w:r>
      <w:r w:rsidRPr="00036EE5">
        <w:t xml:space="preserve"> </w:t>
      </w:r>
      <w:r w:rsidR="00D03C0B" w:rsidRPr="00036EE5">
        <w:t>januari</w:t>
      </w:r>
      <w:r w:rsidRPr="00036EE5">
        <w:t xml:space="preserve"> 2024 om genomförande av fördragets bestämmelser om EU-medborgarskap</w:t>
      </w:r>
      <w:bookmarkEnd w:id="5"/>
      <w:r w:rsidRPr="00036EE5">
        <w:t xml:space="preserve"> </w:t>
      </w:r>
      <w:bookmarkStart w:id="6" w:name="References"/>
      <w:r w:rsidRPr="00036EE5">
        <w:t>(2023/2085(INI))</w:t>
      </w:r>
      <w:bookmarkEnd w:id="6"/>
    </w:p>
    <w:p w14:paraId="6086FB32" w14:textId="77777777" w:rsidR="00D935B9" w:rsidRPr="00036EE5" w:rsidRDefault="00D935B9" w:rsidP="00D935B9">
      <w:pPr>
        <w:widowControl/>
        <w:jc w:val="both"/>
        <w:rPr>
          <w:b/>
          <w:szCs w:val="24"/>
        </w:rPr>
      </w:pPr>
      <w:bookmarkStart w:id="7" w:name="TextBodyBegin"/>
      <w:bookmarkEnd w:id="7"/>
    </w:p>
    <w:p w14:paraId="355F970A" w14:textId="77777777" w:rsidR="00D935B9" w:rsidRPr="00036EE5" w:rsidRDefault="00D935B9" w:rsidP="00D935B9">
      <w:pPr>
        <w:pStyle w:val="Normal12"/>
        <w:widowControl/>
        <w:jc w:val="both"/>
      </w:pPr>
      <w:r w:rsidRPr="00036EE5">
        <w:rPr>
          <w:i/>
          <w:iCs/>
        </w:rPr>
        <w:t>Europaparlamentet utfärdar denna resolution</w:t>
      </w:r>
    </w:p>
    <w:p w14:paraId="2F32275C" w14:textId="77777777" w:rsidR="00D935B9" w:rsidRPr="00036EE5" w:rsidRDefault="00D935B9" w:rsidP="00D935B9">
      <w:pPr>
        <w:pStyle w:val="NormalHanging12a"/>
        <w:widowControl/>
      </w:pPr>
      <w:r w:rsidRPr="00036EE5">
        <w:t>–</w:t>
      </w:r>
      <w:r w:rsidRPr="00036EE5">
        <w:tab/>
        <w:t>med beaktande av artiklarna 2, 3, 6, 9, 10, 11, 12, 21 och 23 i fördraget om Europeiska unionen (EU-fördraget),</w:t>
      </w:r>
    </w:p>
    <w:p w14:paraId="321CCE43" w14:textId="77777777" w:rsidR="00D935B9" w:rsidRPr="00036EE5" w:rsidRDefault="00D935B9" w:rsidP="00D935B9">
      <w:pPr>
        <w:pStyle w:val="NormalHanging12a"/>
        <w:widowControl/>
      </w:pPr>
      <w:r w:rsidRPr="00036EE5">
        <w:t>–</w:t>
      </w:r>
      <w:r w:rsidRPr="00036EE5">
        <w:tab/>
        <w:t>med beaktande av artiklarna 15, 20, 21, 22, 24, 26, 45, 46, 47, 48, 153 och 165 i fördraget om Europeiska unionens funktionssätt (EUF-fördraget),</w:t>
      </w:r>
    </w:p>
    <w:p w14:paraId="1621B204" w14:textId="77777777" w:rsidR="00D935B9" w:rsidRPr="00036EE5" w:rsidRDefault="00D935B9" w:rsidP="00D935B9">
      <w:pPr>
        <w:pStyle w:val="NormalHanging12a"/>
        <w:widowControl/>
      </w:pPr>
      <w:r w:rsidRPr="00036EE5">
        <w:t>–</w:t>
      </w:r>
      <w:r w:rsidRPr="00036EE5">
        <w:tab/>
        <w:t>med beaktande av Europeiska unionens stadga om de grundläggande rättigheterna,</w:t>
      </w:r>
    </w:p>
    <w:p w14:paraId="25B6F67B" w14:textId="77777777" w:rsidR="00D935B9" w:rsidRPr="00036EE5" w:rsidRDefault="00D935B9" w:rsidP="00D935B9">
      <w:pPr>
        <w:pStyle w:val="NormalHanging12a"/>
        <w:widowControl/>
      </w:pPr>
      <w:r w:rsidRPr="00036EE5">
        <w:t>–</w:t>
      </w:r>
      <w:r w:rsidRPr="00036EE5">
        <w:tab/>
        <w:t>med beaktande av Europaparlamentets och rådets direktiv 2004/38/EG av den 29 april 2004 om unionsmedborgares och deras familjemedlemmars rätt att fritt röra sig och uppehålla sig inom medlemsstaternas territorier och om ändring av förordning (EEG) nr 1612/68 och om upphävande av direktiven 64/221/EEG, 68/360/EEG, 72/194/EEG, 73/148/EEG, 75/34/EEG, 75/35/EEG, 90/364/EEG, 90/365/EEG och 93/96/EEG</w:t>
      </w:r>
      <w:r w:rsidRPr="00036EE5">
        <w:rPr>
          <w:rStyle w:val="FootnoteReference"/>
          <w:color w:val="000000"/>
        </w:rPr>
        <w:footnoteReference w:id="1"/>
      </w:r>
      <w:r w:rsidRPr="00036EE5">
        <w:t>,</w:t>
      </w:r>
    </w:p>
    <w:p w14:paraId="771A9AE8" w14:textId="77777777" w:rsidR="00D935B9" w:rsidRPr="00036EE5" w:rsidRDefault="00D935B9" w:rsidP="00D935B9">
      <w:pPr>
        <w:pStyle w:val="NormalHanging12a"/>
        <w:widowControl/>
      </w:pPr>
      <w:r w:rsidRPr="00036EE5">
        <w:t>–</w:t>
      </w:r>
      <w:r w:rsidRPr="00036EE5">
        <w:tab/>
        <w:t>med beaktande av Europaparlamentets och rådets förordning (EU) 2021/692 av den 28 april 2021 om inrättande av programmet för medborgare, jämlikhet, rättigheter och värden och om upphävande av Europaparlamentets och rådets förordning (EU) nr 1381/2013 och rådets förordning (EU) nr 390/2014</w:t>
      </w:r>
      <w:r w:rsidRPr="00036EE5">
        <w:rPr>
          <w:rStyle w:val="FootnoteReference"/>
          <w:color w:val="000000"/>
        </w:rPr>
        <w:footnoteReference w:id="2"/>
      </w:r>
      <w:r w:rsidRPr="00036EE5">
        <w:t>,</w:t>
      </w:r>
    </w:p>
    <w:p w14:paraId="52B5A865" w14:textId="77777777" w:rsidR="00D935B9" w:rsidRPr="00036EE5" w:rsidRDefault="00D935B9" w:rsidP="00D935B9">
      <w:pPr>
        <w:pStyle w:val="NormalHanging12a"/>
        <w:widowControl/>
      </w:pPr>
      <w:r w:rsidRPr="00036EE5">
        <w:t>–</w:t>
      </w:r>
      <w:r w:rsidRPr="00036EE5">
        <w:tab/>
        <w:t>med beaktande av Europaparlamentets och rådets förordning (EU) nr 492/2011 av den 5 april 2011 om arbetskraftens fria rörlighet inom unionen</w:t>
      </w:r>
      <w:r w:rsidRPr="00036EE5">
        <w:rPr>
          <w:rStyle w:val="FootnoteReference"/>
          <w:color w:val="000000"/>
        </w:rPr>
        <w:footnoteReference w:id="3"/>
      </w:r>
      <w:r w:rsidRPr="00036EE5">
        <w:t>,</w:t>
      </w:r>
    </w:p>
    <w:p w14:paraId="1E0A1D1C" w14:textId="14EB09E9" w:rsidR="00D935B9" w:rsidRPr="00036EE5" w:rsidRDefault="00D935B9" w:rsidP="00D935B9">
      <w:pPr>
        <w:pStyle w:val="NormalHanging12a"/>
        <w:widowControl/>
      </w:pPr>
      <w:r w:rsidRPr="00036EE5">
        <w:t>–</w:t>
      </w:r>
      <w:r w:rsidRPr="00036EE5">
        <w:tab/>
        <w:t>med beaktande av Europaparlamentets och rådets förordning (EU)</w:t>
      </w:r>
      <w:r w:rsidR="00FD583B">
        <w:t xml:space="preserve"> nr</w:t>
      </w:r>
      <w:bookmarkStart w:id="8" w:name="_GoBack"/>
      <w:bookmarkEnd w:id="8"/>
      <w:r w:rsidRPr="00036EE5">
        <w:t xml:space="preserve"> 2019/1149 av den 20 juni 2019 om inrättande av Europeiska arbetsmyndigheten, om ändring av förordningarna (EG) nr 883/2004, (EU) nr 492/2011 och (EU) 2016/589 och om upphävande av beslut (EU) 2016/344</w:t>
      </w:r>
      <w:r w:rsidRPr="00036EE5">
        <w:rPr>
          <w:rStyle w:val="FootnoteReference"/>
          <w:color w:val="000000"/>
        </w:rPr>
        <w:footnoteReference w:id="4"/>
      </w:r>
      <w:r w:rsidRPr="00036EE5">
        <w:t>,</w:t>
      </w:r>
    </w:p>
    <w:p w14:paraId="050B7CAA" w14:textId="77777777" w:rsidR="00D935B9" w:rsidRPr="00036EE5" w:rsidRDefault="00D935B9" w:rsidP="00D935B9">
      <w:pPr>
        <w:pStyle w:val="NormalHanging12a"/>
        <w:widowControl/>
      </w:pPr>
      <w:r w:rsidRPr="00036EE5">
        <w:lastRenderedPageBreak/>
        <w:t>–</w:t>
      </w:r>
      <w:r w:rsidRPr="00036EE5">
        <w:tab/>
        <w:t>med beaktande av Europaparlamentets och rådets direktiv (EU) 2018/957 av den 28 juni 2018 om ändring av direktiv 96/71/EG om utstationering av arbetstagare i samband med tillhandahållande av tjänster</w:t>
      </w:r>
      <w:r w:rsidRPr="00036EE5">
        <w:rPr>
          <w:rStyle w:val="FootnoteReference"/>
          <w:color w:val="000000"/>
        </w:rPr>
        <w:footnoteReference w:id="5"/>
      </w:r>
      <w:r w:rsidRPr="00036EE5">
        <w:t>,</w:t>
      </w:r>
    </w:p>
    <w:p w14:paraId="24BA2FCB" w14:textId="77777777" w:rsidR="00D935B9" w:rsidRPr="00036EE5" w:rsidRDefault="00D935B9" w:rsidP="00D935B9">
      <w:pPr>
        <w:pStyle w:val="NormalHanging12a"/>
        <w:widowControl/>
      </w:pPr>
      <w:r w:rsidRPr="00036EE5">
        <w:t>–</w:t>
      </w:r>
      <w:r w:rsidRPr="00036EE5">
        <w:tab/>
        <w:t>med beaktande av Europaparlamentets och rådets förordning (EU) 2016/589 av den 13 april 2016 om ett europeiskt nätverk för arbetsförmedlingar (Eures), om arbetstagares tillgång till rörlighetstjänster och om ytterligare integration av arbetsmarknaderna samt om ändring av förordningarna (EU) nr 492/2011 och (EU) nr 1296/2013</w:t>
      </w:r>
      <w:r w:rsidRPr="00036EE5">
        <w:rPr>
          <w:rStyle w:val="FootnoteReference"/>
          <w:color w:val="000000"/>
        </w:rPr>
        <w:footnoteReference w:id="6"/>
      </w:r>
      <w:r w:rsidRPr="00036EE5">
        <w:t>,</w:t>
      </w:r>
    </w:p>
    <w:p w14:paraId="15C854C4" w14:textId="77777777" w:rsidR="00D935B9" w:rsidRPr="00036EE5" w:rsidRDefault="00D935B9" w:rsidP="00D935B9">
      <w:pPr>
        <w:pStyle w:val="NormalHanging12a"/>
        <w:widowControl/>
      </w:pPr>
      <w:r w:rsidRPr="00036EE5">
        <w:t>–</w:t>
      </w:r>
      <w:r w:rsidRPr="00036EE5">
        <w:tab/>
        <w:t>med beaktande av Europaparlamentets och rådets direktiv 2013/55/EU av den 20 november 2013 om ändring av direktiv 2005/36/EG om erkännande av yrkeskvalifikationer och förordning (EU) nr 1024/2012 om administrativt samarbete genom informationssystemet för den inre marknaden</w:t>
      </w:r>
      <w:r w:rsidRPr="00036EE5">
        <w:rPr>
          <w:rStyle w:val="FootnoteReference"/>
          <w:color w:val="000000"/>
        </w:rPr>
        <w:footnoteReference w:id="7"/>
      </w:r>
      <w:r w:rsidRPr="00036EE5">
        <w:t>,</w:t>
      </w:r>
    </w:p>
    <w:p w14:paraId="4168AAC3" w14:textId="77777777" w:rsidR="00D935B9" w:rsidRPr="00036EE5" w:rsidRDefault="00D935B9" w:rsidP="00D935B9">
      <w:pPr>
        <w:pStyle w:val="NormalHanging12a"/>
        <w:widowControl/>
      </w:pPr>
      <w:r w:rsidRPr="00036EE5">
        <w:t>–</w:t>
      </w:r>
      <w:r w:rsidRPr="00036EE5">
        <w:tab/>
        <w:t>med beaktande av rådets direktiv (EU) 2015/637 av den 20 april 2015 om samordnings- och samarbetsåtgärder för underlättande av konsulärt skydd till icke-företrädda unionsmedborgare i tredjeländer och om upphävande av beslut 95/553/EG</w:t>
      </w:r>
      <w:r w:rsidRPr="00036EE5">
        <w:rPr>
          <w:rStyle w:val="FootnoteReference"/>
        </w:rPr>
        <w:footnoteReference w:id="8"/>
      </w:r>
      <w:r w:rsidRPr="00036EE5">
        <w:t>,</w:t>
      </w:r>
    </w:p>
    <w:p w14:paraId="676BC039" w14:textId="77777777" w:rsidR="00D935B9" w:rsidRPr="00036EE5" w:rsidRDefault="00D935B9" w:rsidP="00D935B9">
      <w:pPr>
        <w:pStyle w:val="NormalHanging12a"/>
        <w:widowControl/>
      </w:pPr>
      <w:r w:rsidRPr="00036EE5">
        <w:t>–</w:t>
      </w:r>
      <w:r w:rsidRPr="00036EE5">
        <w:tab/>
        <w:t>med beaktande av rådets direktiv (EU) 2019/997 av den 18 juni 2019 om införande av en provisorisk EU-resehandling och om upphävande av beslut 96/409/Gusp</w:t>
      </w:r>
      <w:r w:rsidRPr="00036EE5">
        <w:rPr>
          <w:rStyle w:val="FootnoteReference"/>
          <w:color w:val="000000"/>
        </w:rPr>
        <w:footnoteReference w:id="9"/>
      </w:r>
      <w:r w:rsidRPr="00036EE5">
        <w:t>,</w:t>
      </w:r>
    </w:p>
    <w:p w14:paraId="2BBA2C31" w14:textId="77777777" w:rsidR="00D935B9" w:rsidRPr="00036EE5" w:rsidRDefault="00D935B9" w:rsidP="00D935B9">
      <w:pPr>
        <w:pStyle w:val="NormalHanging12a"/>
        <w:widowControl/>
      </w:pPr>
      <w:r w:rsidRPr="00036EE5">
        <w:t>–</w:t>
      </w:r>
      <w:r w:rsidRPr="00036EE5">
        <w:tab/>
        <w:t>med beaktande av meddelandet från kommissionen av den 2 juli 2009 om vägledning till ett bättre införlivande och en bättre tillämpning av direktiv 2004/38/EG om unionsmedborgares och deras familjemedlemmars rätt att fritt röra sig och uppehålla sig inom medlemsstaternas territorier (COM(2009)0313),</w:t>
      </w:r>
    </w:p>
    <w:p w14:paraId="203E1358" w14:textId="77777777" w:rsidR="00D935B9" w:rsidRPr="00036EE5" w:rsidRDefault="00D935B9" w:rsidP="00D935B9">
      <w:pPr>
        <w:pStyle w:val="NormalHanging12a"/>
        <w:widowControl/>
      </w:pPr>
      <w:r w:rsidRPr="00036EE5">
        <w:t>–</w:t>
      </w:r>
      <w:r w:rsidRPr="00036EE5">
        <w:tab/>
        <w:t>med beaktande av Europaparlamentets och rådets förordning (EU) 2019/788 av den 17 april 2019 om det europeiska medborgarinitiativet</w:t>
      </w:r>
      <w:r w:rsidRPr="00036EE5">
        <w:rPr>
          <w:vertAlign w:val="superscript"/>
        </w:rPr>
        <w:footnoteReference w:id="10"/>
      </w:r>
      <w:r w:rsidRPr="00036EE5">
        <w:t>,</w:t>
      </w:r>
    </w:p>
    <w:p w14:paraId="0878CBA6" w14:textId="77777777" w:rsidR="00D935B9" w:rsidRPr="00036EE5" w:rsidRDefault="00D935B9" w:rsidP="00D935B9">
      <w:pPr>
        <w:pStyle w:val="NormalHanging12a"/>
        <w:widowControl/>
      </w:pPr>
      <w:r w:rsidRPr="00036EE5">
        <w:t>–</w:t>
      </w:r>
      <w:r w:rsidRPr="00036EE5">
        <w:tab/>
        <w:t>med beaktande av Europaparlamentets och rådets förordning (EU) 2020/1042 av den 15 juli 2020 om fastställande av tillfälliga åtgärder vad gäller de tidsfrister för insamling, kontroll och granskning som föreskrivs i förordning (EU) 2019/788 om det europeiska medborgarinitiativet med hänsyn till covid-19-utbrottet</w:t>
      </w:r>
      <w:r w:rsidRPr="00036EE5">
        <w:rPr>
          <w:rStyle w:val="FootnoteReference"/>
          <w:color w:val="000000"/>
        </w:rPr>
        <w:footnoteReference w:id="11"/>
      </w:r>
      <w:r w:rsidRPr="00036EE5">
        <w:t>,</w:t>
      </w:r>
    </w:p>
    <w:p w14:paraId="1D294705" w14:textId="77777777" w:rsidR="00D935B9" w:rsidRPr="00036EE5" w:rsidRDefault="00D935B9" w:rsidP="00D935B9">
      <w:pPr>
        <w:pStyle w:val="NormalHanging12a"/>
        <w:widowControl/>
      </w:pPr>
      <w:r w:rsidRPr="00036EE5">
        <w:t>–</w:t>
      </w:r>
      <w:r w:rsidRPr="00036EE5">
        <w:tab/>
        <w:t xml:space="preserve">med beaktande av kommissionens meddelande av den 2 december 2020 </w:t>
      </w:r>
      <w:r w:rsidRPr="00036EE5">
        <w:rPr>
          <w:i/>
          <w:iCs/>
        </w:rPr>
        <w:t>Strategi för att stärka tillämpningen av stadgan om de grundläggande rättigheterna i EU</w:t>
      </w:r>
      <w:r w:rsidRPr="00036EE5">
        <w:t xml:space="preserve"> (COM(2020)0711),</w:t>
      </w:r>
    </w:p>
    <w:p w14:paraId="539648A2" w14:textId="77777777" w:rsidR="00D935B9" w:rsidRPr="00036EE5" w:rsidRDefault="00D935B9" w:rsidP="00D935B9">
      <w:pPr>
        <w:pStyle w:val="NormalHanging12a"/>
        <w:widowControl/>
      </w:pPr>
      <w:r w:rsidRPr="00036EE5">
        <w:t>–</w:t>
      </w:r>
      <w:r w:rsidRPr="00036EE5">
        <w:tab/>
        <w:t xml:space="preserve">med beaktande av kommissionens meddelande av den 3 december 2020 </w:t>
      </w:r>
      <w:r w:rsidRPr="00036EE5">
        <w:rPr>
          <w:i/>
          <w:iCs/>
        </w:rPr>
        <w:t>EU:s handlingsplan för demokrati</w:t>
      </w:r>
      <w:r w:rsidRPr="00036EE5">
        <w:t xml:space="preserve"> (COM(2020)0790),</w:t>
      </w:r>
    </w:p>
    <w:p w14:paraId="476D4312" w14:textId="77777777" w:rsidR="00D935B9" w:rsidRPr="00036EE5" w:rsidRDefault="00D935B9" w:rsidP="00D935B9">
      <w:pPr>
        <w:pStyle w:val="NormalHanging12a"/>
        <w:widowControl/>
      </w:pPr>
      <w:r w:rsidRPr="00036EE5">
        <w:t>–</w:t>
      </w:r>
      <w:r w:rsidRPr="00036EE5">
        <w:tab/>
        <w:t xml:space="preserve">med beaktande av kommissionens meddelande av den 25 november 2021 </w:t>
      </w:r>
      <w:r w:rsidRPr="00036EE5">
        <w:rPr>
          <w:i/>
          <w:iCs/>
        </w:rPr>
        <w:t>Skydd av valintegriteten och främjande av demokratisk delaktighet</w:t>
      </w:r>
      <w:r w:rsidRPr="00036EE5">
        <w:t xml:space="preserve"> (COM(2021)0730),</w:t>
      </w:r>
    </w:p>
    <w:p w14:paraId="45B2E9AC" w14:textId="77777777" w:rsidR="00D935B9" w:rsidRPr="00036EE5" w:rsidRDefault="00D935B9" w:rsidP="00D935B9">
      <w:pPr>
        <w:pStyle w:val="NormalHanging12a"/>
        <w:widowControl/>
      </w:pPr>
      <w:r w:rsidRPr="00036EE5">
        <w:t>–</w:t>
      </w:r>
      <w:r w:rsidRPr="00036EE5">
        <w:tab/>
        <w:t xml:space="preserve">med beaktande av kommissionens rapport av den 15 december 2020 </w:t>
      </w:r>
      <w:r w:rsidRPr="00036EE5">
        <w:rPr>
          <w:i/>
          <w:iCs/>
        </w:rPr>
        <w:t>Rapport om EU</w:t>
      </w:r>
      <w:r w:rsidRPr="00036EE5">
        <w:rPr>
          <w:i/>
          <w:iCs/>
        </w:rPr>
        <w:noBreakHyphen/>
        <w:t>medborgarskapet 2020 – Stärka medborgarna och skydda deras rättigheter</w:t>
      </w:r>
      <w:r w:rsidRPr="00036EE5">
        <w:t xml:space="preserve"> (COM(2020)0730),</w:t>
      </w:r>
    </w:p>
    <w:p w14:paraId="7BBB470B" w14:textId="77777777" w:rsidR="00D935B9" w:rsidRPr="00036EE5" w:rsidRDefault="00D935B9" w:rsidP="00D935B9">
      <w:pPr>
        <w:pStyle w:val="NormalHanging12a"/>
        <w:widowControl/>
      </w:pPr>
      <w:r w:rsidRPr="00036EE5">
        <w:t>–</w:t>
      </w:r>
      <w:r w:rsidRPr="00036EE5">
        <w:tab/>
        <w:t>med beaktande av kommissionens rapport av den 15 december 2020 enligt artikel 25 i EUF-fördraget om arbetet för ett väl fungerande EU-medborgarskap 2016–2020 (COM(2020)0731),</w:t>
      </w:r>
    </w:p>
    <w:p w14:paraId="5AA16FD9" w14:textId="77777777" w:rsidR="00D935B9" w:rsidRPr="00036EE5" w:rsidRDefault="00D935B9" w:rsidP="00D935B9">
      <w:pPr>
        <w:pStyle w:val="NormalHanging12a"/>
        <w:widowControl/>
      </w:pPr>
      <w:r w:rsidRPr="00036EE5">
        <w:t>–</w:t>
      </w:r>
      <w:r w:rsidRPr="00036EE5">
        <w:tab/>
        <w:t>med beaktande av sin ståndpunkt av den 14 februari 2023 om förslaget till rådets direktiv om fastställande av närmare bestämmelser för rösträtt och valbarhet vid val till Europaparlamentet för unionsmedborgare som är bosatta i en medlemsstat där de inte är medborgare</w:t>
      </w:r>
      <w:r w:rsidRPr="00036EE5">
        <w:rPr>
          <w:rStyle w:val="FootnoteReference"/>
          <w:color w:val="000000"/>
        </w:rPr>
        <w:footnoteReference w:id="12"/>
      </w:r>
      <w:r w:rsidRPr="00036EE5">
        <w:t>,</w:t>
      </w:r>
    </w:p>
    <w:p w14:paraId="7E4CC599" w14:textId="77777777" w:rsidR="00D935B9" w:rsidRPr="00036EE5" w:rsidRDefault="00D935B9" w:rsidP="00D935B9">
      <w:pPr>
        <w:pStyle w:val="NormalHanging12a"/>
        <w:widowControl/>
      </w:pPr>
      <w:r w:rsidRPr="00036EE5">
        <w:t>–</w:t>
      </w:r>
      <w:r w:rsidRPr="00036EE5">
        <w:tab/>
        <w:t>med beaktande av sin ståndpunkt av den 14 februari 2023 om utkastet till rådets direktiv om närmare bestämmelser för rösträtt och valbarhet vid kommunala val för unionsmedborgare som är bosatta i en medlemsstat där de inte är medborgare</w:t>
      </w:r>
      <w:r w:rsidRPr="00036EE5">
        <w:rPr>
          <w:rStyle w:val="FootnoteReference"/>
          <w:color w:val="000000"/>
        </w:rPr>
        <w:footnoteReference w:id="13"/>
      </w:r>
      <w:r w:rsidRPr="00036EE5">
        <w:t>,</w:t>
      </w:r>
    </w:p>
    <w:p w14:paraId="624582C1" w14:textId="77777777" w:rsidR="00D935B9" w:rsidRPr="00036EE5" w:rsidRDefault="00D935B9" w:rsidP="00D935B9">
      <w:pPr>
        <w:pStyle w:val="NormalHanging12a"/>
        <w:widowControl/>
      </w:pPr>
      <w:r w:rsidRPr="00036EE5">
        <w:t>–</w:t>
      </w:r>
      <w:r w:rsidRPr="00036EE5">
        <w:tab/>
        <w:t>med beaktande av sin resolution av den 12 februari 2019 om genomförandet av bestämmelserna i fördraget avseende EU-medborgarskapet</w:t>
      </w:r>
      <w:r w:rsidRPr="00036EE5">
        <w:rPr>
          <w:rStyle w:val="FootnoteReference"/>
          <w:color w:val="000000"/>
        </w:rPr>
        <w:footnoteReference w:id="14"/>
      </w:r>
      <w:r w:rsidRPr="00036EE5">
        <w:t>,</w:t>
      </w:r>
    </w:p>
    <w:p w14:paraId="1FB60FD7" w14:textId="77777777" w:rsidR="00D935B9" w:rsidRPr="00036EE5" w:rsidRDefault="00D935B9" w:rsidP="00D935B9">
      <w:pPr>
        <w:pStyle w:val="NormalHanging12a"/>
        <w:widowControl/>
      </w:pPr>
      <w:r w:rsidRPr="00036EE5">
        <w:t>–</w:t>
      </w:r>
      <w:r w:rsidRPr="00036EE5">
        <w:tab/>
        <w:t>med beaktande av Europaparlamentets resolution av den 9 mars 2022 med förslag till kommissionen om system för medborgarskap och uppehållstillstånd genom investering</w:t>
      </w:r>
      <w:r w:rsidRPr="00036EE5">
        <w:rPr>
          <w:rStyle w:val="FootnoteReference"/>
          <w:color w:val="000000"/>
        </w:rPr>
        <w:footnoteReference w:id="15"/>
      </w:r>
      <w:r w:rsidRPr="00036EE5">
        <w:t>,</w:t>
      </w:r>
    </w:p>
    <w:p w14:paraId="268A69E6" w14:textId="77777777" w:rsidR="00D935B9" w:rsidRPr="00036EE5" w:rsidRDefault="00D935B9" w:rsidP="00D935B9">
      <w:pPr>
        <w:pStyle w:val="NormalHanging12a"/>
        <w:widowControl/>
      </w:pPr>
      <w:r w:rsidRPr="00036EE5">
        <w:t>–</w:t>
      </w:r>
      <w:r w:rsidRPr="00036EE5">
        <w:tab/>
        <w:t>med beaktande av sin resolution av den 10 mars 2022 om rapporten om EU-medborgarskapet 2020: Stärka medborgarna och skydda deras rättigheter</w:t>
      </w:r>
      <w:r w:rsidRPr="00036EE5">
        <w:rPr>
          <w:rStyle w:val="FootnoteReference"/>
          <w:color w:val="000000"/>
        </w:rPr>
        <w:footnoteReference w:id="16"/>
      </w:r>
      <w:r w:rsidRPr="00036EE5">
        <w:t>,</w:t>
      </w:r>
    </w:p>
    <w:p w14:paraId="270D5846" w14:textId="77777777" w:rsidR="00D935B9" w:rsidRPr="00036EE5" w:rsidRDefault="00D935B9" w:rsidP="00D935B9">
      <w:pPr>
        <w:pStyle w:val="NormalHanging12a"/>
        <w:widowControl/>
      </w:pPr>
      <w:r w:rsidRPr="00036EE5">
        <w:t>–</w:t>
      </w:r>
      <w:r w:rsidRPr="00036EE5">
        <w:tab/>
        <w:t>med beaktande av sin resolution av den 13 juni 2023 om genomförandet av förordningarna om det europeiska medborgarinitiativet</w:t>
      </w:r>
      <w:r w:rsidRPr="00036EE5">
        <w:rPr>
          <w:rStyle w:val="FootnoteReference"/>
          <w:color w:val="000000"/>
        </w:rPr>
        <w:footnoteReference w:id="17"/>
      </w:r>
      <w:r w:rsidRPr="00036EE5">
        <w:t>,</w:t>
      </w:r>
    </w:p>
    <w:p w14:paraId="4600465A" w14:textId="77777777" w:rsidR="00D935B9" w:rsidRPr="00036EE5" w:rsidRDefault="00D935B9" w:rsidP="00D935B9">
      <w:pPr>
        <w:pStyle w:val="NormalHanging12a"/>
        <w:widowControl/>
      </w:pPr>
      <w:r w:rsidRPr="00036EE5">
        <w:t>–</w:t>
      </w:r>
      <w:r w:rsidRPr="00036EE5">
        <w:tab/>
        <w:t>med beaktande av sin resolution av den 14 september 2023 om parlamentarism, europeiskt medborgarskap och demokrati</w:t>
      </w:r>
      <w:r w:rsidRPr="00036EE5">
        <w:rPr>
          <w:rStyle w:val="FootnoteReference"/>
          <w:color w:val="000000"/>
        </w:rPr>
        <w:footnoteReference w:id="18"/>
      </w:r>
      <w:r w:rsidRPr="00036EE5">
        <w:t>,</w:t>
      </w:r>
    </w:p>
    <w:p w14:paraId="1397CB22" w14:textId="77777777" w:rsidR="00D935B9" w:rsidRPr="00036EE5" w:rsidRDefault="00D935B9" w:rsidP="00D935B9">
      <w:pPr>
        <w:pStyle w:val="NormalHanging12a"/>
        <w:widowControl/>
      </w:pPr>
      <w:r w:rsidRPr="00036EE5">
        <w:t>–</w:t>
      </w:r>
      <w:r w:rsidRPr="00036EE5">
        <w:tab/>
        <w:t>med beaktande av sin resolution av den 7 juli 2021 om medborgardialoger och medborgarnas deltagande i EU:s beslutsfattande</w:t>
      </w:r>
      <w:r w:rsidRPr="00036EE5">
        <w:rPr>
          <w:rStyle w:val="FootnoteReference"/>
          <w:color w:val="000000"/>
        </w:rPr>
        <w:footnoteReference w:id="19"/>
      </w:r>
      <w:r w:rsidRPr="00036EE5">
        <w:t>,</w:t>
      </w:r>
    </w:p>
    <w:p w14:paraId="41588210" w14:textId="77777777" w:rsidR="00D935B9" w:rsidRPr="00036EE5" w:rsidRDefault="00D935B9" w:rsidP="00D935B9">
      <w:pPr>
        <w:pStyle w:val="NormalHanging12a"/>
        <w:widowControl/>
      </w:pPr>
      <w:r w:rsidRPr="00036EE5">
        <w:t>–</w:t>
      </w:r>
      <w:r w:rsidRPr="00036EE5">
        <w:tab/>
        <w:t>med beaktande av sin resolution av den 9 mars 2022 om dialog med medborgarna: rätten att göra framställningar, rätten att vända sig till Europeiska ombudsmannen och det europeiska medborgarinitiativet</w:t>
      </w:r>
      <w:r w:rsidRPr="00036EE5">
        <w:rPr>
          <w:rStyle w:val="FootnoteReference"/>
          <w:color w:val="000000"/>
        </w:rPr>
        <w:footnoteReference w:id="20"/>
      </w:r>
      <w:r w:rsidRPr="00036EE5">
        <w:t>,</w:t>
      </w:r>
    </w:p>
    <w:p w14:paraId="7B8267D1" w14:textId="77777777" w:rsidR="00D935B9" w:rsidRPr="00036EE5" w:rsidRDefault="00D935B9" w:rsidP="00D935B9">
      <w:pPr>
        <w:pStyle w:val="NormalHanging12a"/>
        <w:widowControl/>
        <w:rPr>
          <w:szCs w:val="23"/>
        </w:rPr>
      </w:pPr>
      <w:r w:rsidRPr="00036EE5">
        <w:t>–</w:t>
      </w:r>
      <w:r w:rsidRPr="00036EE5">
        <w:tab/>
        <w:t>med beaktande av sin resolution av den 15 mars 2017 om hinder för unionsmedborgares fria rörlighet och frihet att arbeta på den inre marknaden</w:t>
      </w:r>
      <w:r w:rsidRPr="00036EE5">
        <w:rPr>
          <w:rStyle w:val="FootnoteReference"/>
          <w:color w:val="000000"/>
          <w:szCs w:val="23"/>
        </w:rPr>
        <w:footnoteReference w:id="21"/>
      </w:r>
      <w:r w:rsidRPr="00036EE5">
        <w:t>,</w:t>
      </w:r>
    </w:p>
    <w:p w14:paraId="54D5AC1E" w14:textId="77777777" w:rsidR="00D935B9" w:rsidRPr="00036EE5" w:rsidRDefault="00D935B9" w:rsidP="00D935B9">
      <w:pPr>
        <w:pStyle w:val="NormalHanging12a"/>
        <w:widowControl/>
        <w:rPr>
          <w:szCs w:val="23"/>
        </w:rPr>
      </w:pPr>
      <w:r w:rsidRPr="00036EE5">
        <w:t>–</w:t>
      </w:r>
      <w:r w:rsidRPr="00036EE5">
        <w:tab/>
        <w:t>med beaktande av rapporten om grundläggande rättigheter 2023 från Europeiska unionens byrå för grundläggande rättigheter,</w:t>
      </w:r>
    </w:p>
    <w:p w14:paraId="2438EA05" w14:textId="77777777" w:rsidR="00D935B9" w:rsidRPr="00036EE5" w:rsidRDefault="00D935B9" w:rsidP="00D935B9">
      <w:pPr>
        <w:pStyle w:val="NormalHanging12a"/>
        <w:widowControl/>
      </w:pPr>
      <w:r w:rsidRPr="00036EE5">
        <w:t>–</w:t>
      </w:r>
      <w:r w:rsidRPr="00036EE5">
        <w:tab/>
        <w:t>med beaktande av rapporten om slutresultatet av konferensen om Europas framtid,</w:t>
      </w:r>
    </w:p>
    <w:p w14:paraId="3676839B" w14:textId="77777777" w:rsidR="00D935B9" w:rsidRPr="00036EE5" w:rsidRDefault="00D935B9" w:rsidP="00D935B9">
      <w:pPr>
        <w:pStyle w:val="NormalHanging12a"/>
        <w:widowControl/>
      </w:pPr>
      <w:r w:rsidRPr="00036EE5">
        <w:t>–</w:t>
      </w:r>
      <w:r w:rsidRPr="00036EE5">
        <w:tab/>
        <w:t>med beaktande av resultaten från Flash Eurobarometer 485/2020 och Standard Eurobarometer 99/2023,</w:t>
      </w:r>
    </w:p>
    <w:p w14:paraId="7BA39737" w14:textId="77777777" w:rsidR="00F36B4D" w:rsidRPr="00036EE5" w:rsidRDefault="00F36B4D" w:rsidP="00D935B9">
      <w:pPr>
        <w:pStyle w:val="NormalHanging12a"/>
        <w:widowControl/>
      </w:pPr>
      <w:r w:rsidRPr="00036EE5">
        <w:rPr>
          <w:szCs w:val="24"/>
          <w:lang w:eastAsia="en-US"/>
        </w:rPr>
        <w:t>–</w:t>
      </w:r>
      <w:r w:rsidRPr="00036EE5">
        <w:rPr>
          <w:szCs w:val="24"/>
          <w:lang w:eastAsia="en-US"/>
        </w:rPr>
        <w:tab/>
        <w:t>med beaktande av kommissionens rapport enligt artikel 25 i EUF-fördraget av den 6 december 2023 om arbetet för ett väl fungerande EU-medborgarskap 2020–2023 (COM(2023)0931) (rapporten om EU-medborgarskapet 2023),</w:t>
      </w:r>
    </w:p>
    <w:p w14:paraId="4DED04E0" w14:textId="77777777" w:rsidR="00D935B9" w:rsidRPr="00036EE5" w:rsidRDefault="00D935B9" w:rsidP="00D935B9">
      <w:pPr>
        <w:pStyle w:val="NormalHanging12a"/>
        <w:widowControl/>
      </w:pPr>
      <w:r w:rsidRPr="00036EE5">
        <w:t>–</w:t>
      </w:r>
      <w:r w:rsidRPr="00036EE5">
        <w:tab/>
        <w:t>med beaktande av artikel 54 i arbetsordningen och artikel 1.1 e i, och bilaga 3 till, talmanskonferensens beslut av den 12 december 2002 om förfarandet för beviljande av tillstånd att utarbeta initiativbetänkanden,</w:t>
      </w:r>
    </w:p>
    <w:p w14:paraId="18E0F4CC" w14:textId="77777777" w:rsidR="00D935B9" w:rsidRPr="00036EE5" w:rsidRDefault="00D935B9" w:rsidP="00D935B9">
      <w:pPr>
        <w:pStyle w:val="NormalHanging12a"/>
        <w:widowControl/>
      </w:pPr>
      <w:r w:rsidRPr="00036EE5">
        <w:t>–</w:t>
      </w:r>
      <w:r w:rsidRPr="00036EE5">
        <w:tab/>
        <w:t>med beaktande av yttrandet från utskottet för medborgerliga fri- och rättigheter samt rättsliga och inrikes frågor,</w:t>
      </w:r>
    </w:p>
    <w:p w14:paraId="091BED69" w14:textId="77777777" w:rsidR="00D935B9" w:rsidRPr="00036EE5" w:rsidRDefault="00D935B9" w:rsidP="00D935B9">
      <w:pPr>
        <w:pStyle w:val="NormalHanging12a"/>
        <w:widowControl/>
      </w:pPr>
      <w:r w:rsidRPr="00036EE5">
        <w:t>–</w:t>
      </w:r>
      <w:r w:rsidRPr="00036EE5">
        <w:tab/>
        <w:t>med beaktande av betänkandet från utskottet för konstitutionella frågor (A9-0436/2023), och av följande skäl:</w:t>
      </w:r>
    </w:p>
    <w:p w14:paraId="0F6F8A92" w14:textId="77777777" w:rsidR="00D935B9" w:rsidRPr="00036EE5" w:rsidRDefault="00D935B9" w:rsidP="00D935B9">
      <w:pPr>
        <w:pStyle w:val="NormalHanging12a"/>
        <w:widowControl/>
      </w:pPr>
      <w:r w:rsidRPr="00036EE5">
        <w:t>A.</w:t>
      </w:r>
      <w:r w:rsidRPr="00036EE5">
        <w:tab/>
        <w:t>EU-medborgarskapet inrättades i och med att Maastrichtfördraget trädde i kraft 1993 och stärktes ytterligare genom Lissabonfördraget 2009. Trettio år har gått sedan dess inrättande, och stora sociala, digitala, ekonomiska och politiska förändringar har ägt rum.</w:t>
      </w:r>
    </w:p>
    <w:p w14:paraId="4523CA12" w14:textId="77777777" w:rsidR="00D935B9" w:rsidRPr="00036EE5" w:rsidRDefault="00D935B9" w:rsidP="00D935B9">
      <w:pPr>
        <w:pStyle w:val="NormalHanging12a"/>
        <w:widowControl/>
        <w:rPr>
          <w:b/>
          <w:i/>
        </w:rPr>
      </w:pPr>
      <w:r w:rsidRPr="00036EE5">
        <w:t>B.</w:t>
      </w:r>
      <w:r w:rsidRPr="00036EE5">
        <w:rPr>
          <w:b/>
          <w:i/>
        </w:rPr>
        <w:tab/>
      </w:r>
      <w:r w:rsidRPr="00036EE5">
        <w:t>Enligt artikel 20.1 i EUF-fördraget ska EU-medborgarskapet komplettera och inte ersätta det nationella medborgarskapet. EU-medborgarskapet medför ännu inga skyldigheter för unionsmedborgarna.</w:t>
      </w:r>
    </w:p>
    <w:p w14:paraId="090BF5E0" w14:textId="77777777" w:rsidR="00D935B9" w:rsidRPr="00036EE5" w:rsidRDefault="00D935B9" w:rsidP="00D935B9">
      <w:pPr>
        <w:pStyle w:val="NormalHanging12a"/>
        <w:widowControl/>
        <w:rPr>
          <w:shd w:val="clear" w:color="auto" w:fill="FFFFFF"/>
        </w:rPr>
      </w:pPr>
      <w:r w:rsidRPr="00036EE5">
        <w:t>C.</w:t>
      </w:r>
      <w:r w:rsidRPr="00036EE5">
        <w:tab/>
      </w:r>
      <w:r w:rsidRPr="00036EE5">
        <w:rPr>
          <w:shd w:val="clear" w:color="auto" w:fill="FFFFFF"/>
        </w:rPr>
        <w:t>EU-medborgarskapet är en unik konstruktion som återspeglar EU-medborgarnas gemensamma demokratiska identitet och gemensamma värderingar. Det har bidragit till att skapa kontakter, främja jämlikhet och förkasta alla former av rasism och diskriminering. EU-medborgarskapet har ännu inte nått sin fulla potential.</w:t>
      </w:r>
    </w:p>
    <w:p w14:paraId="2AE443FB" w14:textId="77777777" w:rsidR="00D935B9" w:rsidRPr="00036EE5" w:rsidRDefault="00D935B9" w:rsidP="00D935B9">
      <w:pPr>
        <w:pStyle w:val="NormalHanging12a"/>
        <w:widowControl/>
      </w:pPr>
      <w:r w:rsidRPr="00036EE5">
        <w:rPr>
          <w:shd w:val="clear" w:color="auto" w:fill="FFFFFF"/>
        </w:rPr>
        <w:t>D.</w:t>
      </w:r>
      <w:r w:rsidRPr="00036EE5">
        <w:rPr>
          <w:b/>
          <w:i/>
          <w:shd w:val="clear" w:color="auto" w:fill="FFFFFF"/>
        </w:rPr>
        <w:tab/>
      </w:r>
      <w:r w:rsidRPr="00036EE5">
        <w:rPr>
          <w:shd w:val="clear" w:color="auto" w:fill="FFFFFF"/>
        </w:rPr>
        <w:t>Den fria rörligheten har gjort det möjligt för över 15 miljoner EU-medborgare</w:t>
      </w:r>
      <w:r w:rsidRPr="00036EE5">
        <w:rPr>
          <w:rStyle w:val="FootnoteReference"/>
          <w:shd w:val="clear" w:color="auto" w:fill="FFFFFF"/>
        </w:rPr>
        <w:footnoteReference w:id="22"/>
      </w:r>
      <w:r w:rsidRPr="00036EE5">
        <w:rPr>
          <w:shd w:val="clear" w:color="auto" w:fill="FFFFFF"/>
        </w:rPr>
        <w:t xml:space="preserve"> att bo och arbeta i en annan medlemsstat och alla EU-medborgare att resa fritt inom EU, vilket har gjort EU-medborgarskapet viktigare än någonsin.</w:t>
      </w:r>
    </w:p>
    <w:p w14:paraId="1210B11A" w14:textId="77777777" w:rsidR="00D935B9" w:rsidRPr="00036EE5" w:rsidRDefault="00D935B9" w:rsidP="00D935B9">
      <w:pPr>
        <w:pStyle w:val="NormalHanging12a"/>
        <w:widowControl/>
      </w:pPr>
      <w:r w:rsidRPr="00036EE5">
        <w:t>E.</w:t>
      </w:r>
      <w:r w:rsidRPr="00036EE5">
        <w:tab/>
      </w:r>
      <w:r w:rsidRPr="00036EE5">
        <w:rPr>
          <w:shd w:val="clear" w:color="auto" w:fill="FFFFFF"/>
        </w:rPr>
        <w:t>EU-medborgarna har i alltför många fall inte tillräcklig medvetenhet och kunskap om samt förståelse av de rättigheter, medborgerliga skyldigheter och friheter som följer av EU-medborgarskapet. Det finns fortfarande betydande brister i tillämpningen av EU-medborgarskapet i praktiken och när det gäller ett fullständigt utövande av de rättigheter och friheter som följer av det, varav en del beror på att medlemsstaterna inte tillämpar EU-lagstiftningen på ett enhetligt sätt.</w:t>
      </w:r>
    </w:p>
    <w:p w14:paraId="2566FFC6" w14:textId="2F50D848" w:rsidR="00D935B9" w:rsidRPr="00036EE5" w:rsidRDefault="00D935B9" w:rsidP="00D935B9">
      <w:pPr>
        <w:pStyle w:val="NormalHanging12a"/>
        <w:widowControl/>
      </w:pPr>
      <w:r w:rsidRPr="00036EE5">
        <w:t>F.</w:t>
      </w:r>
      <w:r w:rsidRPr="00036EE5">
        <w:tab/>
      </w:r>
      <w:r w:rsidR="00F36B4D" w:rsidRPr="00036EE5">
        <w:rPr>
          <w:szCs w:val="24"/>
          <w:lang w:eastAsia="en-US"/>
        </w:rPr>
        <w:t>Resultaten av det offentliga samrådet om EU-medborgarskapet 2020 visade att mer än 60 procent av dem som deltog inte ansåg sig vara välinformerade om sina rättigheter som EU-medborgare</w:t>
      </w:r>
      <w:r w:rsidR="00F36B4D" w:rsidRPr="00036EE5">
        <w:rPr>
          <w:rStyle w:val="FootnoteReference"/>
          <w:szCs w:val="24"/>
          <w:lang w:eastAsia="en-US"/>
        </w:rPr>
        <w:footnoteReference w:id="23"/>
      </w:r>
      <w:r w:rsidR="00F36B4D" w:rsidRPr="00036EE5">
        <w:rPr>
          <w:szCs w:val="24"/>
          <w:lang w:eastAsia="en-US"/>
        </w:rPr>
        <w:t>. 2023 års Flash Eurobarometer om medborgarskap och demokrati visar att hälften av de tillfrågade anser sig vara väl informerade om sina rättigheter som EU-medborgare.</w:t>
      </w:r>
    </w:p>
    <w:p w14:paraId="7B6F13C9" w14:textId="77777777" w:rsidR="00D935B9" w:rsidRPr="00036EE5" w:rsidRDefault="00D935B9" w:rsidP="00D935B9">
      <w:pPr>
        <w:pStyle w:val="NormalHanging12a"/>
        <w:widowControl/>
      </w:pPr>
      <w:r w:rsidRPr="00036EE5">
        <w:t>G.</w:t>
      </w:r>
      <w:r w:rsidRPr="00036EE5">
        <w:tab/>
        <w:t>EU-medborgarna har ställts inför aldrig tidigare skådade utmaningar till följd av covid-19-pandemin, utöver den digitala revolutionen och de sociala och ekonomiska omställningar som är kopplade till den.</w:t>
      </w:r>
    </w:p>
    <w:p w14:paraId="6F570372" w14:textId="77777777" w:rsidR="00D935B9" w:rsidRPr="00036EE5" w:rsidRDefault="00D935B9" w:rsidP="00D935B9">
      <w:pPr>
        <w:pStyle w:val="NormalHanging12a"/>
        <w:widowControl/>
        <w:shd w:val="clear" w:color="auto" w:fill="FFFFFF" w:themeFill="background1"/>
      </w:pPr>
      <w:r w:rsidRPr="00036EE5">
        <w:t>H.</w:t>
      </w:r>
      <w:r w:rsidRPr="00036EE5">
        <w:tab/>
        <w:t>En sammanställning och konsolidering av befintliga och kommande rättigheter skulle bidra till ett bättre och mer välinformerat utövande av de rättigheter och friheter som följer av EU-medborgarskapet.</w:t>
      </w:r>
    </w:p>
    <w:p w14:paraId="782C2F50" w14:textId="77777777" w:rsidR="00D935B9" w:rsidRPr="00036EE5" w:rsidRDefault="00D935B9" w:rsidP="00D935B9">
      <w:pPr>
        <w:pStyle w:val="NormalHanging12a"/>
        <w:widowControl/>
        <w:shd w:val="clear" w:color="auto" w:fill="FFFFFF" w:themeFill="background1"/>
      </w:pPr>
      <w:r w:rsidRPr="00036EE5">
        <w:t>I.</w:t>
      </w:r>
      <w:r w:rsidRPr="00036EE5">
        <w:tab/>
        <w:t>Konferensen om Europas framtid utgör ett konkret exempel på medborgarnas deltagande i unionens demokratiska liv. Slutsatserna från den innehåller förslag och åtgärder som återspeglar överenskommelsen mellan EU-institutionerna och EU</w:t>
      </w:r>
      <w:r w:rsidRPr="00036EE5">
        <w:noBreakHyphen/>
        <w:t>medborgarna om att stärka EU-medborgarskapet.</w:t>
      </w:r>
    </w:p>
    <w:p w14:paraId="521FF67D" w14:textId="77777777" w:rsidR="00D935B9" w:rsidRPr="00036EE5" w:rsidRDefault="00D935B9" w:rsidP="00D935B9">
      <w:pPr>
        <w:pStyle w:val="NormalHanging12a"/>
        <w:widowControl/>
        <w:shd w:val="clear" w:color="auto" w:fill="FFFFFF" w:themeFill="background1"/>
      </w:pPr>
      <w:r w:rsidRPr="00036EE5">
        <w:t>J.</w:t>
      </w:r>
      <w:r w:rsidRPr="00036EE5">
        <w:tab/>
        <w:t>Befintliga hinder för utövandet av de rättigheter som följer av EU-medborgarskapet skapar situationer av ojämlikhet och diskriminering bland EU-medborgarna, särskilt rörliga EU-medborgare och deras familjemedlemmar, i synnerhet barn, personer som bor i EU:s gränsregioner och landsbygdsområden och personer i utsatta och marginaliserade grupper, till exempel minoriteter, låginkomsttagare, hemlösa, äldre, personer med funktionsnedsättning samt personer som riskerar digital utestängning.</w:t>
      </w:r>
    </w:p>
    <w:p w14:paraId="2F3FFEF0" w14:textId="77777777" w:rsidR="00D935B9" w:rsidRPr="00036EE5" w:rsidRDefault="00D935B9" w:rsidP="00D935B9">
      <w:pPr>
        <w:pStyle w:val="NormalHanging12a"/>
        <w:widowControl/>
        <w:rPr>
          <w:rStyle w:val="y2iqfc"/>
          <w:color w:val="000000"/>
          <w:shd w:val="clear" w:color="auto" w:fill="FFFFFF"/>
        </w:rPr>
      </w:pPr>
      <w:r w:rsidRPr="00036EE5">
        <w:t>K.</w:t>
      </w:r>
      <w:r w:rsidRPr="00036EE5">
        <w:tab/>
        <w:t>Uppemot 87 miljoner EU-medborgare lever med någon form av funktionsnedsättning</w:t>
      </w:r>
      <w:r w:rsidRPr="00036EE5">
        <w:rPr>
          <w:rStyle w:val="FootnoteReference"/>
          <w:color w:val="000000"/>
          <w:shd w:val="clear" w:color="auto" w:fill="FFFFFF"/>
        </w:rPr>
        <w:footnoteReference w:id="24"/>
      </w:r>
      <w:r w:rsidRPr="00036EE5">
        <w:t xml:space="preserve"> och har svårt att utöva sina medborgerliga rättigheter. Dessa svårigheter medför ibland ett direkt förnekande av deras rätt till fri rörlighet och vistelse och begränsningar i utövandet av deras politiska rättigheter.</w:t>
      </w:r>
    </w:p>
    <w:p w14:paraId="45241BBF" w14:textId="77777777" w:rsidR="00D935B9" w:rsidRPr="00036EE5" w:rsidRDefault="00D935B9" w:rsidP="00D935B9">
      <w:pPr>
        <w:pStyle w:val="NormalHanging12a"/>
        <w:widowControl/>
      </w:pPr>
      <w:r w:rsidRPr="00036EE5">
        <w:rPr>
          <w:rStyle w:val="y2iqfc"/>
          <w:color w:val="000000"/>
          <w:shd w:val="clear" w:color="auto" w:fill="FFFFFF"/>
        </w:rPr>
        <w:t>L</w:t>
      </w:r>
      <w:r w:rsidRPr="00036EE5">
        <w:rPr>
          <w:rStyle w:val="y2iqfc"/>
          <w:b/>
          <w:color w:val="000000"/>
          <w:shd w:val="clear" w:color="auto" w:fill="FFFFFF"/>
        </w:rPr>
        <w:t>.</w:t>
      </w:r>
      <w:r w:rsidRPr="00036EE5">
        <w:rPr>
          <w:rStyle w:val="y2iqfc"/>
          <w:color w:val="000000"/>
          <w:shd w:val="clear" w:color="auto" w:fill="FFFFFF"/>
        </w:rPr>
        <w:tab/>
      </w:r>
      <w:r w:rsidRPr="00036EE5">
        <w:t>Vissa medlemsstater erbjuder fortfarande så kallade guldvisumprogram och investerarsystem som ett sätt att erhålla medborgarskap och följaktligen EU</w:t>
      </w:r>
      <w:r w:rsidRPr="00036EE5">
        <w:noBreakHyphen/>
        <w:t>medborgarskap.</w:t>
      </w:r>
    </w:p>
    <w:p w14:paraId="15495112" w14:textId="77777777" w:rsidR="00D935B9" w:rsidRPr="00036EE5" w:rsidRDefault="00D935B9" w:rsidP="00D935B9">
      <w:pPr>
        <w:pStyle w:val="NormalHanging12a"/>
        <w:widowControl/>
        <w:rPr>
          <w:b/>
          <w:i/>
        </w:rPr>
      </w:pPr>
      <w:r w:rsidRPr="00036EE5">
        <w:rPr>
          <w:b/>
          <w:i/>
        </w:rPr>
        <w:t>Inledning</w:t>
      </w:r>
    </w:p>
    <w:p w14:paraId="38B7DB7C" w14:textId="77777777" w:rsidR="00D935B9" w:rsidRPr="00036EE5" w:rsidRDefault="00D935B9" w:rsidP="00D935B9">
      <w:pPr>
        <w:pStyle w:val="NormalHanging12a"/>
        <w:widowControl/>
      </w:pPr>
      <w:r w:rsidRPr="00036EE5">
        <w:t>1.</w:t>
      </w:r>
      <w:r w:rsidRPr="00036EE5">
        <w:tab/>
        <w:t>Europaparlamentet anser att EU-medborgarskapet omfattar den gemensamma europeiska demokratiska identitet och de särskilda rättigheter, medborgerliga skyldigheter och friheter som är knutna till den, och att utövandet av dessa rättigheter, både online och offline, stärker medborgarnas koppling till EU och dess demokratiska legitimitet samt ger dem ytterligare rättigheter.</w:t>
      </w:r>
    </w:p>
    <w:p w14:paraId="006BE384" w14:textId="77777777" w:rsidR="00D935B9" w:rsidRPr="00036EE5" w:rsidRDefault="00D935B9" w:rsidP="00D935B9">
      <w:pPr>
        <w:pStyle w:val="NormalHanging12a"/>
        <w:widowControl/>
      </w:pPr>
      <w:r w:rsidRPr="00036EE5">
        <w:t>2.</w:t>
      </w:r>
      <w:r w:rsidRPr="00036EE5">
        <w:tab/>
        <w:t>Europaparlamentet påpekar att EU-medborgarskapet som konstruktion måste vidareutvecklas för att man ska kunna ta itu med 2000-talets behov och utmaningar för EU, och erkänner den potential som digital innovation har liksom behovet av en välavvägd strategi för att hantera den komplexitet som globaliseringen och den nya tekniken ger upphov till. Parlamentet betonar att digitaliseringen av demokratiska processer, i kombination med otillräcklig både digital kompetens och tillgång till informations- och kommunikationsteknik, riskerar att bidra till en växande digital klyfta i utövandet av medborgerliga rättigheter som skulle göra att en del av allmänheten utestängs från det europeiska projektet.</w:t>
      </w:r>
    </w:p>
    <w:p w14:paraId="4603ECA9" w14:textId="77777777" w:rsidR="00D935B9" w:rsidRPr="00036EE5" w:rsidRDefault="00D935B9" w:rsidP="00D935B9">
      <w:pPr>
        <w:pStyle w:val="NormalHanging12a"/>
        <w:widowControl/>
        <w:rPr>
          <w:rStyle w:val="doceo-font-family-base"/>
          <w:rFonts w:eastAsiaTheme="minorHAnsi"/>
          <w:b/>
          <w:i/>
        </w:rPr>
      </w:pPr>
      <w:r w:rsidRPr="00036EE5">
        <w:rPr>
          <w:rStyle w:val="doceo-font-family-base"/>
        </w:rPr>
        <w:t>3.</w:t>
      </w:r>
      <w:r w:rsidRPr="00036EE5">
        <w:rPr>
          <w:rStyle w:val="doceo-font-family-base"/>
        </w:rPr>
        <w:tab/>
        <w:t>Europaparlamentet anser att flerspråkighet inom EU-institutionerna och i deras samverkan med medborgarna är en viktig aspekt för att förstärka begreppet EU</w:t>
      </w:r>
      <w:r w:rsidRPr="00036EE5">
        <w:rPr>
          <w:rStyle w:val="doceo-font-family-base"/>
        </w:rPr>
        <w:noBreakHyphen/>
        <w:t>medborgarskap. Parlamentet betonar i detta avseende att man i rådets slutsatser av den 13 juni 2005 räknade med att icke-officiella EU-språk som erkänns i en medlemsstat eller på en del av dess territorium skulle kunna användas av EU-medborgarna i deras kontakter med EU:s institutioner, liksom officiellt vid användning i EU:s institutioner eller organ, däribland Europaparlamentet.</w:t>
      </w:r>
      <w:r w:rsidRPr="00036EE5">
        <w:rPr>
          <w:rStyle w:val="doceo-font-family-base"/>
          <w:b/>
          <w:i/>
        </w:rPr>
        <w:t xml:space="preserve"> </w:t>
      </w:r>
    </w:p>
    <w:p w14:paraId="1F9AE198" w14:textId="77777777" w:rsidR="00D935B9" w:rsidRPr="00036EE5" w:rsidRDefault="00D935B9" w:rsidP="00D935B9">
      <w:pPr>
        <w:pStyle w:val="NormalHanging12a"/>
        <w:widowControl/>
        <w:rPr>
          <w:rStyle w:val="doceo-font-family-base"/>
        </w:rPr>
      </w:pPr>
      <w:r w:rsidRPr="00036EE5">
        <w:rPr>
          <w:rStyle w:val="doceo-font-family-base"/>
        </w:rPr>
        <w:t>4.</w:t>
      </w:r>
      <w:r w:rsidRPr="00036EE5">
        <w:rPr>
          <w:rStyle w:val="doceo-font-family-base"/>
        </w:rPr>
        <w:tab/>
      </w:r>
      <w:r w:rsidRPr="00036EE5">
        <w:t>Europaparlamentet påpekar att det efterlyste en stadga för EU-medborgarskapet i sin resolution av den 12 februari 2019 om genomförandet av bestämmelserna i fördraget avseende EU-medborgarskapet och i sin resolution av den 10 mars 2022 om rapporten om EU-medborgarskapet 2020: Stärka medborgarna och skydda deras rättigheter.</w:t>
      </w:r>
      <w:r w:rsidRPr="00036EE5">
        <w:rPr>
          <w:rStyle w:val="doceo-font-family-base"/>
        </w:rPr>
        <w:t xml:space="preserve"> </w:t>
      </w:r>
      <w:r w:rsidRPr="00036EE5">
        <w:t>Parlamentet påminner om att konferensen om Europas framtid underströk vikten av att stärka EU-medborgarskapet genom att i slutsatserna nämna att en sådan stadga skulle vara ett användbart verktyg för att göra EU:s principer och värden mer konkreta.</w:t>
      </w:r>
    </w:p>
    <w:p w14:paraId="13CD4D21" w14:textId="77777777" w:rsidR="00D935B9" w:rsidRPr="00036EE5" w:rsidRDefault="00D935B9" w:rsidP="00D935B9">
      <w:pPr>
        <w:pStyle w:val="NormalHanging12a"/>
        <w:widowControl/>
      </w:pPr>
      <w:r w:rsidRPr="00036EE5">
        <w:t>5.</w:t>
      </w:r>
      <w:r w:rsidRPr="00036EE5">
        <w:tab/>
        <w:t>Europaparlamentet beklagar att kommissionen inte uttryckligen nämnde stärkandet av EU-medborgarskapet och möjliga sätt att uppnå detta i sitt meddelande som uppföljning av konferensen om Europas framtid</w:t>
      </w:r>
      <w:r w:rsidRPr="00036EE5">
        <w:rPr>
          <w:rStyle w:val="FootnoteReference"/>
          <w:bCs/>
        </w:rPr>
        <w:footnoteReference w:id="25"/>
      </w:r>
      <w:r w:rsidRPr="00036EE5">
        <w:t>. Parlamentet påminner om att rådet visade en vilja att stärka medborgarskapet i den tekniska bedömning som det offentliggjorde i samband med konferensen om Europas framtid men att det ännu inte föreslagit, vidtagit eller genomfört några åtgärder för att uppnå detta mål.</w:t>
      </w:r>
    </w:p>
    <w:p w14:paraId="46149459" w14:textId="77777777" w:rsidR="00D935B9" w:rsidRPr="00036EE5" w:rsidRDefault="00D935B9" w:rsidP="00D935B9">
      <w:pPr>
        <w:pStyle w:val="NormalHanging12a"/>
        <w:widowControl/>
      </w:pPr>
      <w:r w:rsidRPr="00036EE5">
        <w:t>6.</w:t>
      </w:r>
      <w:r w:rsidRPr="00036EE5">
        <w:tab/>
        <w:t>Europaparlamentet påminner om att kommissionen kommer att offentliggöra sin rapport om EU-medborgarskapet 2023 före årets slut, och förväntar sig att rapporten innehåller förslag om nya initiativ för att stärka EU-medborgarskapet och ta itu med bristerna i dess genomförande. Parlamentet beklagar att kommissionen denna gång har valt att offentliggöra en inbjudan att inkomma med synpunkter och inte ett offentligt samråd, som den gjort tidigare år. Parlamentet påminner om att resultaten av inbjudan att inkomma med synpunkter inte innehåller någon heltäckande översikt över den senaste utvecklingen och bristerna i genomförandet. Parlamentet betonar att rapporten bör utarbetas på grundval av aktuella uppgifter.</w:t>
      </w:r>
    </w:p>
    <w:p w14:paraId="1E8BFE5D" w14:textId="77777777" w:rsidR="00D935B9" w:rsidRPr="00036EE5" w:rsidRDefault="00D935B9" w:rsidP="00D935B9">
      <w:pPr>
        <w:pStyle w:val="NormalHanging12a"/>
        <w:widowControl/>
        <w:rPr>
          <w:b/>
          <w:i/>
        </w:rPr>
      </w:pPr>
      <w:r w:rsidRPr="00036EE5">
        <w:rPr>
          <w:b/>
          <w:i/>
        </w:rPr>
        <w:t>Problem med EU-medborgarskapet</w:t>
      </w:r>
    </w:p>
    <w:p w14:paraId="7BA9FC11" w14:textId="77777777" w:rsidR="00D935B9" w:rsidRPr="00036EE5" w:rsidRDefault="00D935B9" w:rsidP="00D935B9">
      <w:pPr>
        <w:pStyle w:val="NormalHanging12a"/>
        <w:widowControl/>
        <w:rPr>
          <w:bCs/>
        </w:rPr>
      </w:pPr>
      <w:r w:rsidRPr="00036EE5">
        <w:t>7.</w:t>
      </w:r>
      <w:r w:rsidRPr="00036EE5">
        <w:tab/>
        <w:t>Europaparlamentet är bekymrat över de specifika svårigheter som hindrar ett fullständigt utövande av de rättigheter och friheter som följer av EU-medborgarskapet.</w:t>
      </w:r>
    </w:p>
    <w:p w14:paraId="4338008D" w14:textId="77777777" w:rsidR="00D935B9" w:rsidRPr="00036EE5" w:rsidRDefault="00D935B9" w:rsidP="00D935B9">
      <w:pPr>
        <w:pStyle w:val="NormalHanging12a"/>
        <w:widowControl/>
        <w:rPr>
          <w:b/>
          <w:i/>
        </w:rPr>
      </w:pPr>
      <w:r w:rsidRPr="00036EE5">
        <w:rPr>
          <w:b/>
          <w:i/>
        </w:rPr>
        <w:t>Politiska rättigheter</w:t>
      </w:r>
    </w:p>
    <w:p w14:paraId="5679FC1C" w14:textId="77777777" w:rsidR="00D935B9" w:rsidRPr="00036EE5" w:rsidRDefault="00D935B9" w:rsidP="00D935B9">
      <w:pPr>
        <w:pStyle w:val="NormalHanging12a"/>
        <w:widowControl/>
        <w:rPr>
          <w:rStyle w:val="y2iqfc"/>
        </w:rPr>
      </w:pPr>
      <w:r w:rsidRPr="00036EE5">
        <w:rPr>
          <w:rStyle w:val="y2iqfc"/>
        </w:rPr>
        <w:t>8.</w:t>
      </w:r>
      <w:r w:rsidRPr="00036EE5">
        <w:rPr>
          <w:rStyle w:val="y2iqfc"/>
        </w:rPr>
        <w:tab/>
        <w:t>Europaparlamentet beklagar djupt att rörliga medborgare är mindre benägna att utöva sin rösträtt och rätten att vara valbar i val till Europaparlamentet och i kommunala val i den medlemsstat där de är bosatta. Orsakerna till detta är bland annat otillräcklig information, språkliga hinder, svårigheter att registrera sig för att rösta och det låga antalet framgångsrika utländska kandidater.</w:t>
      </w:r>
    </w:p>
    <w:p w14:paraId="20C9A4AD" w14:textId="77777777" w:rsidR="00D935B9" w:rsidRPr="00036EE5" w:rsidRDefault="00D935B9" w:rsidP="00D935B9">
      <w:pPr>
        <w:pStyle w:val="NormalHanging12a"/>
        <w:widowControl/>
      </w:pPr>
      <w:r w:rsidRPr="00036EE5">
        <w:t>9.</w:t>
      </w:r>
      <w:r w:rsidRPr="00036EE5">
        <w:tab/>
        <w:t>Europaparlamentet är mycket oroat över vissa medlemsstaters praxis att frånta sina medborgare rätten att rösta i nationella parlamentsval när de är bosatta utomlands tillfälligt eller permanent. Denna praxis leder till att de utestängs från det politiska livet i både ursprungslandet och bosättningslandet.</w:t>
      </w:r>
      <w:r w:rsidRPr="00036EE5">
        <w:rPr>
          <w:b/>
          <w:i/>
        </w:rPr>
        <w:t xml:space="preserve"> </w:t>
      </w:r>
    </w:p>
    <w:p w14:paraId="72BF46E7" w14:textId="77777777" w:rsidR="00D935B9" w:rsidRPr="00036EE5" w:rsidRDefault="00D935B9" w:rsidP="00D935B9">
      <w:pPr>
        <w:pStyle w:val="NormalHanging12a"/>
        <w:widowControl/>
        <w:rPr>
          <w:b/>
          <w:i/>
        </w:rPr>
      </w:pPr>
      <w:r w:rsidRPr="00036EE5">
        <w:rPr>
          <w:b/>
          <w:i/>
        </w:rPr>
        <w:t>Fri rörlighet och vistelse</w:t>
      </w:r>
    </w:p>
    <w:p w14:paraId="2F1005C1" w14:textId="77777777" w:rsidR="00D935B9" w:rsidRPr="00036EE5" w:rsidRDefault="00D935B9" w:rsidP="00D935B9">
      <w:pPr>
        <w:pStyle w:val="NormalHanging12a"/>
        <w:widowControl/>
      </w:pPr>
      <w:r w:rsidRPr="00036EE5">
        <w:t>10.</w:t>
      </w:r>
      <w:r w:rsidRPr="00036EE5">
        <w:rPr>
          <w:b/>
          <w:i/>
        </w:rPr>
        <w:tab/>
      </w:r>
      <w:r w:rsidRPr="00036EE5">
        <w:t>Europaparlamentet betonar att Schengenområdet är en av EU:s största framgångar Parlamentet betonar att alla hinder för den fria rörligheten inom EU bör undanröjas för att alla EU-medborgare ska ha samma rättigheter till följd av EU-medborgarskapet. Parlamentet efterlyser en anslutning för Rumänien och Bulgarien till Schengenområdet, i enlighet med parlamentets resolutioner.</w:t>
      </w:r>
    </w:p>
    <w:p w14:paraId="14B97E14" w14:textId="77777777" w:rsidR="00D935B9" w:rsidRPr="00036EE5" w:rsidRDefault="00D935B9" w:rsidP="00D935B9">
      <w:pPr>
        <w:pStyle w:val="NormalHanging12a"/>
        <w:widowControl/>
        <w:rPr>
          <w:b/>
          <w:i/>
        </w:rPr>
      </w:pPr>
      <w:r w:rsidRPr="00036EE5">
        <w:t>11.</w:t>
      </w:r>
      <w:r w:rsidRPr="00036EE5">
        <w:tab/>
        <w:t>Europaparlamentet är bekymrat över att rörliga EU-medborgare, särskilt personer från utsatta grupper, behandlas annorlunda än respektive lands egna medborgare i de medlemsstater där de är bosatta när det gäller tillgång till förmåner.</w:t>
      </w:r>
      <w:r w:rsidRPr="00036EE5">
        <w:rPr>
          <w:rStyle w:val="y2iqfc"/>
        </w:rPr>
        <w:t xml:space="preserve"> </w:t>
      </w:r>
      <w:r w:rsidRPr="00036EE5">
        <w:t>Parlamentet uppmanar medlemsstaterna att i vederbörlig ordning genomföra rättspraxis från Europeiska unionens domstol som förbjuder sådan diskriminering.</w:t>
      </w:r>
      <w:r w:rsidRPr="00036EE5">
        <w:rPr>
          <w:b/>
          <w:i/>
        </w:rPr>
        <w:t xml:space="preserve"> </w:t>
      </w:r>
    </w:p>
    <w:p w14:paraId="2B268B40" w14:textId="77777777" w:rsidR="00D935B9" w:rsidRPr="00036EE5" w:rsidRDefault="00D935B9" w:rsidP="00D935B9">
      <w:pPr>
        <w:pStyle w:val="NormalHanging12a"/>
        <w:widowControl/>
      </w:pPr>
      <w:r w:rsidRPr="00036EE5">
        <w:t>12.</w:t>
      </w:r>
      <w:r w:rsidRPr="00036EE5">
        <w:rPr>
          <w:b/>
          <w:i/>
        </w:rPr>
        <w:tab/>
      </w:r>
      <w:r w:rsidRPr="00036EE5">
        <w:t>Europaparlamentet är bekymrat över de svårigheter och utmaningar som medborgare som bor i EU:s gränsregioner ställs inför, särskilt i händelse av gränsstängningar till följd av EU-omfattande eller regionala kriser. Parlamentet uppmanar i sådana fall medlemsstaterna att upprätthålla gränsöverskridande samarbete och, när så är lämpligt, nära samverkan med relevanta lokala och regionala myndigheter.</w:t>
      </w:r>
    </w:p>
    <w:p w14:paraId="00B8E2C2" w14:textId="77777777" w:rsidR="00D935B9" w:rsidRPr="00036EE5" w:rsidRDefault="00D935B9" w:rsidP="00D935B9">
      <w:pPr>
        <w:pStyle w:val="NormalHanging12a"/>
        <w:widowControl/>
        <w:rPr>
          <w:b/>
          <w:i/>
        </w:rPr>
      </w:pPr>
      <w:r w:rsidRPr="00036EE5">
        <w:rPr>
          <w:b/>
          <w:i/>
        </w:rPr>
        <w:t>Konsulärt skydd</w:t>
      </w:r>
    </w:p>
    <w:p w14:paraId="4FDFCB0C" w14:textId="77777777" w:rsidR="00D935B9" w:rsidRPr="00036EE5" w:rsidRDefault="00D935B9" w:rsidP="00D935B9">
      <w:pPr>
        <w:pStyle w:val="NormalHanging12a"/>
        <w:widowControl/>
      </w:pPr>
      <w:r w:rsidRPr="00036EE5">
        <w:t>13.</w:t>
      </w:r>
      <w:r w:rsidRPr="00036EE5">
        <w:tab/>
        <w:t>Europaparlamentet är bekymrat över bristerna i genomförandet av direktivet om konsulärt skydd och bristerna i hur medlemsstaternas konsulära nätverk fungerar, samt noterar att dessa brister ökat efter Förenade kungarikets utträde ur EU. I detta sammanhang beklagar parlamentet djupt att EU-medborgare har begränsad tillgång till konsulärt skydd och bistånd i vissa tredjeländer.</w:t>
      </w:r>
    </w:p>
    <w:p w14:paraId="577D6965" w14:textId="77777777" w:rsidR="00D935B9" w:rsidRPr="00036EE5" w:rsidRDefault="00D935B9" w:rsidP="00D935B9">
      <w:pPr>
        <w:pStyle w:val="NormalHanging12a"/>
        <w:widowControl/>
      </w:pPr>
      <w:r w:rsidRPr="00036EE5">
        <w:t>14.</w:t>
      </w:r>
      <w:r w:rsidRPr="00036EE5">
        <w:tab/>
        <w:t>Europaparlamentet påpekar att det har förekommit fall där två personer som är medborgare i två olika medlemsstater inte har kunnat fullgöra vissa formaliteter, såsom att ingå äktenskap, vid en av medlemsstaternas konsulära beskickning, även om den andra medlemsstaten inte har någon tillgänglig konsulär beskickning i landet i fråga.</w:t>
      </w:r>
    </w:p>
    <w:p w14:paraId="01412B6D" w14:textId="77777777" w:rsidR="00D935B9" w:rsidRPr="00036EE5" w:rsidRDefault="00D935B9" w:rsidP="00D935B9">
      <w:pPr>
        <w:pStyle w:val="NormalHanging12a"/>
        <w:widowControl/>
        <w:rPr>
          <w:b/>
          <w:i/>
        </w:rPr>
      </w:pPr>
      <w:r w:rsidRPr="00036EE5">
        <w:rPr>
          <w:b/>
          <w:i/>
        </w:rPr>
        <w:t>Diskriminering</w:t>
      </w:r>
    </w:p>
    <w:p w14:paraId="3C2B9F02" w14:textId="77777777" w:rsidR="00D935B9" w:rsidRPr="00036EE5" w:rsidRDefault="00D935B9" w:rsidP="00D935B9">
      <w:pPr>
        <w:pStyle w:val="NormalHanging12a"/>
        <w:widowControl/>
      </w:pPr>
      <w:r w:rsidRPr="00036EE5">
        <w:t>15.</w:t>
      </w:r>
      <w:r w:rsidRPr="00036EE5">
        <w:tab/>
        <w:t>Europaparlamentet anser att bristen på enhetlighet i medlemsstaternas bestämmelser om förvärv och förlust av nationellt medborgarskap har lett till skillnader när det gäller förvärv och förlust av EU-medborgarskap, och att dessa skillnader i vissa fall har lett till kränkningar av EU:s principer och värden.</w:t>
      </w:r>
    </w:p>
    <w:p w14:paraId="707FE239" w14:textId="77777777" w:rsidR="00D935B9" w:rsidRPr="00036EE5" w:rsidRDefault="00D935B9" w:rsidP="00D935B9">
      <w:pPr>
        <w:pStyle w:val="NormalHanging12a"/>
        <w:widowControl/>
      </w:pPr>
      <w:r w:rsidRPr="00036EE5">
        <w:t>16.</w:t>
      </w:r>
      <w:r w:rsidRPr="00036EE5">
        <w:tab/>
        <w:t xml:space="preserve">Europaparlamentet betonar att det fortfarande förekommer flera fall där förvärv av härledd uppehållsrätt för tredjelandsmedborgare vars underåriga familjemedlemmar är EU-medborgare vägras, trots utvecklingen i rättspraxis från Europeiska unionens domstol. </w:t>
      </w:r>
    </w:p>
    <w:p w14:paraId="7516897C" w14:textId="77777777" w:rsidR="00D935B9" w:rsidRPr="00036EE5" w:rsidRDefault="00D935B9" w:rsidP="00D935B9">
      <w:pPr>
        <w:pStyle w:val="NormalHanging12a"/>
        <w:widowControl/>
      </w:pPr>
      <w:r w:rsidRPr="00036EE5">
        <w:t>17.</w:t>
      </w:r>
      <w:r w:rsidRPr="00036EE5">
        <w:rPr>
          <w:b/>
        </w:rPr>
        <w:tab/>
      </w:r>
      <w:r w:rsidRPr="00036EE5">
        <w:t xml:space="preserve">Europaparlamentet ger på nytt uttryck för sin oro över den diskriminering som drabbar samkönade par och deras barn när de utövar den grundläggande rätten till fri rörlighet inom EU. </w:t>
      </w:r>
    </w:p>
    <w:p w14:paraId="7CA53FB9" w14:textId="77777777" w:rsidR="00D935B9" w:rsidRPr="00036EE5" w:rsidRDefault="00D935B9" w:rsidP="00D935B9">
      <w:pPr>
        <w:pStyle w:val="NormalHanging12a"/>
        <w:widowControl/>
        <w:rPr>
          <w:b/>
          <w:i/>
        </w:rPr>
      </w:pPr>
      <w:r w:rsidRPr="00036EE5">
        <w:rPr>
          <w:b/>
          <w:i/>
        </w:rPr>
        <w:t>Rekommendationer</w:t>
      </w:r>
    </w:p>
    <w:p w14:paraId="6A8A88C7" w14:textId="77777777" w:rsidR="00D935B9" w:rsidRPr="00036EE5" w:rsidRDefault="00D935B9" w:rsidP="00D935B9">
      <w:pPr>
        <w:pStyle w:val="NormalHanging12a"/>
        <w:widowControl/>
      </w:pPr>
      <w:r w:rsidRPr="00036EE5">
        <w:t>18.</w:t>
      </w:r>
      <w:r w:rsidRPr="00036EE5">
        <w:tab/>
        <w:t>Europaparlamentet uppmanar medlemsstaterna och regionala och lokala myndigheter att fullt ut genomföra de befintliga direktiven om rörliga medborgares rättigheter och att utan dröjsmål ta itu med de befintliga bristerna inför det kommande valet till Europaparlamentet. Parlamentet efterlyser riktade informationskampanjer i bosättningslandet för att informera rörliga EU-medborgare om deras rösträtt och deras rätt att vara valbara i val till Europaparlamentet och i kommunala val i det landet. Parlamentet upprepar sin uppmaning om att utvidga rörliga medborgares rättigheter till att omfatta nationella och regionala val.</w:t>
      </w:r>
    </w:p>
    <w:p w14:paraId="5FAE1BC6" w14:textId="77777777" w:rsidR="00D935B9" w:rsidRPr="00036EE5" w:rsidRDefault="00D935B9" w:rsidP="00D935B9">
      <w:pPr>
        <w:pStyle w:val="NormalHanging12a"/>
        <w:widowControl/>
      </w:pPr>
      <w:r w:rsidRPr="00036EE5">
        <w:t>19.</w:t>
      </w:r>
      <w:r w:rsidRPr="00036EE5">
        <w:tab/>
        <w:t>Europaparlamentet uppmanar medlemsstaterna att garantera sina utlandsbosatta medborgares rätt att rösta i sitt ursprungsland, om denna rätt erkänns, genom att skapa regleringsvillkor för att möjliggöra deras röstning och genom att undanröja eventuella byråkratiska hinder som försvårar och ibland helt sätter stopp för utövandet av denna rättighet. Parlamentet uppmanar i synnerhet medlemsstaterna att på samma sätt garantera sådana rättigheter och att avskaffa alla former av differentierad behandling av sina utlandsbosatta medborgare när det gäller distansröstning, särskilt poströstning, i tillämpliga fall. Parlamentet efterlyser en enhetlig tillämpning av rösträtten i valet till Europaparlamentet för EU-medborgare som är bosatta utanför EU.</w:t>
      </w:r>
    </w:p>
    <w:p w14:paraId="356C60D5" w14:textId="77777777" w:rsidR="00D935B9" w:rsidRPr="00036EE5" w:rsidRDefault="00D935B9" w:rsidP="00D935B9">
      <w:pPr>
        <w:pStyle w:val="NormalHanging12a"/>
        <w:widowControl/>
      </w:pPr>
      <w:r w:rsidRPr="00036EE5">
        <w:t>20.</w:t>
      </w:r>
      <w:r w:rsidRPr="00036EE5">
        <w:tab/>
        <w:t>Europaparlamentet uppmanar kommissionen att anta ett nytt meddelande som förtydligar vissa centrala begrepp i direktiv 2004/38/EG om unionsmedborgares och deras familjemedlemmars rätt att fritt röra sig och uppehålla sig inom EU, i syfte att förse medlemsstaterna med uppdaterade riktlinjer som skulle kunna bidra till att förbättra direktivets genomförande på nationell nivå och därmed gynna EU</w:t>
      </w:r>
      <w:r w:rsidRPr="00036EE5">
        <w:noBreakHyphen/>
        <w:t>medborgarna och deras familjemedlemmar.</w:t>
      </w:r>
    </w:p>
    <w:p w14:paraId="19CBA66B" w14:textId="77777777" w:rsidR="00D935B9" w:rsidRPr="00036EE5" w:rsidRDefault="00D935B9" w:rsidP="00D935B9">
      <w:pPr>
        <w:pStyle w:val="NormalHanging12a"/>
        <w:widowControl/>
      </w:pPr>
      <w:r w:rsidRPr="00036EE5">
        <w:t>21.</w:t>
      </w:r>
      <w:r w:rsidRPr="00036EE5">
        <w:tab/>
        <w:t>Europaparlamentet uppmanar EU att främja antagandet av en bindande europeisk stadga om digitala rättigheter, inbegripet digitala rättigheter med anknytning till medborgarskap, på grundval av den europeiska förklaringen om digitala rättigheter och principer för det digitala decenniet.</w:t>
      </w:r>
    </w:p>
    <w:p w14:paraId="34BC24F3" w14:textId="7303D645" w:rsidR="00D935B9" w:rsidRPr="00036EE5" w:rsidRDefault="00D935B9" w:rsidP="00D935B9">
      <w:pPr>
        <w:pStyle w:val="NormalHanging12a"/>
        <w:widowControl/>
      </w:pPr>
      <w:r w:rsidRPr="00036EE5">
        <w:t>22.</w:t>
      </w:r>
      <w:r w:rsidRPr="00036EE5">
        <w:tab/>
      </w:r>
      <w:r w:rsidR="00F36B4D" w:rsidRPr="00036EE5">
        <w:rPr>
          <w:szCs w:val="24"/>
          <w:lang w:eastAsia="en-US"/>
        </w:rPr>
        <w:t xml:space="preserve">Europaparlamentet </w:t>
      </w:r>
      <w:r w:rsidR="00F36B4D" w:rsidRPr="00036EE5">
        <w:rPr>
          <w:bCs/>
          <w:iCs/>
          <w:szCs w:val="24"/>
          <w:lang w:eastAsia="en-US"/>
        </w:rPr>
        <w:t xml:space="preserve">välkomnar kommissionens </w:t>
      </w:r>
      <w:r w:rsidR="00F36B4D" w:rsidRPr="00036EE5">
        <w:rPr>
          <w:szCs w:val="24"/>
          <w:lang w:eastAsia="en-US"/>
        </w:rPr>
        <w:t xml:space="preserve">förslag om att uppdatera och förbättra direktivet om konsulärt skydd </w:t>
      </w:r>
      <w:r w:rsidR="00F36B4D" w:rsidRPr="00036EE5">
        <w:rPr>
          <w:bCs/>
          <w:iCs/>
          <w:szCs w:val="24"/>
          <w:lang w:eastAsia="en-US"/>
        </w:rPr>
        <w:t>för att stärka EU-medborgarnas rätt till konsulärt skydd, särskilt i krissituationer</w:t>
      </w:r>
      <w:r w:rsidR="00F36B4D" w:rsidRPr="00036EE5">
        <w:rPr>
          <w:szCs w:val="24"/>
          <w:lang w:eastAsia="en-US"/>
        </w:rPr>
        <w:t>, bland annat genom att ge EU-delegationerna en mer aktiv roll när det gäller att bistå underrepresenterade EU-medborgare.</w:t>
      </w:r>
    </w:p>
    <w:p w14:paraId="30E23C18" w14:textId="77777777" w:rsidR="00D935B9" w:rsidRPr="00036EE5" w:rsidRDefault="00D935B9" w:rsidP="00D935B9">
      <w:pPr>
        <w:pStyle w:val="NormalHanging12a"/>
        <w:widowControl/>
      </w:pPr>
      <w:r w:rsidRPr="00036EE5">
        <w:t>23.</w:t>
      </w:r>
      <w:r w:rsidRPr="00036EE5">
        <w:tab/>
        <w:t>Europaparlamentet uppmanar medlemsstaterna att sätta stopp för ”guldvisum” och system för uppehållstillstånd för investerare och andra liknande nationella system som leder till förvärv av medborgarskap och inbegriper direkt eller indirekt försäljning och missbruk av EU-medborgarskap, eftersom dessa undergräver själva begreppet EU</w:t>
      </w:r>
      <w:r w:rsidRPr="00036EE5">
        <w:noBreakHyphen/>
        <w:t>medborgarskap och strider mot EU:s principer och värden. Parlamentet uppmanar med kraft medlemsstaterna att skydda EU-medborgarskapets integritet och värde. Parlamentet uppmanar kommissionen att vidta alla nödvändiga åtgärder, såsom att hänvisa de berörda medlemsstaterna till Europeiska unionens domstol.</w:t>
      </w:r>
    </w:p>
    <w:p w14:paraId="722838EF" w14:textId="77777777" w:rsidR="00D935B9" w:rsidRPr="00036EE5" w:rsidRDefault="00D935B9" w:rsidP="00D935B9">
      <w:pPr>
        <w:pStyle w:val="NormalHanging12a"/>
        <w:widowControl/>
      </w:pPr>
      <w:r w:rsidRPr="00036EE5">
        <w:t>24.</w:t>
      </w:r>
      <w:r w:rsidRPr="00036EE5">
        <w:rPr>
          <w:b/>
          <w:i/>
        </w:rPr>
        <w:tab/>
      </w:r>
      <w:r w:rsidRPr="00036EE5">
        <w:t>Inom ramen för nästa översyn av fördragen efterlyser Europaparlamentet möjligheter för parlamentet och rådet att i enlighet med det ordinarie lagstiftningsförfarandet anta gemensamma bestämmelser om förhindrande av försäljning av pass eller andra former av missbruk i samband med tredjelandsmedborgares förvärv och förlust av EU</w:t>
      </w:r>
      <w:r w:rsidRPr="00036EE5">
        <w:noBreakHyphen/>
        <w:t xml:space="preserve">medborgarskap, i syfte att tillnärma villkoren för erhållande av </w:t>
      </w:r>
      <w:proofErr w:type="gramStart"/>
      <w:r w:rsidRPr="00036EE5">
        <w:t>sådana medborgarskap</w:t>
      </w:r>
      <w:proofErr w:type="gramEnd"/>
      <w:r w:rsidRPr="00036EE5">
        <w:t>.</w:t>
      </w:r>
    </w:p>
    <w:p w14:paraId="0C1D2F53" w14:textId="77777777" w:rsidR="00D935B9" w:rsidRPr="00036EE5" w:rsidRDefault="00D935B9" w:rsidP="00D935B9">
      <w:pPr>
        <w:pStyle w:val="NormalHanging12a"/>
        <w:widowControl/>
      </w:pPr>
      <w:r w:rsidRPr="00036EE5">
        <w:t>25.</w:t>
      </w:r>
      <w:r w:rsidRPr="00036EE5">
        <w:tab/>
        <w:t>Europaparlamentet uppmanar medlemsstaterna och relevanta myndigheter att anpassa befintliga läroplaner eller utarbeta nya läroplaner för att lära ut Europas och Europeiska unionens historia och funktionssätt i syfte att främja ett aktivt medborgarskap och gemensamma europeiska värderingar samt öka medvetenheten om mervärdet av att vara europé och EU-medborgare. Parlamentet betonar att en förstärkning av medborgarutbildningens europeiska dimension och säkerställande av lika tillgång för alla, även genom att använda alla digitala verktyg som står till vårt förfogande, kommer att göra det möjligt för EU-medborgarna att agera som välinformerade medborgare och fullt ut delta i det medborgerliga, politiska och sociala livet på både europeisk och nationell nivå. Parlamentet betonar att Erasmus+ kan spela en viktig roll för att främja EU-medborgarutbildningen genom rörlighet i utbildningssyfte för alla, oavsett ålder, kön, sysselsättning eller utbildningsnivå.</w:t>
      </w:r>
    </w:p>
    <w:p w14:paraId="56AD386D" w14:textId="77777777" w:rsidR="00D935B9" w:rsidRPr="00036EE5" w:rsidRDefault="00D935B9" w:rsidP="00D935B9">
      <w:pPr>
        <w:pStyle w:val="NormalHanging12a"/>
        <w:widowControl/>
      </w:pPr>
      <w:r w:rsidRPr="00036EE5">
        <w:t>26.</w:t>
      </w:r>
      <w:r w:rsidRPr="00036EE5">
        <w:tab/>
        <w:t>Europaparlamentet uppmanar kommissionen att utveckla offentliga samråd skräddarsydda för alla EU-medborgare, särskilt ungdomar, för att öka EU</w:t>
      </w:r>
      <w:r w:rsidRPr="00036EE5">
        <w:noBreakHyphen/>
        <w:t xml:space="preserve">medborgarnas deltagande. Parlamentet uppmanar med kraft kommissionen att uppdatera det sätt på vilket </w:t>
      </w:r>
      <w:proofErr w:type="gramStart"/>
      <w:r w:rsidRPr="00036EE5">
        <w:t>offentliga</w:t>
      </w:r>
      <w:proofErr w:type="gramEnd"/>
      <w:r w:rsidRPr="00036EE5">
        <w:t xml:space="preserve"> samråd genomförs i syfte att öka medborgarengagemanget och medborgardeltagandet hos ett större antal EU</w:t>
      </w:r>
      <w:r w:rsidRPr="00036EE5">
        <w:noBreakHyphen/>
        <w:t xml:space="preserve">medborgare, i linje med den framgång som konferensen om Europas framtid utgjorde. Parlamentet uppmanar i detta avseende kommissionen att ytterligare förbättra portalen ”Kom med synpunkter!” genom att dra nytta av ny teknik, och att informera om hur medborgarnas återkoppling bidrar till de olika initiativen. </w:t>
      </w:r>
    </w:p>
    <w:p w14:paraId="4E5A8D0E" w14:textId="77777777" w:rsidR="00D935B9" w:rsidRPr="00036EE5" w:rsidRDefault="00D935B9" w:rsidP="00D935B9">
      <w:pPr>
        <w:pStyle w:val="NormalHanging12a"/>
        <w:widowControl/>
        <w:shd w:val="clear" w:color="auto" w:fill="FFFFFF" w:themeFill="background1"/>
      </w:pPr>
      <w:r w:rsidRPr="00036EE5">
        <w:t>27.</w:t>
      </w:r>
      <w:r w:rsidRPr="00036EE5">
        <w:tab/>
        <w:t xml:space="preserve">Europaparlamentet efterlyser en enda kontaktpunkt för EU:s samtliga verktyg för deltagande, till exempel det europeiska medborgarinitiativet, framställningar till parlamentet, klagomål till Europeiska ombudsmannen, offentliga samråd och medborgardialoger, och vill att dessa verktyg ska effektiviseras, särskilt genom att man ser till att de bidrar till den europeiska dagordningen, samtidigt som man garanterar att den representativa demokratin stärks i beslutsprocessen. Parlamentet uppmanar kommissionen, medlemsstaterna och regionala och lokala myndigheter att öka sina insatser för att informera allmänheten om de befintliga instrumenten för deltagande. </w:t>
      </w:r>
    </w:p>
    <w:p w14:paraId="02E23BAA" w14:textId="77777777" w:rsidR="00D935B9" w:rsidRPr="00036EE5" w:rsidRDefault="00D935B9" w:rsidP="00D935B9">
      <w:pPr>
        <w:pStyle w:val="NormalHanging12a"/>
        <w:widowControl/>
        <w:shd w:val="clear" w:color="auto" w:fill="FFFFFF" w:themeFill="background1"/>
      </w:pPr>
      <w:r w:rsidRPr="00036EE5">
        <w:t>28.</w:t>
      </w:r>
      <w:r w:rsidRPr="00036EE5">
        <w:tab/>
        <w:t>Europaparlamentet upprepar sitt förslag om att inrätta en permanent mekanism för medborgarsamråd som gör det möjligt för medborgarna, särskilt ungdomar, att delta i överläggningar om EU:s prioriteringar och politik och bidra till tillämpningen av bland annat en ”ungdomskontroll” i lagstiftningen i syfte att komplettera – dvs. inte ersätta – den representativa parlamentariska demokratin. Parlamentet föreslår att dess företrädare informeras om dessa överläggningar så att de kan bedöma huruvida det är lämpligt att göra en uppföljning.</w:t>
      </w:r>
    </w:p>
    <w:p w14:paraId="3C17999D" w14:textId="77777777" w:rsidR="00D935B9" w:rsidRPr="00036EE5" w:rsidRDefault="00D935B9" w:rsidP="00D935B9">
      <w:pPr>
        <w:pStyle w:val="NormalHanging12a"/>
        <w:widowControl/>
      </w:pPr>
      <w:r w:rsidRPr="00036EE5">
        <w:t>29.</w:t>
      </w:r>
      <w:r w:rsidRPr="00036EE5">
        <w:tab/>
        <w:t>Europaparlamentet anser att man bör överväga att införa ett europeiskt medborgarkort som till exempel skulle kunna underlätta utövandet av medborgerliga rättigheter och rösträtten i val till Europaparlamentet samt användningen av instrument för deltagande.</w:t>
      </w:r>
    </w:p>
    <w:p w14:paraId="706CDFFF" w14:textId="77777777" w:rsidR="00D935B9" w:rsidRPr="00036EE5" w:rsidRDefault="00D935B9" w:rsidP="00D935B9">
      <w:pPr>
        <w:pStyle w:val="NormalHanging12a"/>
        <w:widowControl/>
        <w:shd w:val="clear" w:color="auto" w:fill="FFFFFF" w:themeFill="background1"/>
      </w:pPr>
      <w:r w:rsidRPr="00036EE5">
        <w:t>30.</w:t>
      </w:r>
      <w:r w:rsidRPr="00036EE5">
        <w:rPr>
          <w:b/>
          <w:i/>
        </w:rPr>
        <w:tab/>
      </w:r>
      <w:r w:rsidRPr="00036EE5">
        <w:t>Europaparlamentet understryker den viktiga roll som Europa Direkt-kontoren spelar för att öka medborgarnas deltagande på lokal nivå i EU:s demokratiska liv. Parlamentet uppmuntrar medlemsstaterna och enheter på regional och lokal nivå att öka samarbetet med dessa kontor.</w:t>
      </w:r>
    </w:p>
    <w:p w14:paraId="1BDA20D1" w14:textId="77777777" w:rsidR="00D935B9" w:rsidRPr="00036EE5" w:rsidRDefault="00D935B9" w:rsidP="00D935B9">
      <w:pPr>
        <w:pStyle w:val="NormalHanging12a"/>
        <w:widowControl/>
      </w:pPr>
      <w:r w:rsidRPr="00036EE5">
        <w:t>31.</w:t>
      </w:r>
      <w:r w:rsidRPr="00036EE5">
        <w:rPr>
          <w:b/>
          <w:i/>
        </w:rPr>
        <w:tab/>
      </w:r>
      <w:r w:rsidRPr="00036EE5">
        <w:t xml:space="preserve">Europaparlamentet uppmanar kommissionen att öka sin användning av sociala medier och digitala verktyg, med särskilt fokus på att öka deltagandet bland ungdomar och personer med funktionsnedsättning i den demokratiska processen och på så sätt främja deras engagemang, samtidigt som man erkänner den sänkta rösträttsåldern i medlemsstaterna för val till Europaparlamentet. Parlamentet uppmanar i detta avseende kommissionen att stärka främjandet av demokratiskt deltagande genom att öka dialogen med medborgarna och öka medvetenheten bland medborgarna om EU-lagstiftningens inverkan på deras dagliga liv. </w:t>
      </w:r>
    </w:p>
    <w:p w14:paraId="1A29AA0D" w14:textId="77777777" w:rsidR="00D935B9" w:rsidRPr="00036EE5" w:rsidRDefault="00D935B9" w:rsidP="00D935B9">
      <w:pPr>
        <w:pStyle w:val="NormalHanging12a"/>
        <w:widowControl/>
      </w:pPr>
      <w:r w:rsidRPr="00036EE5">
        <w:t>32.</w:t>
      </w:r>
      <w:r w:rsidRPr="00036EE5">
        <w:rPr>
          <w:b/>
          <w:i/>
        </w:rPr>
        <w:tab/>
      </w:r>
      <w:r w:rsidRPr="00036EE5">
        <w:t xml:space="preserve">Europaparlamentet anser att det mot bakgrund av den digitala sfärens växande inflytande på medborgarnas liv, särskilt sociala medier och AI, fortfarande är mycket viktigt att medlemsstaterna och EU-institutionerna fortsätter att fokusera på att utforma en ny offentlig politik och genomföra effektiva mekanismer som syftar till att skydda de grundläggande rättigheterna på nätet och bekämpa utländsk inblandning och desinformation, eftersom de sistnämnda utgör existentiella hot mot demokratin och själva utövandet av medborgarnas rättigheter. </w:t>
      </w:r>
    </w:p>
    <w:p w14:paraId="4B6D6A12" w14:textId="77777777" w:rsidR="00D935B9" w:rsidRPr="00036EE5" w:rsidRDefault="00D935B9" w:rsidP="00D935B9">
      <w:pPr>
        <w:widowControl/>
        <w:spacing w:after="240"/>
        <w:ind w:left="567" w:hanging="567"/>
      </w:pPr>
      <w:r w:rsidRPr="00036EE5">
        <w:t>33.</w:t>
      </w:r>
      <w:r w:rsidRPr="00036EE5">
        <w:tab/>
        <w:t>Europaparlamentet uppmanar eftertryckligen rådet och kommissionen att återuppta förhandlingarna om översynen av förordning (EG) nr 1049/2001</w:t>
      </w:r>
      <w:r w:rsidRPr="00036EE5">
        <w:rPr>
          <w:rFonts w:eastAsiaTheme="minorHAnsi" w:cstheme="minorBidi"/>
          <w:szCs w:val="22"/>
          <w:vertAlign w:val="superscript"/>
          <w:lang w:eastAsia="en-US"/>
        </w:rPr>
        <w:footnoteReference w:id="26"/>
      </w:r>
      <w:r w:rsidRPr="00036EE5">
        <w:t xml:space="preserve"> i syfte att säkerställa att EU-medborgarna fullt ut kan utöva sin rätt till tillgång till handlingar och granska EU:s institutioner, organ och byråer.</w:t>
      </w:r>
    </w:p>
    <w:p w14:paraId="3F8B1AF7" w14:textId="77777777" w:rsidR="00D935B9" w:rsidRPr="00036EE5" w:rsidRDefault="00D935B9" w:rsidP="00D935B9">
      <w:pPr>
        <w:widowControl/>
        <w:spacing w:after="240"/>
        <w:ind w:left="567" w:hanging="567"/>
        <w:rPr>
          <w:rStyle w:val="doceo-font-family-base"/>
          <w:color w:val="000000"/>
        </w:rPr>
      </w:pPr>
      <w:r w:rsidRPr="00036EE5">
        <w:rPr>
          <w:rStyle w:val="doceo-font-family-base"/>
          <w:color w:val="000000"/>
        </w:rPr>
        <w:t>34.</w:t>
      </w:r>
      <w:r w:rsidRPr="00036EE5">
        <w:rPr>
          <w:rStyle w:val="doceo-font-family-base"/>
          <w:color w:val="000000"/>
        </w:rPr>
        <w:tab/>
      </w:r>
      <w:r w:rsidRPr="00036EE5">
        <w:t>Europaparlamentet ger på nytt uttryck för behovet att, på grundval av artikel 25 i EUF-fördraget, utarbeta en stadga för EU-medborgarskapet som innehåller befintliga och framtida medborgerliga rättigheter för att stärka de medborgerliga rättigheternas verkställbarhet och säkerställa jämlikhet mellan medborgarna, öka sammanhållningen och reagera på sociala, ekonomiska, politiska och digitala förändringar. Parlamentet påminner om att detta bör ske inom ramen för fördragen.</w:t>
      </w:r>
      <w:r w:rsidRPr="00036EE5">
        <w:rPr>
          <w:rStyle w:val="doceo-font-family-base"/>
          <w:color w:val="000000"/>
        </w:rPr>
        <w:t xml:space="preserve"> </w:t>
      </w:r>
    </w:p>
    <w:p w14:paraId="56965B2F" w14:textId="77777777" w:rsidR="00D935B9" w:rsidRPr="00036EE5" w:rsidRDefault="00D935B9" w:rsidP="00D935B9">
      <w:pPr>
        <w:widowControl/>
        <w:spacing w:after="240"/>
        <w:ind w:left="567" w:hanging="567"/>
        <w:rPr>
          <w:rFonts w:eastAsiaTheme="minorHAnsi" w:cstheme="minorBidi"/>
          <w:szCs w:val="22"/>
        </w:rPr>
      </w:pPr>
      <w:r w:rsidRPr="00036EE5">
        <w:t>35.</w:t>
      </w:r>
      <w:r w:rsidRPr="00036EE5">
        <w:tab/>
        <w:t xml:space="preserve">Europaparlamentet föreslår att medborgarna, när det gäller deltagande och politiska rättigheter, fri rörlighet och digitalt medborgarskap, och i linje med befintlig och framtida EU-lagstiftning, i synnerhet bör ha </w:t>
      </w:r>
    </w:p>
    <w:p w14:paraId="6134F1AA" w14:textId="77777777" w:rsidR="00D935B9" w:rsidRPr="00036EE5" w:rsidRDefault="00D935B9" w:rsidP="00036EE5">
      <w:pPr>
        <w:pStyle w:val="AMNumberTabs"/>
        <w:keepNext/>
        <w:widowControl/>
        <w:ind w:left="851" w:hanging="284"/>
        <w:rPr>
          <w:b w:val="0"/>
        </w:rPr>
      </w:pPr>
      <w:r w:rsidRPr="00036EE5">
        <w:rPr>
          <w:b w:val="0"/>
        </w:rPr>
        <w:t>–</w:t>
      </w:r>
      <w:r w:rsidR="00D03C0B" w:rsidRPr="00036EE5">
        <w:rPr>
          <w:b w:val="0"/>
        </w:rPr>
        <w:tab/>
      </w:r>
      <w:r w:rsidRPr="00036EE5">
        <w:rPr>
          <w:b w:val="0"/>
        </w:rPr>
        <w:t xml:space="preserve"> </w:t>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Pr="00036EE5">
        <w:rPr>
          <w:b w:val="0"/>
        </w:rPr>
        <w:t xml:space="preserve">en jämn, demokratiskt förankrad könsfördelning på kandidatlistorna, </w:t>
      </w:r>
    </w:p>
    <w:p w14:paraId="4727ED8F" w14:textId="21091895" w:rsidR="00D935B9" w:rsidRPr="00036EE5" w:rsidRDefault="00D935B9" w:rsidP="00036EE5">
      <w:pPr>
        <w:pStyle w:val="AMNumberTabs"/>
        <w:keepNext/>
        <w:widowControl/>
        <w:tabs>
          <w:tab w:val="clear" w:pos="1021"/>
          <w:tab w:val="clear" w:pos="1077"/>
          <w:tab w:val="clear" w:pos="1134"/>
          <w:tab w:val="left" w:pos="993"/>
          <w:tab w:val="left" w:pos="1276"/>
        </w:tabs>
        <w:ind w:left="1191" w:hanging="624"/>
        <w:rPr>
          <w:b w:val="0"/>
        </w:rPr>
      </w:pPr>
      <w:r w:rsidRPr="00036EE5">
        <w:rPr>
          <w:b w:val="0"/>
        </w:rPr>
        <w:t xml:space="preserve">– </w:t>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Pr="00036EE5">
        <w:rPr>
          <w:b w:val="0"/>
        </w:rPr>
        <w:t xml:space="preserve">tillgång till en permanent interaktiv digital plattform genom vilken medborgarna </w:t>
      </w:r>
      <w:r w:rsidR="00623AC3" w:rsidRPr="00036EE5">
        <w:rPr>
          <w:b w:val="0"/>
        </w:rPr>
        <w:t>kan lämna</w:t>
      </w:r>
      <w:r w:rsidRPr="00036EE5">
        <w:rPr>
          <w:b w:val="0"/>
        </w:rPr>
        <w:t xml:space="preserve"> in sina förslag och idéer på alla officiella EU-språk, </w:t>
      </w:r>
    </w:p>
    <w:p w14:paraId="61D168E1" w14:textId="77777777" w:rsidR="00D935B9" w:rsidRPr="00036EE5" w:rsidRDefault="00D935B9" w:rsidP="00036EE5">
      <w:pPr>
        <w:pStyle w:val="AMNumberTabs"/>
        <w:keepNext/>
        <w:widowControl/>
        <w:ind w:left="1247" w:hanging="623"/>
        <w:rPr>
          <w:b w:val="0"/>
        </w:rPr>
      </w:pPr>
      <w:r w:rsidRPr="00036EE5">
        <w:rPr>
          <w:b w:val="0"/>
        </w:rPr>
        <w:t xml:space="preserve">– </w:t>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Pr="00036EE5">
        <w:rPr>
          <w:b w:val="0"/>
        </w:rPr>
        <w:t xml:space="preserve">rätt till erkännande av studieperioder, dvs. inte bara kvalifikationer och yrkeskvalifikationer, som likvärdiga, så att de kan arbeta i en annan medlemsstat, </w:t>
      </w:r>
    </w:p>
    <w:p w14:paraId="39B16917" w14:textId="77777777" w:rsidR="00D935B9" w:rsidRPr="00036EE5" w:rsidRDefault="00D935B9" w:rsidP="00036EE5">
      <w:pPr>
        <w:pStyle w:val="AMNumberTabs"/>
        <w:keepNext/>
        <w:widowControl/>
        <w:ind w:left="1190" w:hanging="623"/>
        <w:rPr>
          <w:b w:val="0"/>
        </w:rPr>
      </w:pPr>
      <w:r w:rsidRPr="00036EE5">
        <w:rPr>
          <w:b w:val="0"/>
        </w:rPr>
        <w:t xml:space="preserve">– </w:t>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Pr="00036EE5">
        <w:rPr>
          <w:b w:val="0"/>
        </w:rPr>
        <w:t xml:space="preserve">allmän tillgång till internet så att man säkerställer att medborgarna inkluderas och får lika tillgång till den digitala miljön, </w:t>
      </w:r>
    </w:p>
    <w:p w14:paraId="661959AA" w14:textId="77777777" w:rsidR="00D935B9" w:rsidRPr="00036EE5" w:rsidRDefault="00D935B9" w:rsidP="00036EE5">
      <w:pPr>
        <w:pStyle w:val="AMNumberTabs"/>
        <w:keepNext/>
        <w:widowControl/>
        <w:ind w:left="1191" w:hanging="563"/>
        <w:rPr>
          <w:b w:val="0"/>
        </w:rPr>
      </w:pPr>
      <w:r w:rsidRPr="00036EE5">
        <w:rPr>
          <w:b w:val="0"/>
        </w:rPr>
        <w:t xml:space="preserve">– </w:t>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Pr="00036EE5">
        <w:rPr>
          <w:b w:val="0"/>
        </w:rPr>
        <w:t xml:space="preserve">rätt att förvalta den egna digitala identiteten, utöver det skydd som redan finns när det gäller personuppgifter i den digitala miljön, </w:t>
      </w:r>
    </w:p>
    <w:p w14:paraId="7591C571" w14:textId="77777777" w:rsidR="00D935B9" w:rsidRPr="00036EE5" w:rsidRDefault="00D935B9" w:rsidP="00D935B9">
      <w:pPr>
        <w:pStyle w:val="AMNumberTabs"/>
        <w:keepNext/>
        <w:widowControl/>
        <w:ind w:left="567"/>
        <w:rPr>
          <w:b w:val="0"/>
        </w:rPr>
      </w:pPr>
      <w:r w:rsidRPr="00036EE5">
        <w:rPr>
          <w:b w:val="0"/>
        </w:rPr>
        <w:t xml:space="preserve">– </w:t>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Pr="00036EE5">
        <w:rPr>
          <w:b w:val="0"/>
        </w:rPr>
        <w:t xml:space="preserve">rätt att digitalt ärva en avliden persons digitala uppgifter, </w:t>
      </w:r>
    </w:p>
    <w:p w14:paraId="74507576" w14:textId="77777777" w:rsidR="00D935B9" w:rsidRPr="00036EE5" w:rsidRDefault="00D935B9" w:rsidP="00036EE5">
      <w:pPr>
        <w:pStyle w:val="AMNumberTabs"/>
        <w:keepNext/>
        <w:widowControl/>
        <w:ind w:left="1134" w:hanging="567"/>
        <w:rPr>
          <w:b w:val="0"/>
        </w:rPr>
      </w:pPr>
      <w:r w:rsidRPr="00036EE5">
        <w:rPr>
          <w:b w:val="0"/>
        </w:rPr>
        <w:t xml:space="preserve">– </w:t>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00D03C0B" w:rsidRPr="00036EE5">
        <w:rPr>
          <w:b w:val="0"/>
        </w:rPr>
        <w:tab/>
      </w:r>
      <w:r w:rsidRPr="00036EE5">
        <w:rPr>
          <w:b w:val="0"/>
        </w:rPr>
        <w:t>tillgång till framtagna AI-system som är säkra, transparenta, spårbara och övervakade av människor och tillsynsmyndigheter.</w:t>
      </w:r>
    </w:p>
    <w:p w14:paraId="4DB721FC" w14:textId="77777777" w:rsidR="00D935B9" w:rsidRPr="00036EE5" w:rsidRDefault="00D935B9" w:rsidP="00D935B9">
      <w:pPr>
        <w:pStyle w:val="NormalHanging12a"/>
        <w:widowControl/>
        <w:spacing w:before="240" w:after="0"/>
        <w:rPr>
          <w:rStyle w:val="doceo-font-family-base"/>
          <w:color w:val="000000"/>
          <w:u w:val="single"/>
        </w:rPr>
      </w:pPr>
      <w:r w:rsidRPr="00036EE5">
        <w:rPr>
          <w:rStyle w:val="doceo-font-family-base"/>
          <w:color w:val="000000"/>
        </w:rPr>
        <w:t>36.</w:t>
      </w:r>
      <w:r w:rsidRPr="00036EE5">
        <w:rPr>
          <w:rStyle w:val="doceo-font-family-base"/>
          <w:color w:val="000000"/>
        </w:rPr>
        <w:tab/>
      </w:r>
      <w:r w:rsidRPr="00036EE5">
        <w:t>Europaparlamentet efterlyser en övergripande klausul om icke-diskriminering i stadgan för EU-medborgarskapet som en ytterligare garanti för jämlikhet i utövandet av medborgerliga rättigheter, i syfte att säkerställa icke-diskriminering och skydda medborgarna, särskilt personer i utsatta och marginaliserade grupper och personer som bor i EU:s gränsregioner.</w:t>
      </w:r>
    </w:p>
    <w:p w14:paraId="059F8C9A" w14:textId="77777777" w:rsidR="00D935B9" w:rsidRPr="00036EE5" w:rsidRDefault="00D935B9" w:rsidP="00D935B9">
      <w:pPr>
        <w:pStyle w:val="NormalHanging12a"/>
        <w:widowControl/>
        <w:spacing w:before="240" w:after="0"/>
        <w:rPr>
          <w:rStyle w:val="doceo-font-family-base"/>
          <w:color w:val="000000"/>
          <w:szCs w:val="24"/>
        </w:rPr>
      </w:pPr>
      <w:r w:rsidRPr="00036EE5">
        <w:rPr>
          <w:rStyle w:val="doceo-font-family-base"/>
          <w:color w:val="000000"/>
        </w:rPr>
        <w:t>37.</w:t>
      </w:r>
      <w:r w:rsidRPr="00036EE5">
        <w:rPr>
          <w:rStyle w:val="doceo-font-family-base"/>
          <w:color w:val="000000"/>
        </w:rPr>
        <w:tab/>
      </w:r>
      <w:r w:rsidRPr="00036EE5">
        <w:t>Europaparlamentet uppmanar kommissionen att genomföra riktade kampanjer för att öka medvetenheten om rättigheter och medborgerliga skyldigheter som följer av EU-medborgarskapet och stadgan, bland annat genom att införa ett EU-paket för att tillhandahålla information om EU-medborgarskapet, och att avsätta mer resurser till EU-medborgarskapet.</w:t>
      </w:r>
      <w:r w:rsidRPr="00036EE5">
        <w:rPr>
          <w:rStyle w:val="doceo-font-family-base"/>
          <w:color w:val="000000"/>
        </w:rPr>
        <w:t xml:space="preserve"> Parlamentet betonar att medborgarna i och med den digitala och tekniska revolutionen har blivit de verkliga pelarna i våra demokratiska system och kommer att vara de som försvarar dessa system. </w:t>
      </w:r>
    </w:p>
    <w:p w14:paraId="54E1B16F" w14:textId="373A8147" w:rsidR="00D935B9" w:rsidRPr="00036EE5" w:rsidRDefault="00D935B9" w:rsidP="00D935B9">
      <w:pPr>
        <w:pStyle w:val="NormalHanging12a"/>
        <w:widowControl/>
        <w:spacing w:before="240" w:after="0"/>
        <w:rPr>
          <w:rStyle w:val="doceo-font-family-base"/>
          <w:color w:val="000000"/>
          <w:szCs w:val="24"/>
        </w:rPr>
      </w:pPr>
      <w:r w:rsidRPr="00036EE5">
        <w:rPr>
          <w:rStyle w:val="doceo-font-family-base"/>
          <w:color w:val="000000"/>
        </w:rPr>
        <w:t>38.</w:t>
      </w:r>
      <w:r w:rsidRPr="00036EE5">
        <w:rPr>
          <w:rStyle w:val="doceo-font-family-base"/>
          <w:color w:val="000000"/>
        </w:rPr>
        <w:tab/>
      </w:r>
      <w:r w:rsidR="00F36B4D" w:rsidRPr="00036EE5">
        <w:rPr>
          <w:szCs w:val="24"/>
          <w:lang w:eastAsia="en-US"/>
        </w:rPr>
        <w:t xml:space="preserve">Europaparlamentet noterar medborgarskapspaketet, särskilt rapporten om EU-medborgarskapet 2023, som kommissionen offentliggjorde den 6 december 2023 för att ytterligare främja EU-medborgarskapet och göra det mer konkret för EU-medborgarna. </w:t>
      </w:r>
      <w:r w:rsidR="00F36B4D" w:rsidRPr="00036EE5">
        <w:rPr>
          <w:bCs/>
          <w:iCs/>
          <w:szCs w:val="24"/>
          <w:lang w:eastAsia="en-US"/>
        </w:rPr>
        <w:t>Parlamentet</w:t>
      </w:r>
      <w:r w:rsidR="00F36B4D" w:rsidRPr="00036EE5">
        <w:rPr>
          <w:szCs w:val="24"/>
          <w:lang w:eastAsia="en-US"/>
        </w:rPr>
        <w:t xml:space="preserve"> uppmanar kommissionen att beakta </w:t>
      </w:r>
      <w:r w:rsidR="00F36B4D" w:rsidRPr="00036EE5">
        <w:rPr>
          <w:bCs/>
          <w:iCs/>
          <w:szCs w:val="24"/>
          <w:lang w:eastAsia="en-US"/>
        </w:rPr>
        <w:t xml:space="preserve">de rekommendationer som ingår </w:t>
      </w:r>
      <w:r w:rsidR="00F36B4D" w:rsidRPr="00036EE5">
        <w:rPr>
          <w:szCs w:val="24"/>
          <w:lang w:eastAsia="en-US"/>
        </w:rPr>
        <w:t>i</w:t>
      </w:r>
      <w:r w:rsidR="00F36B4D" w:rsidRPr="00036EE5">
        <w:rPr>
          <w:bCs/>
          <w:iCs/>
          <w:szCs w:val="24"/>
          <w:lang w:eastAsia="en-US"/>
        </w:rPr>
        <w:t xml:space="preserve"> detta betänkande </w:t>
      </w:r>
      <w:r w:rsidR="00F36B4D" w:rsidRPr="00036EE5">
        <w:rPr>
          <w:szCs w:val="24"/>
          <w:lang w:eastAsia="en-US"/>
        </w:rPr>
        <w:t>och att vidta de åtgärder som krävs för att genomföra dem i enlighet med förfarandet enligt fördragen.</w:t>
      </w:r>
    </w:p>
    <w:p w14:paraId="7160BFB8" w14:textId="77777777" w:rsidR="00D935B9" w:rsidRPr="00036EE5" w:rsidRDefault="00D935B9" w:rsidP="00D935B9">
      <w:pPr>
        <w:pStyle w:val="NormalHanging12a"/>
        <w:widowControl/>
        <w:spacing w:before="240" w:after="0"/>
      </w:pPr>
      <w:r w:rsidRPr="00036EE5">
        <w:rPr>
          <w:rStyle w:val="doceo-font-family-base"/>
          <w:color w:val="000000"/>
        </w:rPr>
        <w:t>39.</w:t>
      </w:r>
      <w:r w:rsidRPr="00036EE5">
        <w:rPr>
          <w:rStyle w:val="doceo-font-family-base"/>
          <w:color w:val="000000"/>
        </w:rPr>
        <w:tab/>
      </w:r>
      <w:r w:rsidRPr="00036EE5">
        <w:t>Europaparlamentet upprepar sin uppmaning om att sammankalla ett konvent för att göra en översyn av fördragen, i enlighet med artikel 48 i EU-fördraget. Parlamentet anser med bestämdhet att konventet bör göra en noggrann bedömning av hur EU-medborgarskapet skulle kunna stärkas ytterligare.</w:t>
      </w:r>
    </w:p>
    <w:p w14:paraId="27A7F23A" w14:textId="77777777" w:rsidR="00D935B9" w:rsidRPr="00036EE5" w:rsidRDefault="00D935B9" w:rsidP="00D935B9">
      <w:pPr>
        <w:pStyle w:val="NormalHanging12a"/>
        <w:widowControl/>
        <w:spacing w:before="240" w:after="0"/>
      </w:pPr>
    </w:p>
    <w:p w14:paraId="710462A0" w14:textId="77777777" w:rsidR="00D935B9" w:rsidRPr="00036EE5" w:rsidRDefault="00D935B9" w:rsidP="00D935B9">
      <w:pPr>
        <w:pStyle w:val="NormalHanging12a"/>
        <w:widowControl/>
        <w:jc w:val="center"/>
      </w:pPr>
      <w:r w:rsidRPr="00036EE5">
        <w:t>°</w:t>
      </w:r>
    </w:p>
    <w:p w14:paraId="50487FDF" w14:textId="77777777" w:rsidR="00D935B9" w:rsidRPr="00036EE5" w:rsidRDefault="00D935B9" w:rsidP="00D935B9">
      <w:pPr>
        <w:pStyle w:val="NormalHanging12a"/>
        <w:widowControl/>
        <w:jc w:val="center"/>
      </w:pPr>
      <w:r w:rsidRPr="00036EE5">
        <w:t>°</w:t>
      </w:r>
      <w:r w:rsidRPr="00036EE5">
        <w:tab/>
        <w:t>°</w:t>
      </w:r>
    </w:p>
    <w:p w14:paraId="085E6FA6" w14:textId="77777777" w:rsidR="00E365E1" w:rsidRPr="00993EB9" w:rsidRDefault="00D935B9" w:rsidP="00036EE5">
      <w:pPr>
        <w:pStyle w:val="NormalHanging12a"/>
        <w:widowControl/>
      </w:pPr>
      <w:r w:rsidRPr="00036EE5">
        <w:t>40.</w:t>
      </w:r>
      <w:r w:rsidRPr="00036EE5">
        <w:tab/>
        <w:t>Europaparlamentet uppdrar åt talmannen att översända denna resolution till rådet och kommissionen.</w:t>
      </w:r>
      <w:bookmarkStart w:id="9" w:name="TextBodyEnd"/>
      <w:bookmarkEnd w:id="9"/>
    </w:p>
    <w:sectPr w:rsidR="00E365E1" w:rsidRPr="00993EB9" w:rsidSect="00993E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40D62" w14:textId="77777777" w:rsidR="00E950AA" w:rsidRPr="00993EB9" w:rsidRDefault="00E950AA">
      <w:r w:rsidRPr="00993EB9">
        <w:separator/>
      </w:r>
    </w:p>
  </w:endnote>
  <w:endnote w:type="continuationSeparator" w:id="0">
    <w:p w14:paraId="27F59FB6" w14:textId="77777777" w:rsidR="00E950AA" w:rsidRPr="00993EB9" w:rsidRDefault="00E950AA">
      <w:r w:rsidRPr="00993E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4FBF" w14:textId="77777777" w:rsidR="00064002" w:rsidRPr="00993E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1B7A5" w14:textId="77777777" w:rsidR="00064002" w:rsidRPr="00993E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D7FDD" w14:textId="77777777" w:rsidR="00064002" w:rsidRPr="00993E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2B6FB" w14:textId="77777777" w:rsidR="00E950AA" w:rsidRPr="00993EB9" w:rsidRDefault="00E950AA">
      <w:r w:rsidRPr="00993EB9">
        <w:separator/>
      </w:r>
    </w:p>
  </w:footnote>
  <w:footnote w:type="continuationSeparator" w:id="0">
    <w:p w14:paraId="251E31F1" w14:textId="77777777" w:rsidR="00E950AA" w:rsidRPr="00993EB9" w:rsidRDefault="00E950AA">
      <w:r w:rsidRPr="00993EB9">
        <w:continuationSeparator/>
      </w:r>
    </w:p>
  </w:footnote>
  <w:footnote w:id="1">
    <w:p w14:paraId="43D26DBA"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158, 30.4.2004, s. 77.</w:t>
      </w:r>
    </w:p>
  </w:footnote>
  <w:footnote w:id="2">
    <w:p w14:paraId="7AC855B4"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156, 5.5.2021, s. 1.</w:t>
      </w:r>
    </w:p>
  </w:footnote>
  <w:footnote w:id="3">
    <w:p w14:paraId="728CD220"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141, 27.5.2011, s. 1.</w:t>
      </w:r>
    </w:p>
  </w:footnote>
  <w:footnote w:id="4">
    <w:p w14:paraId="1F65F9A8"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186, 11.7.2019, s. 21.</w:t>
      </w:r>
    </w:p>
  </w:footnote>
  <w:footnote w:id="5">
    <w:p w14:paraId="26276864"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173, 9.7.2018, s. 16.</w:t>
      </w:r>
    </w:p>
  </w:footnote>
  <w:footnote w:id="6">
    <w:p w14:paraId="50DC8D4F"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107, 22.4.2016, s. 1.</w:t>
      </w:r>
    </w:p>
  </w:footnote>
  <w:footnote w:id="7">
    <w:p w14:paraId="3825E664"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354, 28.12.2013, s. 132.</w:t>
      </w:r>
    </w:p>
  </w:footnote>
  <w:footnote w:id="8">
    <w:p w14:paraId="21046A3D"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106, 24.4.2015, s. 1.</w:t>
      </w:r>
    </w:p>
  </w:footnote>
  <w:footnote w:id="9">
    <w:p w14:paraId="416C6CD1"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163, 20.6.2019, s. 1.</w:t>
      </w:r>
    </w:p>
  </w:footnote>
  <w:footnote w:id="10">
    <w:p w14:paraId="779772C7"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130, 17.5.2019, s. 55.</w:t>
      </w:r>
    </w:p>
  </w:footnote>
  <w:footnote w:id="11">
    <w:p w14:paraId="081B28DE"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L 231, 17.7.2020, s. 7.</w:t>
      </w:r>
    </w:p>
  </w:footnote>
  <w:footnote w:id="12">
    <w:p w14:paraId="14FB87C5"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C 283, 11.8.2023, s. 76.</w:t>
      </w:r>
    </w:p>
  </w:footnote>
  <w:footnote w:id="13">
    <w:p w14:paraId="1094501C"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C 283, 11.8.2023, s. 100.</w:t>
      </w:r>
    </w:p>
  </w:footnote>
  <w:footnote w:id="14">
    <w:p w14:paraId="24D1F6D9"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C 449, 23.12.2020, s. 6.</w:t>
      </w:r>
    </w:p>
  </w:footnote>
  <w:footnote w:id="15">
    <w:p w14:paraId="25F7B0E9"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C 347, 9.9.2022, s. 97.</w:t>
      </w:r>
    </w:p>
  </w:footnote>
  <w:footnote w:id="16">
    <w:p w14:paraId="2A4A9876"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C 347, 9.9.2022, s. 202.</w:t>
      </w:r>
    </w:p>
  </w:footnote>
  <w:footnote w:id="17">
    <w:p w14:paraId="0AC7BB17" w14:textId="77777777" w:rsidR="00D935B9" w:rsidRPr="00993EB9" w:rsidRDefault="00D935B9" w:rsidP="00993EB9">
      <w:pPr>
        <w:pStyle w:val="FootnoteText"/>
        <w:ind w:left="567" w:hanging="567"/>
        <w:rPr>
          <w:sz w:val="24"/>
          <w:lang w:val="sv-SE"/>
        </w:rPr>
      </w:pPr>
      <w:r w:rsidRPr="00993EB9">
        <w:rPr>
          <w:rStyle w:val="FootnoteReference"/>
          <w:sz w:val="24"/>
          <w:lang w:val="sv-SE"/>
        </w:rPr>
        <w:footnoteRef/>
      </w:r>
      <w:r w:rsidR="00993EB9" w:rsidRPr="00993EB9">
        <w:rPr>
          <w:sz w:val="24"/>
          <w:lang w:val="sv-SE"/>
        </w:rPr>
        <w:t xml:space="preserve"> </w:t>
      </w:r>
      <w:r w:rsidR="00993EB9" w:rsidRPr="00993EB9">
        <w:rPr>
          <w:sz w:val="24"/>
          <w:lang w:val="sv-SE"/>
        </w:rPr>
        <w:tab/>
      </w:r>
      <w:r w:rsidRPr="00993EB9">
        <w:rPr>
          <w:sz w:val="24"/>
          <w:lang w:val="sv-SE"/>
        </w:rPr>
        <w:t>Antagna texter, P9_TA(2023)0230.</w:t>
      </w:r>
    </w:p>
  </w:footnote>
  <w:footnote w:id="18">
    <w:p w14:paraId="2B611B20" w14:textId="77777777" w:rsidR="00D935B9" w:rsidRPr="00993EB9" w:rsidRDefault="00D935B9" w:rsidP="00993EB9">
      <w:pPr>
        <w:pStyle w:val="FootnoteText"/>
        <w:ind w:left="567" w:hanging="567"/>
        <w:rPr>
          <w:sz w:val="24"/>
          <w:lang w:val="sv-SE"/>
        </w:rPr>
      </w:pPr>
      <w:r w:rsidRPr="00993EB9">
        <w:rPr>
          <w:rStyle w:val="FootnoteReference"/>
          <w:sz w:val="24"/>
          <w:lang w:val="sv-SE"/>
        </w:rPr>
        <w:footnoteRef/>
      </w:r>
      <w:r w:rsidR="00993EB9" w:rsidRPr="00993EB9">
        <w:rPr>
          <w:sz w:val="24"/>
          <w:lang w:val="sv-SE"/>
        </w:rPr>
        <w:t xml:space="preserve"> </w:t>
      </w:r>
      <w:r w:rsidR="00993EB9" w:rsidRPr="00993EB9">
        <w:rPr>
          <w:sz w:val="24"/>
          <w:lang w:val="sv-SE"/>
        </w:rPr>
        <w:tab/>
      </w:r>
      <w:r w:rsidRPr="00993EB9">
        <w:rPr>
          <w:sz w:val="24"/>
          <w:lang w:val="sv-SE"/>
        </w:rPr>
        <w:t>Antagna texter, P9_TA(2023)0330.</w:t>
      </w:r>
    </w:p>
  </w:footnote>
  <w:footnote w:id="19">
    <w:p w14:paraId="475A7630"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C 99, 1.3.2022, s. 96.</w:t>
      </w:r>
    </w:p>
  </w:footnote>
  <w:footnote w:id="20">
    <w:p w14:paraId="7474E7ED" w14:textId="77777777" w:rsidR="00D935B9" w:rsidRPr="00036EE5" w:rsidRDefault="00D935B9" w:rsidP="00993EB9">
      <w:pPr>
        <w:pStyle w:val="FootnoteText"/>
        <w:ind w:left="567" w:hanging="567"/>
        <w:rPr>
          <w:sz w:val="24"/>
        </w:rPr>
      </w:pPr>
      <w:r w:rsidRPr="00993EB9">
        <w:rPr>
          <w:rStyle w:val="FootnoteReference"/>
          <w:sz w:val="24"/>
          <w:lang w:val="sv-SE"/>
        </w:rPr>
        <w:footnoteRef/>
      </w:r>
      <w:r w:rsidR="00993EB9" w:rsidRPr="00036EE5">
        <w:rPr>
          <w:sz w:val="24"/>
        </w:rPr>
        <w:t xml:space="preserve"> </w:t>
      </w:r>
      <w:r w:rsidR="00993EB9" w:rsidRPr="00036EE5">
        <w:rPr>
          <w:sz w:val="24"/>
        </w:rPr>
        <w:tab/>
      </w:r>
      <w:r w:rsidRPr="00036EE5">
        <w:rPr>
          <w:sz w:val="24"/>
        </w:rPr>
        <w:t>EUT C 347, 9.9.2022, s. 110.</w:t>
      </w:r>
    </w:p>
  </w:footnote>
  <w:footnote w:id="21">
    <w:p w14:paraId="43F25CCB" w14:textId="77777777" w:rsidR="00D935B9" w:rsidRPr="00036EE5" w:rsidRDefault="00D935B9" w:rsidP="00993EB9">
      <w:pPr>
        <w:pStyle w:val="FootnoteText"/>
        <w:ind w:left="567" w:hanging="567"/>
        <w:rPr>
          <w:sz w:val="24"/>
          <w:lang w:val="en-GB"/>
        </w:rPr>
      </w:pPr>
      <w:r w:rsidRPr="00993EB9">
        <w:rPr>
          <w:rStyle w:val="FootnoteReference"/>
          <w:sz w:val="24"/>
          <w:lang w:val="sv-SE"/>
        </w:rPr>
        <w:footnoteRef/>
      </w:r>
      <w:r w:rsidR="00993EB9" w:rsidRPr="00036EE5">
        <w:rPr>
          <w:sz w:val="24"/>
          <w:lang w:val="en-GB"/>
        </w:rPr>
        <w:t xml:space="preserve"> </w:t>
      </w:r>
      <w:r w:rsidR="00993EB9" w:rsidRPr="00036EE5">
        <w:rPr>
          <w:sz w:val="24"/>
          <w:lang w:val="en-GB"/>
        </w:rPr>
        <w:tab/>
      </w:r>
      <w:r w:rsidRPr="00036EE5">
        <w:rPr>
          <w:sz w:val="24"/>
          <w:lang w:val="en-GB"/>
        </w:rPr>
        <w:t>EUT C 263, 25.7.2018, s. 98.</w:t>
      </w:r>
    </w:p>
  </w:footnote>
  <w:footnote w:id="22">
    <w:p w14:paraId="43DEAE97" w14:textId="77777777" w:rsidR="00D935B9" w:rsidRPr="00036EE5" w:rsidRDefault="00D935B9" w:rsidP="00993EB9">
      <w:pPr>
        <w:pStyle w:val="FootnoteText"/>
        <w:ind w:left="567" w:hanging="567"/>
        <w:rPr>
          <w:sz w:val="24"/>
          <w:lang w:val="en-GB"/>
        </w:rPr>
      </w:pPr>
      <w:r w:rsidRPr="00993EB9">
        <w:rPr>
          <w:rStyle w:val="FootnoteReference"/>
          <w:sz w:val="24"/>
          <w:lang w:val="sv-SE"/>
        </w:rPr>
        <w:footnoteRef/>
      </w:r>
      <w:r w:rsidR="00993EB9" w:rsidRPr="00036EE5">
        <w:rPr>
          <w:sz w:val="24"/>
          <w:lang w:val="en-GB"/>
        </w:rPr>
        <w:t xml:space="preserve"> </w:t>
      </w:r>
      <w:r w:rsidR="00993EB9" w:rsidRPr="00036EE5">
        <w:rPr>
          <w:sz w:val="24"/>
          <w:lang w:val="en-GB"/>
        </w:rPr>
        <w:tab/>
      </w:r>
      <w:r w:rsidRPr="00036EE5">
        <w:rPr>
          <w:sz w:val="24"/>
          <w:lang w:val="en-GB"/>
        </w:rPr>
        <w:t xml:space="preserve">Eurostat, </w:t>
      </w:r>
      <w:hyperlink r:id="rId1" w:history="1">
        <w:r w:rsidRPr="00036EE5">
          <w:rPr>
            <w:rStyle w:val="Hyperlink"/>
            <w:i/>
            <w:iCs/>
            <w:sz w:val="24"/>
            <w:lang w:val="en-GB"/>
          </w:rPr>
          <w:t>Archive: EU citizens living in another Member State - statistical overview</w:t>
        </w:r>
      </w:hyperlink>
      <w:r w:rsidRPr="00036EE5">
        <w:rPr>
          <w:sz w:val="24"/>
          <w:lang w:val="en-GB"/>
        </w:rPr>
        <w:t>.</w:t>
      </w:r>
    </w:p>
  </w:footnote>
  <w:footnote w:id="23">
    <w:p w14:paraId="50DC9E56" w14:textId="77777777" w:rsidR="00F36B4D" w:rsidRPr="00036EE5" w:rsidRDefault="00F36B4D" w:rsidP="00036EE5">
      <w:pPr>
        <w:pStyle w:val="FootnoteText"/>
        <w:ind w:left="567" w:hanging="567"/>
        <w:rPr>
          <w:lang w:val="en-GB"/>
        </w:rPr>
      </w:pPr>
      <w:r>
        <w:rPr>
          <w:rStyle w:val="FootnoteReference"/>
        </w:rPr>
        <w:footnoteRef/>
      </w:r>
      <w:r w:rsidRPr="00036EE5">
        <w:rPr>
          <w:lang w:val="en-GB"/>
        </w:rPr>
        <w:t xml:space="preserve"> </w:t>
      </w:r>
      <w:r w:rsidRPr="00036EE5">
        <w:rPr>
          <w:lang w:val="en-GB"/>
        </w:rPr>
        <w:tab/>
      </w:r>
      <w:r w:rsidRPr="00036EE5">
        <w:rPr>
          <w:sz w:val="24"/>
          <w:szCs w:val="24"/>
          <w:lang w:val="en-GB" w:eastAsia="en-US"/>
        </w:rPr>
        <w:t xml:space="preserve">Europeiska kommissionen, </w:t>
      </w:r>
      <w:r w:rsidRPr="00036EE5">
        <w:rPr>
          <w:i/>
          <w:iCs/>
          <w:sz w:val="24"/>
          <w:szCs w:val="24"/>
          <w:lang w:val="en-GB" w:eastAsia="en-US"/>
        </w:rPr>
        <w:t>EU Citizenship 2020 – Final Report: Results of the Public Consultation on EU Citizenship Rights 2020</w:t>
      </w:r>
      <w:r w:rsidRPr="00036EE5">
        <w:rPr>
          <w:sz w:val="24"/>
          <w:szCs w:val="24"/>
          <w:lang w:val="en-GB" w:eastAsia="en-US"/>
        </w:rPr>
        <w:t xml:space="preserve">, </w:t>
      </w:r>
      <w:proofErr w:type="gramStart"/>
      <w:r w:rsidRPr="00036EE5">
        <w:rPr>
          <w:sz w:val="24"/>
          <w:szCs w:val="24"/>
          <w:lang w:val="en-GB" w:eastAsia="en-US"/>
        </w:rPr>
        <w:t>december</w:t>
      </w:r>
      <w:proofErr w:type="gramEnd"/>
      <w:r w:rsidRPr="00036EE5">
        <w:rPr>
          <w:sz w:val="24"/>
          <w:szCs w:val="24"/>
          <w:lang w:val="en-GB" w:eastAsia="en-US"/>
        </w:rPr>
        <w:t xml:space="preserve"> 2020.</w:t>
      </w:r>
    </w:p>
  </w:footnote>
  <w:footnote w:id="24">
    <w:p w14:paraId="06F95B6C" w14:textId="77777777" w:rsidR="00D935B9" w:rsidRPr="00036EE5" w:rsidRDefault="00D935B9" w:rsidP="00993EB9">
      <w:pPr>
        <w:pStyle w:val="FootnoteText"/>
        <w:ind w:left="567" w:hanging="567"/>
        <w:rPr>
          <w:sz w:val="24"/>
          <w:lang w:val="en-GB"/>
        </w:rPr>
      </w:pPr>
      <w:r w:rsidRPr="00993EB9">
        <w:rPr>
          <w:rStyle w:val="FootnoteReference"/>
          <w:sz w:val="24"/>
          <w:lang w:val="sv-SE"/>
        </w:rPr>
        <w:footnoteRef/>
      </w:r>
      <w:r w:rsidR="00993EB9" w:rsidRPr="00036EE5">
        <w:rPr>
          <w:sz w:val="24"/>
          <w:lang w:val="en-GB"/>
        </w:rPr>
        <w:t xml:space="preserve"> </w:t>
      </w:r>
      <w:r w:rsidR="00993EB9" w:rsidRPr="00036EE5">
        <w:rPr>
          <w:sz w:val="24"/>
          <w:lang w:val="en-GB"/>
        </w:rPr>
        <w:tab/>
      </w:r>
      <w:r w:rsidRPr="00036EE5">
        <w:rPr>
          <w:sz w:val="24"/>
          <w:lang w:val="en-GB"/>
        </w:rPr>
        <w:t>Uppgifter från EU-statistik över inkomst- och levnadsvillkor (EU-Silc) och EU</w:t>
      </w:r>
      <w:proofErr w:type="gramStart"/>
      <w:r w:rsidRPr="00036EE5">
        <w:rPr>
          <w:sz w:val="24"/>
          <w:lang w:val="en-GB"/>
        </w:rPr>
        <w:t>:s</w:t>
      </w:r>
      <w:proofErr w:type="gramEnd"/>
      <w:r w:rsidRPr="00036EE5">
        <w:rPr>
          <w:sz w:val="24"/>
          <w:lang w:val="en-GB"/>
        </w:rPr>
        <w:t xml:space="preserve"> arbetskraftsundersökning (EU-LFS), Grammenos, S. and Priestley, M., </w:t>
      </w:r>
      <w:r w:rsidRPr="00036EE5">
        <w:rPr>
          <w:i/>
          <w:iCs/>
          <w:sz w:val="24"/>
          <w:lang w:val="en-GB"/>
        </w:rPr>
        <w:t>Europe 2020 data and people with disabilities – tables</w:t>
      </w:r>
      <w:r w:rsidRPr="00036EE5">
        <w:rPr>
          <w:sz w:val="24"/>
          <w:lang w:val="en-GB"/>
        </w:rPr>
        <w:t>, Eurostat, 2020.</w:t>
      </w:r>
    </w:p>
  </w:footnote>
  <w:footnote w:id="25">
    <w:p w14:paraId="2734FD67" w14:textId="77777777" w:rsidR="00D935B9" w:rsidRPr="00993EB9" w:rsidRDefault="00D935B9" w:rsidP="00993EB9">
      <w:pPr>
        <w:pStyle w:val="FootnoteText"/>
        <w:ind w:left="567" w:hanging="567"/>
        <w:rPr>
          <w:sz w:val="24"/>
          <w:lang w:val="sv-SE"/>
        </w:rPr>
      </w:pPr>
      <w:r w:rsidRPr="00993EB9">
        <w:rPr>
          <w:rStyle w:val="FootnoteReference"/>
          <w:sz w:val="24"/>
          <w:lang w:val="sv-SE"/>
        </w:rPr>
        <w:footnoteRef/>
      </w:r>
      <w:r w:rsidR="00993EB9" w:rsidRPr="00993EB9">
        <w:rPr>
          <w:sz w:val="24"/>
          <w:lang w:val="sv-SE"/>
        </w:rPr>
        <w:t xml:space="preserve"> </w:t>
      </w:r>
      <w:r w:rsidR="00993EB9" w:rsidRPr="00993EB9">
        <w:rPr>
          <w:sz w:val="24"/>
          <w:lang w:val="sv-SE"/>
        </w:rPr>
        <w:tab/>
      </w:r>
      <w:r w:rsidRPr="00993EB9">
        <w:rPr>
          <w:sz w:val="24"/>
          <w:lang w:val="sv-SE"/>
        </w:rPr>
        <w:t xml:space="preserve">Kommissionens meddelande av den 17 juni 2022 </w:t>
      </w:r>
      <w:r w:rsidRPr="00993EB9">
        <w:rPr>
          <w:i/>
          <w:iCs/>
          <w:sz w:val="24"/>
          <w:lang w:val="sv-SE"/>
        </w:rPr>
        <w:t>Konferensen om Europas framtid – Från vision till konkreta åtgärder</w:t>
      </w:r>
      <w:r w:rsidRPr="00993EB9">
        <w:rPr>
          <w:sz w:val="24"/>
          <w:lang w:val="sv-SE"/>
        </w:rPr>
        <w:t xml:space="preserve"> (COM(2022)0404),</w:t>
      </w:r>
    </w:p>
  </w:footnote>
  <w:footnote w:id="26">
    <w:p w14:paraId="36EA109D" w14:textId="77777777" w:rsidR="00D935B9" w:rsidRPr="00993EB9" w:rsidRDefault="00D935B9" w:rsidP="00993EB9">
      <w:pPr>
        <w:pStyle w:val="FootnoteText"/>
        <w:ind w:left="567" w:hanging="567"/>
        <w:rPr>
          <w:sz w:val="24"/>
          <w:lang w:val="sv-SE"/>
        </w:rPr>
      </w:pPr>
      <w:r w:rsidRPr="00993EB9">
        <w:rPr>
          <w:rStyle w:val="FootnoteReference"/>
          <w:sz w:val="24"/>
          <w:lang w:val="sv-SE"/>
        </w:rPr>
        <w:footnoteRef/>
      </w:r>
      <w:r w:rsidR="00993EB9" w:rsidRPr="00993EB9">
        <w:rPr>
          <w:sz w:val="24"/>
          <w:lang w:val="sv-SE"/>
        </w:rPr>
        <w:t xml:space="preserve"> </w:t>
      </w:r>
      <w:r w:rsidR="00993EB9" w:rsidRPr="00993EB9">
        <w:rPr>
          <w:sz w:val="24"/>
          <w:lang w:val="sv-SE"/>
        </w:rPr>
        <w:tab/>
      </w:r>
      <w:r w:rsidRPr="00993EB9">
        <w:rPr>
          <w:sz w:val="24"/>
          <w:lang w:val="sv-SE"/>
        </w:rPr>
        <w:t>Europaparlamentets och rådets förordning (EG) nr 1049/2001 av den 30 maj 2001 om allmänhetens tillgång till Europaparlamentets, rådets och kommissionens handlingar (EGT L 145, 31.5.2001, s.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235D1" w14:textId="77777777" w:rsidR="00064002" w:rsidRPr="00993E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DB45F" w14:textId="77777777" w:rsidR="00064002" w:rsidRPr="00993E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C8F83" w14:textId="77777777" w:rsidR="00064002" w:rsidRPr="00993E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SV"/>
    <w:docVar w:name="dvnumam" w:val="0"/>
    <w:docVar w:name="dvpe" w:val="754.647"/>
    <w:docVar w:name="dvrapporteur" w:val="Föredragande: "/>
    <w:docVar w:name="dvtitre" w:val="Europaparlamentets resolution av den xx xx 2024 om genomförande av fördragets bestämmelser om EU-medborgarskap(2023/2085(INI))"/>
  </w:docVars>
  <w:rsids>
    <w:rsidRoot w:val="00E950AA"/>
    <w:rsid w:val="00002272"/>
    <w:rsid w:val="00036EE5"/>
    <w:rsid w:val="00064002"/>
    <w:rsid w:val="000677B9"/>
    <w:rsid w:val="000831BA"/>
    <w:rsid w:val="000A42CC"/>
    <w:rsid w:val="000E7DD9"/>
    <w:rsid w:val="0010095E"/>
    <w:rsid w:val="00125B37"/>
    <w:rsid w:val="00182D4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3AC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EB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3C0B"/>
    <w:rsid w:val="00D058B8"/>
    <w:rsid w:val="00D56C11"/>
    <w:rsid w:val="00D834A0"/>
    <w:rsid w:val="00D872DF"/>
    <w:rsid w:val="00D91E21"/>
    <w:rsid w:val="00D935B9"/>
    <w:rsid w:val="00DA7FCD"/>
    <w:rsid w:val="00E365E1"/>
    <w:rsid w:val="00E820A4"/>
    <w:rsid w:val="00E950AA"/>
    <w:rsid w:val="00EB006A"/>
    <w:rsid w:val="00EB4772"/>
    <w:rsid w:val="00ED169E"/>
    <w:rsid w:val="00ED4235"/>
    <w:rsid w:val="00F04346"/>
    <w:rsid w:val="00F075DC"/>
    <w:rsid w:val="00F149E9"/>
    <w:rsid w:val="00F36B4D"/>
    <w:rsid w:val="00F5134D"/>
    <w:rsid w:val="00F74202"/>
    <w:rsid w:val="00F87713"/>
    <w:rsid w:val="00FB4360"/>
    <w:rsid w:val="00FD0C70"/>
    <w:rsid w:val="00FD583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AEECD"/>
  <w15:chartTrackingRefBased/>
  <w15:docId w15:val="{31AD03E4-533E-418A-B4A1-0A0A57BD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935B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935B9"/>
    <w:pPr>
      <w:spacing w:after="240"/>
    </w:pPr>
  </w:style>
  <w:style w:type="paragraph" w:customStyle="1" w:styleId="PageHeading">
    <w:name w:val="PageHeading"/>
    <w:basedOn w:val="Normal"/>
    <w:rsid w:val="00D935B9"/>
    <w:pPr>
      <w:keepNext/>
      <w:spacing w:after="480"/>
      <w:jc w:val="center"/>
    </w:pPr>
    <w:rPr>
      <w:rFonts w:ascii="Arial" w:hAnsi="Arial" w:cs="Arial"/>
      <w:b/>
    </w:rPr>
  </w:style>
  <w:style w:type="paragraph" w:customStyle="1" w:styleId="NormalBold">
    <w:name w:val="NormalBold"/>
    <w:basedOn w:val="Normal"/>
    <w:rsid w:val="00D935B9"/>
    <w:rPr>
      <w:b/>
    </w:rPr>
  </w:style>
  <w:style w:type="paragraph" w:customStyle="1" w:styleId="NormalHanging12a">
    <w:name w:val="NormalHanging12a"/>
    <w:basedOn w:val="Normal"/>
    <w:link w:val="NormalHanging12aChar"/>
    <w:rsid w:val="00D935B9"/>
    <w:pPr>
      <w:spacing w:after="240"/>
      <w:ind w:left="567" w:hanging="567"/>
    </w:pPr>
  </w:style>
  <w:style w:type="paragraph" w:styleId="Header">
    <w:name w:val="header"/>
    <w:basedOn w:val="Normal"/>
    <w:link w:val="HeaderChar"/>
    <w:rsid w:val="00D935B9"/>
    <w:pPr>
      <w:tabs>
        <w:tab w:val="center" w:pos="4513"/>
        <w:tab w:val="right" w:pos="9026"/>
      </w:tabs>
    </w:pPr>
  </w:style>
  <w:style w:type="character" w:customStyle="1" w:styleId="HeaderChar">
    <w:name w:val="Header Char"/>
    <w:basedOn w:val="DefaultParagraphFont"/>
    <w:link w:val="Header"/>
    <w:rsid w:val="00D935B9"/>
    <w:rPr>
      <w:sz w:val="24"/>
      <w:lang w:val="sv-SE"/>
    </w:rPr>
  </w:style>
  <w:style w:type="paragraph" w:customStyle="1" w:styleId="EPFooter">
    <w:name w:val="EPFooter"/>
    <w:basedOn w:val="Normal"/>
    <w:rsid w:val="00D935B9"/>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D935B9"/>
    <w:rPr>
      <w:color w:val="0563C1" w:themeColor="hyperlink"/>
      <w:u w:val="single"/>
    </w:rPr>
  </w:style>
  <w:style w:type="paragraph" w:customStyle="1" w:styleId="Normal12">
    <w:name w:val="Normal12"/>
    <w:basedOn w:val="Normal"/>
    <w:rsid w:val="00D935B9"/>
    <w:pPr>
      <w:spacing w:after="240"/>
    </w:pPr>
  </w:style>
  <w:style w:type="character" w:customStyle="1" w:styleId="doceo-font-family-base">
    <w:name w:val="doceo-font-family-base"/>
    <w:basedOn w:val="DefaultParagraphFont"/>
    <w:rsid w:val="00D935B9"/>
  </w:style>
  <w:style w:type="character" w:customStyle="1" w:styleId="y2iqfc">
    <w:name w:val="y2iqfc"/>
    <w:basedOn w:val="DefaultParagraphFont"/>
    <w:rsid w:val="00D935B9"/>
  </w:style>
  <w:style w:type="paragraph" w:customStyle="1" w:styleId="AMNumberTabs">
    <w:name w:val="AMNumberTabs"/>
    <w:basedOn w:val="Normal"/>
    <w:rsid w:val="00D935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D935B9"/>
    <w:pPr>
      <w:spacing w:after="480"/>
    </w:pPr>
  </w:style>
  <w:style w:type="character" w:customStyle="1" w:styleId="NormalHanging12aChar">
    <w:name w:val="NormalHanging12a Char"/>
    <w:basedOn w:val="DefaultParagraphFont"/>
    <w:link w:val="NormalHanging12a"/>
    <w:locked/>
    <w:rsid w:val="00D935B9"/>
    <w:rPr>
      <w:sz w:val="24"/>
      <w:lang w:val="sv-SE"/>
    </w:rPr>
  </w:style>
  <w:style w:type="paragraph" w:customStyle="1" w:styleId="PageHeadingNotTOC">
    <w:name w:val="PageHeadingNotTOC"/>
    <w:basedOn w:val="Normal"/>
    <w:rsid w:val="00D935B9"/>
    <w:pPr>
      <w:keepNext/>
      <w:spacing w:after="480"/>
      <w:jc w:val="center"/>
    </w:pPr>
    <w:rPr>
      <w:rFonts w:ascii="Arial" w:hAnsi="Arial" w:cs="Arial"/>
      <w:b/>
    </w:rPr>
  </w:style>
  <w:style w:type="paragraph" w:styleId="Footer">
    <w:name w:val="footer"/>
    <w:basedOn w:val="Normal"/>
    <w:link w:val="FooterChar"/>
    <w:rsid w:val="00993EB9"/>
    <w:pPr>
      <w:tabs>
        <w:tab w:val="center" w:pos="4513"/>
        <w:tab w:val="right" w:pos="9026"/>
      </w:tabs>
    </w:pPr>
  </w:style>
  <w:style w:type="character" w:customStyle="1" w:styleId="FooterChar">
    <w:name w:val="Footer Char"/>
    <w:basedOn w:val="DefaultParagraphFont"/>
    <w:link w:val="Footer"/>
    <w:rsid w:val="00993EB9"/>
    <w:rPr>
      <w:sz w:val="24"/>
      <w:lang w:val="sv-SE"/>
    </w:rPr>
  </w:style>
  <w:style w:type="paragraph" w:styleId="BalloonText">
    <w:name w:val="Balloon Text"/>
    <w:basedOn w:val="Normal"/>
    <w:link w:val="BalloonTextChar"/>
    <w:rsid w:val="00D03C0B"/>
    <w:rPr>
      <w:rFonts w:ascii="Segoe UI" w:hAnsi="Segoe UI" w:cs="Segoe UI"/>
      <w:sz w:val="18"/>
      <w:szCs w:val="18"/>
    </w:rPr>
  </w:style>
  <w:style w:type="character" w:customStyle="1" w:styleId="BalloonTextChar">
    <w:name w:val="Balloon Text Char"/>
    <w:basedOn w:val="DefaultParagraphFont"/>
    <w:link w:val="BalloonText"/>
    <w:rsid w:val="00D03C0B"/>
    <w:rPr>
      <w:rFonts w:ascii="Segoe UI" w:hAnsi="Segoe UI" w:cs="Segoe UI"/>
      <w:sz w:val="18"/>
      <w:szCs w:val="18"/>
      <w:lang w:val="sv-SE"/>
    </w:rPr>
  </w:style>
  <w:style w:type="character" w:styleId="CommentReference">
    <w:name w:val="annotation reference"/>
    <w:basedOn w:val="DefaultParagraphFont"/>
    <w:rsid w:val="00F36B4D"/>
    <w:rPr>
      <w:sz w:val="16"/>
      <w:szCs w:val="16"/>
    </w:rPr>
  </w:style>
  <w:style w:type="paragraph" w:styleId="CommentText">
    <w:name w:val="annotation text"/>
    <w:basedOn w:val="Normal"/>
    <w:link w:val="CommentTextChar"/>
    <w:rsid w:val="00F36B4D"/>
    <w:rPr>
      <w:sz w:val="20"/>
    </w:rPr>
  </w:style>
  <w:style w:type="character" w:customStyle="1" w:styleId="CommentTextChar">
    <w:name w:val="Comment Text Char"/>
    <w:basedOn w:val="DefaultParagraphFont"/>
    <w:link w:val="CommentText"/>
    <w:rsid w:val="00F36B4D"/>
    <w:rPr>
      <w:lang w:val="sv-SE"/>
    </w:rPr>
  </w:style>
  <w:style w:type="paragraph" w:styleId="CommentSubject">
    <w:name w:val="annotation subject"/>
    <w:basedOn w:val="CommentText"/>
    <w:next w:val="CommentText"/>
    <w:link w:val="CommentSubjectChar"/>
    <w:rsid w:val="00F36B4D"/>
    <w:rPr>
      <w:b/>
      <w:bCs/>
    </w:rPr>
  </w:style>
  <w:style w:type="character" w:customStyle="1" w:styleId="CommentSubjectChar">
    <w:name w:val="Comment Subject Char"/>
    <w:basedOn w:val="CommentTextChar"/>
    <w:link w:val="CommentSubject"/>
    <w:rsid w:val="00F36B4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30FE8-0E79-483A-8ADA-553FF5665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3969</Words>
  <Characters>25554</Characters>
  <Application>Microsoft Office Word</Application>
  <DocSecurity>0</DocSecurity>
  <Lines>751</Lines>
  <Paragraphs>567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2024-02-25T14:23:00Z</dcterms:created>
  <dcterms:modified xsi:type="dcterms:W3CDTF">2024-02-25T14:23:00Z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A9-0436/2023</vt:lpwstr>
  </property>
  <property fmtid="{D5CDD505-2E9C-101B-9397-08002B2CF9AE}" pid="4" name="&lt;Type&gt;">
    <vt:lpwstr>RR</vt:lpwstr>
  </property>
</Properties>
</file>