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4AE4" w:rsidTr="0010095E">
        <w:trPr>
          <w:trHeight w:hRule="exact" w:val="1418"/>
        </w:trPr>
        <w:tc>
          <w:tcPr>
            <w:tcW w:w="6804" w:type="dxa"/>
            <w:shd w:val="clear" w:color="auto" w:fill="auto"/>
            <w:vAlign w:val="center"/>
          </w:tcPr>
          <w:p w:rsidR="00751A4A" w:rsidRPr="00D74AE4" w:rsidRDefault="0077330D" w:rsidP="0010095E">
            <w:pPr>
              <w:pStyle w:val="EPName"/>
            </w:pPr>
            <w:r w:rsidRPr="00D74AE4">
              <w:t>Европейски</w:t>
            </w:r>
            <w:r w:rsidR="00D245F5" w:rsidRPr="00D74AE4">
              <w:t xml:space="preserve"> парламент</w:t>
            </w:r>
          </w:p>
          <w:p w:rsidR="00751A4A" w:rsidRPr="00D74AE4" w:rsidRDefault="0077330D" w:rsidP="00756632">
            <w:pPr>
              <w:pStyle w:val="EPTerm"/>
              <w:rPr>
                <w:rStyle w:val="HideTWBExt"/>
                <w:noProof w:val="0"/>
                <w:vanish w:val="0"/>
                <w:color w:val="auto"/>
              </w:rPr>
            </w:pPr>
            <w:r>
              <w:t>2019 – </w:t>
            </w:r>
            <w:r w:rsidR="00817416" w:rsidRPr="00D74AE4">
              <w:t>2024</w:t>
            </w:r>
          </w:p>
        </w:tc>
        <w:tc>
          <w:tcPr>
            <w:tcW w:w="2268" w:type="dxa"/>
            <w:shd w:val="clear" w:color="auto" w:fill="auto"/>
          </w:tcPr>
          <w:p w:rsidR="00751A4A" w:rsidRPr="00D74AE4" w:rsidRDefault="00187494" w:rsidP="0010095E">
            <w:pPr>
              <w:pStyle w:val="EPLogo"/>
            </w:pPr>
            <w:r w:rsidRPr="00D74A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4AE4" w:rsidRDefault="00D058B8" w:rsidP="004C5D52">
      <w:pPr>
        <w:pStyle w:val="LineTop"/>
      </w:pPr>
    </w:p>
    <w:p w:rsidR="00680577" w:rsidRPr="00D74AE4" w:rsidRDefault="00D245F5" w:rsidP="00680577">
      <w:pPr>
        <w:pStyle w:val="EPBodyTA1"/>
      </w:pPr>
      <w:r w:rsidRPr="00D74AE4">
        <w:t>ПРИЕТИ ТЕКСТОВЕ</w:t>
      </w:r>
    </w:p>
    <w:p w:rsidR="00D058B8" w:rsidRPr="00D74AE4" w:rsidRDefault="00D058B8" w:rsidP="00D058B8">
      <w:pPr>
        <w:pStyle w:val="LineBottom"/>
      </w:pPr>
    </w:p>
    <w:p w:rsidR="00D245F5" w:rsidRPr="00472EA4" w:rsidRDefault="00D245F5" w:rsidP="00472EA4">
      <w:pPr>
        <w:pStyle w:val="ATHeading1"/>
        <w:rPr>
          <w:lang w:val="en-GB"/>
        </w:rPr>
      </w:pPr>
      <w:bookmarkStart w:id="0" w:name="TANumber"/>
      <w:r w:rsidRPr="00D74AE4">
        <w:t>P9_TA(2024)00</w:t>
      </w:r>
      <w:bookmarkEnd w:id="0"/>
      <w:r w:rsidR="00472EA4">
        <w:rPr>
          <w:lang w:val="en-GB"/>
        </w:rPr>
        <w:t>25</w:t>
      </w:r>
    </w:p>
    <w:p w:rsidR="00D245F5" w:rsidRPr="00D74AE4" w:rsidRDefault="00D245F5" w:rsidP="00D245F5">
      <w:pPr>
        <w:pStyle w:val="ATHeading2"/>
      </w:pPr>
      <w:bookmarkStart w:id="1" w:name="title"/>
      <w:r w:rsidRPr="00D74AE4">
        <w:t>Разработване на цялостна европейска стратегия за пристанищата</w:t>
      </w:r>
      <w:bookmarkEnd w:id="1"/>
    </w:p>
    <w:p w:rsidR="00D245F5" w:rsidRPr="00D74AE4" w:rsidRDefault="00D245F5" w:rsidP="00D245F5">
      <w:pPr>
        <w:rPr>
          <w:i/>
          <w:vanish/>
        </w:rPr>
      </w:pPr>
      <w:r w:rsidRPr="00D74AE4">
        <w:rPr>
          <w:i/>
        </w:rPr>
        <w:fldChar w:fldCharType="begin"/>
      </w:r>
      <w:r w:rsidRPr="00D74AE4">
        <w:rPr>
          <w:i/>
        </w:rPr>
        <w:instrText xml:space="preserve"> TC"(</w:instrText>
      </w:r>
      <w:bookmarkStart w:id="2" w:name="DocNumber"/>
      <w:r w:rsidRPr="00D74AE4">
        <w:rPr>
          <w:i/>
        </w:rPr>
        <w:instrText>A9-0443/2023</w:instrText>
      </w:r>
      <w:bookmarkEnd w:id="2"/>
      <w:r w:rsidRPr="00D74AE4">
        <w:rPr>
          <w:i/>
        </w:rPr>
        <w:instrText xml:space="preserve"> - Докладчик: Том Берендсен)"\l3 \n&gt; \* MERGEFORMAT </w:instrText>
      </w:r>
      <w:r w:rsidRPr="00D74AE4">
        <w:rPr>
          <w:i/>
        </w:rPr>
        <w:fldChar w:fldCharType="end"/>
      </w:r>
    </w:p>
    <w:p w:rsidR="00D245F5" w:rsidRPr="00D74AE4" w:rsidRDefault="00D245F5" w:rsidP="00D245F5">
      <w:pPr>
        <w:rPr>
          <w:vanish/>
        </w:rPr>
      </w:pPr>
      <w:bookmarkStart w:id="3" w:name="Commission"/>
      <w:r w:rsidRPr="00D74AE4">
        <w:rPr>
          <w:vanish/>
        </w:rPr>
        <w:t>Комисия по транспорт и туризъм</w:t>
      </w:r>
      <w:bookmarkEnd w:id="3"/>
    </w:p>
    <w:p w:rsidR="00D245F5" w:rsidRPr="00D74AE4" w:rsidRDefault="00D245F5" w:rsidP="00D245F5">
      <w:pPr>
        <w:rPr>
          <w:vanish/>
        </w:rPr>
      </w:pPr>
      <w:bookmarkStart w:id="4" w:name="PE"/>
      <w:r w:rsidRPr="00D74AE4">
        <w:rPr>
          <w:vanish/>
        </w:rPr>
        <w:t>PE750.225</w:t>
      </w:r>
      <w:bookmarkEnd w:id="4"/>
    </w:p>
    <w:p w:rsidR="00D245F5" w:rsidRPr="00D74AE4" w:rsidRDefault="00D245F5" w:rsidP="0077330D">
      <w:pPr>
        <w:pStyle w:val="ATHeading3"/>
      </w:pPr>
      <w:bookmarkStart w:id="5" w:name="Sujet"/>
      <w:r w:rsidRPr="00D74AE4">
        <w:t xml:space="preserve">Резолюция на Европейския парламент от </w:t>
      </w:r>
      <w:r w:rsidR="004E40FD">
        <w:t>1</w:t>
      </w:r>
      <w:r w:rsidR="004E40FD" w:rsidRPr="00472EA4">
        <w:t>7</w:t>
      </w:r>
      <w:r w:rsidR="00EC6156">
        <w:t xml:space="preserve"> януари</w:t>
      </w:r>
      <w:r w:rsidR="00EC6156" w:rsidRPr="00D74AE4">
        <w:t xml:space="preserve"> </w:t>
      </w:r>
      <w:r w:rsidRPr="00D74AE4">
        <w:t>2024 г. относно разработването на цялостна европейска стратегия за пристанищата</w:t>
      </w:r>
      <w:bookmarkEnd w:id="5"/>
      <w:r w:rsidRPr="00D74AE4">
        <w:t xml:space="preserve"> </w:t>
      </w:r>
      <w:bookmarkStart w:id="6" w:name="References"/>
      <w:r w:rsidRPr="00D74AE4">
        <w:t>(2023/2059(INI))</w:t>
      </w:r>
      <w:bookmarkEnd w:id="6"/>
    </w:p>
    <w:p w:rsidR="00ED5362" w:rsidRPr="00D74AE4" w:rsidRDefault="00ED5362" w:rsidP="00ED5362">
      <w:pPr>
        <w:pStyle w:val="EPComma"/>
        <w:rPr>
          <w:lang w:val="bg-BG"/>
        </w:rPr>
      </w:pPr>
      <w:bookmarkStart w:id="7" w:name="TextBodyBegin"/>
      <w:bookmarkEnd w:id="7"/>
      <w:r w:rsidRPr="00D74AE4">
        <w:rPr>
          <w:rStyle w:val="Italic"/>
          <w:lang w:val="bg-BG"/>
        </w:rPr>
        <w:t>Европейският парламент</w:t>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Договора за функционирането на Европейския съюз, и по-специално дял XVIII от него,</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съобщението на Комисията от 1 юни 2023 г., озаглавено „Морската безопасност: в основата на чистото и модерно корабоплаване“ (COM(2023)0268),</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10 март 2023 г. относно актуализиране на Стратегията на ЕС за морска сигурност и свързания с нея план за действие „Засилване на Европейската стратегия за морска сигурност с оглед на променящите се заплахи за морската сигурност“ (JOIN(2023)0008),</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плана за действие във връзка със Стратегията за морска сигурност, приет от Европейския съвет на 24 юни 2014 г.,</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заключенията на Съвета относно прегледа на плана за действие във връзка със Стратегията за морска сигурност на ЕС, приети от Европейския съвет на 26 юни 2018 г.,</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 декември 2021 г., озаглавено „Global Gateway“ (JOIN(2021)0030),</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12 март 2019 г., озаглавено „ЕС – Китай – стратегически перспективи“ (JOIN(2019)0005),</w:t>
      </w:r>
    </w:p>
    <w:p w:rsidR="00ED5362" w:rsidRPr="00D74AE4" w:rsidRDefault="00ED5362" w:rsidP="00ED5362">
      <w:pPr>
        <w:pStyle w:val="NormalHanging12a"/>
        <w:rPr>
          <w:lang w:val="bg-BG"/>
        </w:rPr>
      </w:pPr>
      <w:r w:rsidRPr="00D74AE4">
        <w:rPr>
          <w:lang w:val="bg-BG"/>
        </w:rPr>
        <w:lastRenderedPageBreak/>
        <w:t>–</w:t>
      </w:r>
      <w:r w:rsidRPr="00D74AE4">
        <w:rPr>
          <w:lang w:val="bg-BG"/>
        </w:rPr>
        <w:tab/>
        <w:t>като взе предвид съвместното съобщение до Европейския парламент, Европейския съвет и Съвета от 20 юни 2023 г., озаглавено „Европейска стратегия за икономическа сигурност“ (JOIN(2023)0020),</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пакета на Комисията „Подготвени за цел 55“ от 14 юли 2021 г. за изпълнение на Европейския зелен пакт,</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споразумението, прието на 21-вата конференция на страните по Рамковата конвенция на ООН по изменение на климата (COP21) в Париж на 12 декември 2015 г. (Парижкото споразумение),</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съобщението на Комисията от 20 май 2020 г., озаглавено „Стратегия на ЕС за биологичното разнообразие за 2030 г. Да осигурим полагащото се място на природата в нашия живот“ (COM(2020)0380),</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Директива 2007/60/ЕО от 23 октомври 2007 г. относно оценката и управлението на риска от наводнения,</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Директива (ЕС) 2018/2001 от 11 декември 2018 г. за насърчаване използването на енергия от възобновяеми източници,</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съобщението на Комисията от 23 май 2013 г., озаглавено „Пристанищата: двигател на растежа“ (COM(2013)0295),</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съобщението на Комисията от 18 октомври 2023 г. относно пътната карта на ЕС за борба с трафика на наркотици и организираната престъпност,</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Плана за действие на ЕС: „Към нулево замърсяване на въздуха, водата и почвата“,</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Директивата за качеството на атмосферния въздух (2022/0347(COD) [водят се преговори за приемането на текста],</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Регламент (ЕС) 2023/1804 на Европейския парламент и на Съвета от 13 септември 2023 г. за разгръщането на инфраструктура за алтернативни горива и за отмяна на Директива 2014/94/ЕС</w:t>
      </w:r>
      <w:r w:rsidRPr="00D74AE4">
        <w:rPr>
          <w:rStyle w:val="FootnoteReference"/>
          <w:lang w:val="bg-BG"/>
        </w:rPr>
        <w:footnoteReference w:id="1"/>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Регламент (ЕС) 2023/1805 на Европейския парламент и на Съвета от 13 септември 2023 г. относно използването на възобновяеми и нисковъглеродни горива в морския транспорт и за изменение на Директива 2009/16/ЕО</w:t>
      </w:r>
      <w:r w:rsidRPr="00D74AE4">
        <w:rPr>
          <w:rStyle w:val="FootnoteReference"/>
          <w:lang w:val="bg-BG"/>
        </w:rPr>
        <w:footnoteReference w:id="2"/>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Директива (ЕС) 2022/2557 на Европейския парламент и на Съвета от 14 декември 2022 г. за устойчивостта на критичните субекти и за отмяна на Директива 2008/114/ЕО на Съвета</w:t>
      </w:r>
      <w:r w:rsidRPr="00D74AE4">
        <w:rPr>
          <w:rStyle w:val="FootnoteReference"/>
          <w:lang w:val="bg-BG"/>
        </w:rPr>
        <w:footnoteReference w:id="3"/>
      </w:r>
      <w:r w:rsidRPr="00D74AE4">
        <w:rPr>
          <w:lang w:val="bg-BG"/>
        </w:rPr>
        <w:t>,</w:t>
      </w:r>
    </w:p>
    <w:p w:rsidR="00ED5362" w:rsidRPr="00D74AE4" w:rsidRDefault="00ED5362" w:rsidP="00ED5362">
      <w:pPr>
        <w:pStyle w:val="NormalHanging12a"/>
        <w:rPr>
          <w:lang w:val="bg-BG"/>
        </w:rPr>
      </w:pPr>
      <w:r w:rsidRPr="00D74AE4">
        <w:rPr>
          <w:lang w:val="bg-BG"/>
        </w:rPr>
        <w:lastRenderedPageBreak/>
        <w:t>–</w:t>
      </w:r>
      <w:r w:rsidRPr="00D74AE4">
        <w:rPr>
          <w:lang w:val="bg-BG"/>
        </w:rPr>
        <w:tab/>
        <w:t>като взе предвид Регламент (ЕС) 2021/1153 на Европейския парламент и на Съвета от 7 юли 2021 г. за създаване на Механизъм за свързване на Европа и за отмяна на регламенти (ЕС) № 1316/2013 и (ЕС) № 283/2014</w:t>
      </w:r>
      <w:r w:rsidRPr="00D74AE4">
        <w:rPr>
          <w:rStyle w:val="FootnoteReference"/>
          <w:lang w:val="bg-BG"/>
        </w:rPr>
        <w:footnoteReference w:id="4"/>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Регламент (ЕС) 2019/452 на Европейския парламент и на Съвета от 19 март 2019 г. за създаване на рамка за скрининг на преки чуждестранни инвестиции в Съюза</w:t>
      </w:r>
      <w:r w:rsidRPr="00D74AE4">
        <w:rPr>
          <w:rStyle w:val="FootnoteReference"/>
          <w:lang w:val="bg-BG"/>
        </w:rPr>
        <w:footnoteReference w:id="5"/>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Регламент (ЕС) 2022/2560 на Европейския парламент и на Съвета от 14 декември 2022 г. относно чуждестранните субсидии, които нарушават вътрешния пазар</w:t>
      </w:r>
      <w:r w:rsidRPr="00D74AE4">
        <w:rPr>
          <w:rStyle w:val="FootnoteReference"/>
          <w:lang w:val="bg-BG"/>
        </w:rPr>
        <w:footnoteReference w:id="6"/>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Регламент (ЕС) 2017/352 на Европейския парламент и на Съвета от 15 февруари 2017 г. за създаване на рамка за предоставянето на пристанищни услуги и общи правила за финансовата прозрачност на пристанищата</w:t>
      </w:r>
      <w:r w:rsidRPr="00D74AE4">
        <w:rPr>
          <w:rStyle w:val="FootnoteReference"/>
          <w:lang w:val="bg-BG"/>
        </w:rPr>
        <w:footnoteReference w:id="7"/>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 xml:space="preserve">като взе предвид Регламент (ЕС) </w:t>
      </w:r>
      <w:r w:rsidR="0076040E" w:rsidRPr="0032675A">
        <w:rPr>
          <w:lang w:val="bg-BG"/>
        </w:rPr>
        <w:t>№</w:t>
      </w:r>
      <w:r w:rsidR="0076040E">
        <w:rPr>
          <w:lang w:val="bg-BG"/>
        </w:rPr>
        <w:t xml:space="preserve"> </w:t>
      </w:r>
      <w:bookmarkStart w:id="8" w:name="_GoBack"/>
      <w:bookmarkEnd w:id="8"/>
      <w:r w:rsidRPr="00D74AE4">
        <w:rPr>
          <w:lang w:val="bg-BG"/>
        </w:rPr>
        <w:t>1315/2013 на Европейския парламент и на Съвета от 11 декември 2013 г. относно насоките на Съюза за развитието на трансевропейската транспортна мрежа и за отмяна на Решение № 661/2010/ЕС</w:t>
      </w:r>
      <w:r w:rsidRPr="00D74AE4">
        <w:rPr>
          <w:rStyle w:val="FootnoteReference"/>
          <w:lang w:val="bg-BG"/>
        </w:rPr>
        <w:footnoteReference w:id="8"/>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Регламент (ЕО) № 906/2009 на Комисията от 28 септември 2009 г. относно прилагането на член 81, параграф 3 от Договора за някои категории споразумения, решения и съгласувани практики между дружества за линейно корабоплаване (консорциуми) и съобщението на Комисията от 10 октомври 2023 г. относно изтичането на срока на неговото действие на 25 април 2024 г.,</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предложението за регламент на Европейския парламент и на Съвета относно насоките на Съюза за развитието на трансевропейската транспортна мрежа, за изменение на регламенти (ЕС) 2021/1153 и (ЕС) № 913/2010 и за отмяна на Регламент (ЕС) 1315/2013 (COM(2021)0812),</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своята резолюция от 16 септември 2021 г. относно нова стратегия ЕС – Китай</w:t>
      </w:r>
      <w:r w:rsidRPr="00D74AE4">
        <w:rPr>
          <w:rStyle w:val="FootnoteReference"/>
          <w:lang w:val="bg-BG"/>
        </w:rPr>
        <w:footnoteReference w:id="9"/>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своята резолюция от 27 април 2021 г. относно техническите и оперативните мерки за по-ефикасен и по-чист морски транспорт</w:t>
      </w:r>
      <w:r w:rsidRPr="00D74AE4">
        <w:rPr>
          <w:rStyle w:val="FootnoteReference"/>
          <w:lang w:val="bg-BG"/>
        </w:rPr>
        <w:footnoteReference w:id="10"/>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своята резолюция от 12 март 2019 г. относно заплахите за сигурността във връзка със засилващото се технологично присъствие на Китай в ЕС и възможни действия на равнището на ЕС за ограничаването им</w:t>
      </w:r>
      <w:r w:rsidRPr="00D74AE4">
        <w:rPr>
          <w:rStyle w:val="FootnoteReference"/>
          <w:lang w:val="bg-BG"/>
        </w:rPr>
        <w:footnoteReference w:id="11"/>
      </w:r>
      <w:r w:rsidRPr="00D74AE4">
        <w:rPr>
          <w:lang w:val="bg-BG"/>
        </w:rPr>
        <w:t>,</w:t>
      </w:r>
    </w:p>
    <w:p w:rsidR="00ED5362" w:rsidRPr="00D74AE4" w:rsidRDefault="00ED5362" w:rsidP="00ED5362">
      <w:pPr>
        <w:pStyle w:val="NormalHanging12a"/>
        <w:rPr>
          <w:lang w:val="bg-BG"/>
        </w:rPr>
      </w:pPr>
      <w:r w:rsidRPr="00D74AE4">
        <w:rPr>
          <w:lang w:val="bg-BG"/>
        </w:rPr>
        <w:lastRenderedPageBreak/>
        <w:t>–</w:t>
      </w:r>
      <w:r w:rsidRPr="00D74AE4">
        <w:rPr>
          <w:lang w:val="bg-BG"/>
        </w:rPr>
        <w:tab/>
        <w:t>като взе предвид проучването от септември 2023 г., озаглавено „Китайски инвестиции в европейската морска инфраструктура“, поръчано от комисията по транспорт и туризъм</w:t>
      </w:r>
      <w:r w:rsidRPr="00D74AE4">
        <w:rPr>
          <w:rStyle w:val="FootnoteReference"/>
          <w:lang w:val="bg-BG"/>
        </w:rPr>
        <w:footnoteReference w:id="12"/>
      </w:r>
      <w:r w:rsidRPr="00D74AE4">
        <w:rPr>
          <w:lang w:val="bg-BG"/>
        </w:rPr>
        <w:t>,</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член 54 от своя Правилник за дейността,</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становището на комисията по международна търговия,</w:t>
      </w:r>
    </w:p>
    <w:p w:rsidR="00ED5362" w:rsidRPr="00D74AE4" w:rsidRDefault="00ED5362" w:rsidP="00ED5362">
      <w:pPr>
        <w:pStyle w:val="NormalHanging12a"/>
        <w:rPr>
          <w:lang w:val="bg-BG"/>
        </w:rPr>
      </w:pPr>
      <w:r w:rsidRPr="00D74AE4">
        <w:rPr>
          <w:lang w:val="bg-BG"/>
        </w:rPr>
        <w:t>–</w:t>
      </w:r>
      <w:r w:rsidRPr="00D74AE4">
        <w:rPr>
          <w:lang w:val="bg-BG"/>
        </w:rPr>
        <w:tab/>
        <w:t>като взе предвид доклада на комисията по транспорт и туризъм (A9-0443/2023),</w:t>
      </w:r>
    </w:p>
    <w:p w:rsidR="00ED5362" w:rsidRPr="00D74AE4" w:rsidRDefault="00ED5362" w:rsidP="00ED5362">
      <w:pPr>
        <w:pStyle w:val="NormalHanging12a"/>
        <w:rPr>
          <w:lang w:val="bg-BG"/>
        </w:rPr>
      </w:pPr>
      <w:r w:rsidRPr="00D74AE4">
        <w:rPr>
          <w:lang w:val="bg-BG"/>
        </w:rPr>
        <w:t>А.</w:t>
      </w:r>
      <w:r w:rsidRPr="00D74AE4">
        <w:rPr>
          <w:lang w:val="bg-BG"/>
        </w:rPr>
        <w:tab/>
        <w:t>като има предвид, че пристанищата са порталите на ЕС към света и като такива играят решаваща роля в неговата икономика, като предоставят богатство и работни места чрез улесняване на външната търговия, осъществяване на връзка с хинтерланда, осигуряване на растеж на синята икономика и промишленото производство, енергийния преход, сигурността на енергийните доставки и стратегическата автономност на ЕС;</w:t>
      </w:r>
    </w:p>
    <w:p w:rsidR="00ED5362" w:rsidRPr="00D74AE4" w:rsidRDefault="00ED5362" w:rsidP="00ED5362">
      <w:pPr>
        <w:pStyle w:val="NormalHanging12a"/>
        <w:rPr>
          <w:lang w:val="bg-BG"/>
        </w:rPr>
      </w:pPr>
      <w:r w:rsidRPr="00D74AE4">
        <w:rPr>
          <w:lang w:val="bg-BG"/>
        </w:rPr>
        <w:t>Б.</w:t>
      </w:r>
      <w:r w:rsidRPr="00D74AE4">
        <w:rPr>
          <w:lang w:val="bg-BG"/>
        </w:rPr>
        <w:tab/>
        <w:t>като има предвид, че пристанищата предоставят жизненоважна обществена услуга, която следва да бъдат призната и оценена;</w:t>
      </w:r>
    </w:p>
    <w:p w:rsidR="00ED5362" w:rsidRPr="00D74AE4" w:rsidRDefault="00ED5362" w:rsidP="00ED5362">
      <w:pPr>
        <w:pStyle w:val="NormalHanging12a"/>
        <w:rPr>
          <w:lang w:val="bg-BG"/>
        </w:rPr>
      </w:pPr>
      <w:r w:rsidRPr="00D74AE4">
        <w:rPr>
          <w:lang w:val="bg-BG"/>
        </w:rPr>
        <w:t>В.</w:t>
      </w:r>
      <w:r w:rsidRPr="00D74AE4">
        <w:rPr>
          <w:lang w:val="bg-BG"/>
        </w:rPr>
        <w:tab/>
        <w:t>като има предвид, че макар конкуренцията между пристанищата да носи ползи, следва да се избягва надпреварата между тях за сметка на сигурността или засиленото политическо влияние или чуждестранен контрол чрез инвестиции на субекти извън ЕС, по-специално от държавни предприятия или контролирани или повлияни от държавата предприятия;</w:t>
      </w:r>
    </w:p>
    <w:p w:rsidR="00ED5362" w:rsidRPr="00D74AE4" w:rsidRDefault="00ED5362" w:rsidP="00ED5362">
      <w:pPr>
        <w:pStyle w:val="NormalHanging12a"/>
        <w:rPr>
          <w:lang w:val="bg-BG"/>
        </w:rPr>
      </w:pPr>
      <w:r w:rsidRPr="00D74AE4">
        <w:rPr>
          <w:lang w:val="bg-BG"/>
        </w:rPr>
        <w:t>Г.</w:t>
      </w:r>
      <w:r w:rsidRPr="00D74AE4">
        <w:rPr>
          <w:lang w:val="bg-BG"/>
        </w:rPr>
        <w:tab/>
        <w:t>като има предвид, че държавните предприятия извън ЕС или предприятията, пряко или непряко контролирани от чужди държави, са увеличили стратегическите си финансови и оперативни дялове в европейските пристанища, терминали, дружества и пристанищна инфраструктура;</w:t>
      </w:r>
    </w:p>
    <w:p w:rsidR="00ED5362" w:rsidRPr="00D74AE4" w:rsidRDefault="00ED5362" w:rsidP="00ED5362">
      <w:pPr>
        <w:pStyle w:val="NormalHanging12a"/>
        <w:rPr>
          <w:lang w:val="bg-BG"/>
        </w:rPr>
      </w:pPr>
      <w:r w:rsidRPr="00D74AE4">
        <w:rPr>
          <w:lang w:val="bg-BG"/>
        </w:rPr>
        <w:t>Д.</w:t>
      </w:r>
      <w:r w:rsidRPr="00D74AE4">
        <w:rPr>
          <w:lang w:val="bg-BG"/>
        </w:rPr>
        <w:tab/>
        <w:t>като има предвид, че Европейският съюз подчерта желанието си за по-голяма автономност в стратегическите сектори, но не е направил почти нищо, за да реагира на растежа на Китай в морския сектор и последиците от това за сигурността;</w:t>
      </w:r>
    </w:p>
    <w:p w:rsidR="00ED5362" w:rsidRPr="00D74AE4" w:rsidRDefault="00ED5362" w:rsidP="00ED5362">
      <w:pPr>
        <w:pStyle w:val="NormalHanging12a"/>
        <w:rPr>
          <w:lang w:val="bg-BG"/>
        </w:rPr>
      </w:pPr>
      <w:r w:rsidRPr="00D74AE4">
        <w:rPr>
          <w:lang w:val="bg-BG"/>
        </w:rPr>
        <w:t>Е.</w:t>
      </w:r>
      <w:r w:rsidRPr="00D74AE4">
        <w:rPr>
          <w:lang w:val="bg-BG"/>
        </w:rPr>
        <w:tab/>
        <w:t>като има предвид, че пристанищата са изключително сложна среда с много заинтересовани лица и интереси, поради което установяването и оценката на рисковете от чуждо влияние е трудна, но много важна задача;</w:t>
      </w:r>
    </w:p>
    <w:p w:rsidR="00ED5362" w:rsidRPr="00D74AE4" w:rsidRDefault="00ED5362" w:rsidP="00ED5362">
      <w:pPr>
        <w:pStyle w:val="NormalHanging12a"/>
        <w:rPr>
          <w:lang w:val="bg-BG"/>
        </w:rPr>
      </w:pPr>
      <w:r w:rsidRPr="00D74AE4">
        <w:rPr>
          <w:lang w:val="bg-BG"/>
        </w:rPr>
        <w:t>Ж.</w:t>
      </w:r>
      <w:r w:rsidRPr="00D74AE4">
        <w:rPr>
          <w:lang w:val="bg-BG"/>
        </w:rPr>
        <w:tab/>
        <w:t>като има предвид, че руската агресивна война срещу Украйна показа, че зависимостта от отделни държави извън ЕС в стратегическите сектори крие недопустими рискове и че е от съществено значение да се укрепят сигурността и устойчивостта на морската инфраструктура и на веригите за създаване на стойност, за да се гарантира потокът от жизненоважни стоки;</w:t>
      </w:r>
    </w:p>
    <w:p w:rsidR="00ED5362" w:rsidRPr="00D74AE4" w:rsidRDefault="00ED5362" w:rsidP="00ED5362">
      <w:pPr>
        <w:pStyle w:val="NormalHanging12a"/>
        <w:rPr>
          <w:lang w:val="bg-BG"/>
        </w:rPr>
      </w:pPr>
      <w:r w:rsidRPr="00D74AE4">
        <w:rPr>
          <w:lang w:val="bg-BG"/>
        </w:rPr>
        <w:lastRenderedPageBreak/>
        <w:t>З.</w:t>
      </w:r>
      <w:r w:rsidRPr="00D74AE4">
        <w:rPr>
          <w:lang w:val="bg-BG"/>
        </w:rPr>
        <w:tab/>
        <w:t>като има предвид, че пристанищата възвърнаха значението си от военна и отбранителна гледна точка, включително двойното предназначение на тяхната инфраструктура;</w:t>
      </w:r>
    </w:p>
    <w:p w:rsidR="00ED5362" w:rsidRPr="00D74AE4" w:rsidRDefault="00ED5362" w:rsidP="00ED5362">
      <w:pPr>
        <w:pStyle w:val="NormalHanging12a"/>
        <w:rPr>
          <w:lang w:val="bg-BG"/>
        </w:rPr>
      </w:pPr>
      <w:r w:rsidRPr="00D74AE4">
        <w:rPr>
          <w:lang w:val="bg-BG"/>
        </w:rPr>
        <w:t>И.</w:t>
      </w:r>
      <w:r w:rsidRPr="00D74AE4">
        <w:rPr>
          <w:lang w:val="bg-BG"/>
        </w:rPr>
        <w:tab/>
        <w:t>като има предвид, че европейските пристанища често се конкурират с пристанища в трети държави, където чуждестранните инвестиции от трети държави допълнително задълбочават липсата на еднакви условия по отношение на конкурентоспособността и спазването на стандартите за устойчивост, трудовите права и фискалните тежести;</w:t>
      </w:r>
    </w:p>
    <w:p w:rsidR="00ED5362" w:rsidRPr="00D74AE4" w:rsidRDefault="00ED5362" w:rsidP="00ED5362">
      <w:pPr>
        <w:pStyle w:val="NormalHanging12a"/>
        <w:rPr>
          <w:lang w:val="bg-BG"/>
        </w:rPr>
      </w:pPr>
      <w:r w:rsidRPr="00D74AE4">
        <w:rPr>
          <w:lang w:val="bg-BG"/>
        </w:rPr>
        <w:t>Й.</w:t>
      </w:r>
      <w:r w:rsidRPr="00D74AE4">
        <w:rPr>
          <w:lang w:val="bg-BG"/>
        </w:rPr>
        <w:tab/>
        <w:t>като има предвид, че следва да се обърне особено внимание на отрицателните последици от избягването на задължения чрез преместване на дейностите по трансбордиране в пристанища извън ЕС, както по отношение на подкопаването на конкурентоспособността на пристанищата в ЕС, така и по отношение на увеличаването на изместването на въглеродни емисии;</w:t>
      </w:r>
    </w:p>
    <w:p w:rsidR="00ED5362" w:rsidRPr="00D74AE4" w:rsidRDefault="00ED5362" w:rsidP="00ED5362">
      <w:pPr>
        <w:pStyle w:val="NormalHanging12a"/>
        <w:rPr>
          <w:lang w:val="bg-BG"/>
        </w:rPr>
      </w:pPr>
      <w:r w:rsidRPr="00D74AE4">
        <w:rPr>
          <w:lang w:val="bg-BG"/>
        </w:rPr>
        <w:t>К.</w:t>
      </w:r>
      <w:r w:rsidRPr="00D74AE4">
        <w:rPr>
          <w:lang w:val="bg-BG"/>
        </w:rPr>
        <w:tab/>
        <w:t>като има предвид, че пристанищата изиграха незаменима роля в управлението на кризи в ЕС, като осигуриха непрекъснатост на веригите за доставки и дадоха възможност за създаване на алтернативни маршрути, включително чрез създаване на алтернативни маршрути за доставка на втечнен природен газ (ВПЗ) в кратки срокове и увеличаване на газохранилищата в Европа;</w:t>
      </w:r>
    </w:p>
    <w:p w:rsidR="00ED5362" w:rsidRPr="00D74AE4" w:rsidRDefault="00ED5362" w:rsidP="00ED5362">
      <w:pPr>
        <w:pStyle w:val="NormalHanging12a"/>
        <w:rPr>
          <w:lang w:val="bg-BG"/>
        </w:rPr>
      </w:pPr>
      <w:r w:rsidRPr="00D74AE4">
        <w:rPr>
          <w:lang w:val="bg-BG"/>
        </w:rPr>
        <w:t>Л.</w:t>
      </w:r>
      <w:r w:rsidRPr="00D74AE4">
        <w:rPr>
          <w:lang w:val="bg-BG"/>
        </w:rPr>
        <w:tab/>
        <w:t>като има предвид, че в най-отдалечените региони и на островите пристанищата често осигуряват спасителна подкрепа, тъй като служат като основна социална и икономическа връзка с останалата част на ЕС;</w:t>
      </w:r>
    </w:p>
    <w:p w:rsidR="00ED5362" w:rsidRPr="00D74AE4" w:rsidRDefault="00ED5362" w:rsidP="00ED5362">
      <w:pPr>
        <w:pStyle w:val="NormalHanging12a"/>
        <w:rPr>
          <w:lang w:val="bg-BG"/>
        </w:rPr>
      </w:pPr>
      <w:r w:rsidRPr="00D74AE4">
        <w:rPr>
          <w:lang w:val="bg-BG"/>
        </w:rPr>
        <w:t>М.</w:t>
      </w:r>
      <w:r w:rsidRPr="00D74AE4">
        <w:rPr>
          <w:lang w:val="bg-BG"/>
        </w:rPr>
        <w:tab/>
        <w:t>като има предвид, че пристанищата са от съществено значение за декарбонизацията на водния транспорт, като се вземат предвид целите на Зеления пакт и целите за намаляване на замърсяването, както и съществената роля на енергията от възобновяеми източници от инсталации в морето; като има предвид, че е важно да се намали замърсяването на въздуха от кораби в пристанищните зони, включително емисиите на сажди;</w:t>
      </w:r>
    </w:p>
    <w:p w:rsidR="00ED5362" w:rsidRPr="00D74AE4" w:rsidRDefault="00ED5362" w:rsidP="00ED5362">
      <w:pPr>
        <w:pStyle w:val="NormalHanging12a"/>
        <w:rPr>
          <w:lang w:val="bg-BG"/>
        </w:rPr>
      </w:pPr>
      <w:r w:rsidRPr="00D74AE4">
        <w:rPr>
          <w:lang w:val="bg-BG"/>
        </w:rPr>
        <w:t>Н.</w:t>
      </w:r>
      <w:r w:rsidRPr="00D74AE4">
        <w:rPr>
          <w:lang w:val="bg-BG"/>
        </w:rPr>
        <w:tab/>
        <w:t>като има предвид, че пристанищните зони и пристанищните операции в ЕС ще бъдат уязвими от покачването на морското равнище;</w:t>
      </w:r>
    </w:p>
    <w:p w:rsidR="00ED5362" w:rsidRPr="00D74AE4" w:rsidRDefault="00ED5362" w:rsidP="00ED5362">
      <w:pPr>
        <w:pStyle w:val="NormalHanging12a"/>
        <w:rPr>
          <w:lang w:val="bg-BG"/>
        </w:rPr>
      </w:pPr>
      <w:r w:rsidRPr="00D74AE4">
        <w:rPr>
          <w:lang w:val="bg-BG"/>
        </w:rPr>
        <w:t>О.</w:t>
      </w:r>
      <w:r w:rsidRPr="00D74AE4">
        <w:rPr>
          <w:lang w:val="bg-BG"/>
        </w:rPr>
        <w:tab/>
        <w:t>като има предвид, че пристанищата съчетават и защитават различни крайбрежни дейности в полза на гражданите, крайбрежните общности и морската среда, като спомагат за поддържането на крайбрежните местообитания и подобряват качеството на въздуха в агломерациите около пристанищата;</w:t>
      </w:r>
    </w:p>
    <w:p w:rsidR="00ED5362" w:rsidRPr="00D74AE4" w:rsidRDefault="00ED5362" w:rsidP="00ED5362">
      <w:pPr>
        <w:pStyle w:val="NormalHanging12a"/>
        <w:rPr>
          <w:lang w:val="bg-BG"/>
        </w:rPr>
      </w:pPr>
      <w:r w:rsidRPr="00D74AE4">
        <w:rPr>
          <w:lang w:val="bg-BG"/>
        </w:rPr>
        <w:t>П.</w:t>
      </w:r>
      <w:r w:rsidRPr="00D74AE4">
        <w:rPr>
          <w:lang w:val="bg-BG"/>
        </w:rPr>
        <w:tab/>
        <w:t>като има предвид, че подобреното логистично планиране между пристанищата и клиентите, включително линиите за превоз по море, би могло да позволи да се избегне ненужният автомобилен транспорт в Европа; като има предвид, че по-активното сътрудничество между пристанищата с цел засилване на вътрешнорегионалните връзки и ускоряване на връзките би могло да доведе до по-ефективни инвестиции в пристанищна инфраструктура, по-устойчиви маршрути за внос и износ и по-ефективно използване на ресурсите, публичните и частните средства и недостатъчно използвания капацитет;</w:t>
      </w:r>
    </w:p>
    <w:p w:rsidR="00ED5362" w:rsidRPr="00D74AE4" w:rsidRDefault="00ED5362" w:rsidP="00ED5362">
      <w:pPr>
        <w:pStyle w:val="NormalHanging12a"/>
        <w:rPr>
          <w:lang w:val="bg-BG"/>
        </w:rPr>
      </w:pPr>
      <w:r w:rsidRPr="00D74AE4">
        <w:rPr>
          <w:lang w:val="bg-BG"/>
        </w:rPr>
        <w:lastRenderedPageBreak/>
        <w:t>Р.</w:t>
      </w:r>
      <w:r w:rsidRPr="00D74AE4">
        <w:rPr>
          <w:lang w:val="bg-BG"/>
        </w:rPr>
        <w:tab/>
        <w:t>като има предвид, че пристанищата са част от по-широката водна екосистема, която обхваща широк набор от дейности, включително корабоплаване, корабостроене, производство на морско оборудване, речно корабоплаване и логистика;</w:t>
      </w:r>
    </w:p>
    <w:p w:rsidR="00ED5362" w:rsidRPr="00D74AE4" w:rsidRDefault="00ED5362" w:rsidP="00ED5362">
      <w:pPr>
        <w:pStyle w:val="NormalHanging12a"/>
        <w:rPr>
          <w:lang w:val="bg-BG"/>
        </w:rPr>
      </w:pPr>
      <w:r w:rsidRPr="00D74AE4">
        <w:rPr>
          <w:lang w:val="bg-BG"/>
        </w:rPr>
        <w:t>С.</w:t>
      </w:r>
      <w:r w:rsidRPr="00D74AE4">
        <w:rPr>
          <w:lang w:val="bg-BG"/>
        </w:rPr>
        <w:tab/>
        <w:t>като има предвид, че очевидната необходимост от мултидисциплинарен и цялостен подход към европейските пристанища не беше превърната в конкретни мерки от страна на Комисията, което доведе до натрупване с течение на времето на разнородни разпоредби, свързани с пристанищата;</w:t>
      </w:r>
    </w:p>
    <w:p w:rsidR="00ED5362" w:rsidRPr="00D74AE4" w:rsidRDefault="00ED5362" w:rsidP="00ED5362">
      <w:pPr>
        <w:pStyle w:val="Normal12a24b"/>
        <w:rPr>
          <w:lang w:val="bg-BG"/>
        </w:rPr>
      </w:pPr>
      <w:r w:rsidRPr="00D74AE4">
        <w:rPr>
          <w:rStyle w:val="BoldItalic"/>
          <w:lang w:val="bg-BG"/>
        </w:rPr>
        <w:t>Чуждестранно влияние</w:t>
      </w:r>
    </w:p>
    <w:p w:rsidR="00ED5362" w:rsidRPr="00D74AE4" w:rsidRDefault="00ED5362" w:rsidP="00ED5362">
      <w:pPr>
        <w:pStyle w:val="NormalHanging12a"/>
        <w:rPr>
          <w:lang w:val="bg-BG"/>
        </w:rPr>
      </w:pPr>
      <w:r w:rsidRPr="00D74AE4">
        <w:rPr>
          <w:lang w:val="bg-BG"/>
        </w:rPr>
        <w:t>1.</w:t>
      </w:r>
      <w:r w:rsidRPr="00D74AE4">
        <w:rPr>
          <w:lang w:val="bg-BG"/>
        </w:rPr>
        <w:tab/>
        <w:t>подчертава многократните предупреждения от страна на разузнавателни агенции за рисковете от икономическа зависимост, шпионаж и саботаж, причинени от икономическото присъствие и оперативното участие на субекти от държави извън ЕС в нашата критична инфраструктура и стратегически сектори, като например пристанищата</w:t>
      </w:r>
      <w:r w:rsidRPr="00D74AE4">
        <w:rPr>
          <w:rStyle w:val="FootnoteReference"/>
          <w:lang w:val="bg-BG"/>
        </w:rPr>
        <w:footnoteReference w:id="13"/>
      </w:r>
      <w:r w:rsidRPr="00D74AE4">
        <w:rPr>
          <w:lang w:val="bg-BG"/>
        </w:rPr>
        <w:t>, включително дейностите на чуждестранни кораби;</w:t>
      </w:r>
    </w:p>
    <w:p w:rsidR="00ED5362" w:rsidRPr="00D74AE4" w:rsidRDefault="00ED5362" w:rsidP="00ED5362">
      <w:pPr>
        <w:pStyle w:val="NormalHanging12a"/>
        <w:rPr>
          <w:lang w:val="bg-BG"/>
        </w:rPr>
      </w:pPr>
      <w:r w:rsidRPr="00D74AE4">
        <w:rPr>
          <w:lang w:val="bg-BG"/>
        </w:rPr>
        <w:t>2.</w:t>
      </w:r>
      <w:r w:rsidRPr="00D74AE4">
        <w:rPr>
          <w:lang w:val="bg-BG"/>
        </w:rPr>
        <w:tab/>
        <w:t>призовава Комисията да представи стратегическа политическа рамка на ЕС за намаляване и ограничаване на влиянието и финансовия и оперативния контрол, упражняван върху пристанищата на ЕС и върху техните работни процеси и операции в хинтерланда от страна на държави извън ЕС, включително случаите на участие и контрол в управлението на пристанищната администрация, за да се намери баланс между поддържането на отворена инвестиционна среда и намаляването на рисковете; призовава Комисията и държавите членки да наблюдават също така участието на трети държави в пристанищата на съседни държави в обхвата на европейската политика за съседство и политиката за разширяване;</w:t>
      </w:r>
    </w:p>
    <w:p w:rsidR="00ED5362" w:rsidRPr="00D74AE4" w:rsidRDefault="00ED5362" w:rsidP="00ED5362">
      <w:pPr>
        <w:pStyle w:val="NormalHanging12a"/>
        <w:rPr>
          <w:lang w:val="bg-BG"/>
        </w:rPr>
      </w:pPr>
      <w:r w:rsidRPr="00D74AE4">
        <w:rPr>
          <w:lang w:val="bg-BG"/>
        </w:rPr>
        <w:t>3.</w:t>
      </w:r>
      <w:r w:rsidRPr="00D74AE4">
        <w:rPr>
          <w:lang w:val="bg-BG"/>
        </w:rPr>
        <w:tab/>
        <w:t>призовава Комисията, съвместно с държавите членки, да предложи рамка за непрекъснат мониторинг и докладване на влиянието на държави извън ЕС в пристанищата на ЕС, по-специално пристанищата от TEN-T, управлението на терминалите на ЕС и световния превоз на контейнери, както и да оценява потенциалните връзки между действията на дадена държава извън ЕС в тези сектори;</w:t>
      </w:r>
    </w:p>
    <w:p w:rsidR="00ED5362" w:rsidRPr="00D74AE4" w:rsidRDefault="00ED5362" w:rsidP="00ED5362">
      <w:pPr>
        <w:pStyle w:val="NormalHanging12a"/>
        <w:rPr>
          <w:lang w:val="bg-BG"/>
        </w:rPr>
      </w:pPr>
      <w:r w:rsidRPr="00D74AE4">
        <w:rPr>
          <w:lang w:val="bg-BG"/>
        </w:rPr>
        <w:t>4.</w:t>
      </w:r>
      <w:r w:rsidRPr="00D74AE4">
        <w:rPr>
          <w:lang w:val="bg-BG"/>
        </w:rPr>
        <w:tab/>
        <w:t>насочва вниманието на факта, че ограничаването на чуждестранните инвестиции, по-специално от държавни предприятия или контролирани или повлияни от държавата предприятия, в конкретно пристанище в една държава членка може да окаже отрицателно въздействие върху конкурентната позиция на това пристанище в сравнение със съседни пристанища, за които няма такива ограничения, което подчертава необходимостта от съвместна европейска стратегия; счита, че асиметричното разпространение на чуждестранни инвестиции между държавите от ЕС може да бъде заплаха за единството, способността за справяне с кризи и устойчивостта на ЕС; отправя искане към Комисията да анализира потенциалното въздействие върху заетостта и търговията на местно равнище и на равнището на ЕС, което може да произтече от ограничаването на инвестициите на държави извън ЕС в европейските пристанища;</w:t>
      </w:r>
    </w:p>
    <w:p w:rsidR="00ED5362" w:rsidRPr="00D74AE4" w:rsidRDefault="00ED5362" w:rsidP="00ED5362">
      <w:pPr>
        <w:pStyle w:val="NormalHanging12a"/>
        <w:rPr>
          <w:lang w:val="bg-BG"/>
        </w:rPr>
      </w:pPr>
      <w:r w:rsidRPr="00D74AE4">
        <w:rPr>
          <w:lang w:val="bg-BG"/>
        </w:rPr>
        <w:lastRenderedPageBreak/>
        <w:t>5.</w:t>
      </w:r>
      <w:r w:rsidRPr="00D74AE4">
        <w:rPr>
          <w:lang w:val="bg-BG"/>
        </w:rPr>
        <w:tab/>
        <w:t>насърчава националните пристанищни администрации, държавите членки и Комисията да разработят подходящ формат за стратегическо сътрудничество между европейските пристанища, за да се сведе до минимум рискът да бъдат противопоставяни едни на други от външни участници;</w:t>
      </w:r>
    </w:p>
    <w:p w:rsidR="00ED5362" w:rsidRPr="00D74AE4" w:rsidRDefault="00ED5362" w:rsidP="00ED5362">
      <w:pPr>
        <w:pStyle w:val="NormalHanging12a"/>
        <w:rPr>
          <w:lang w:val="bg-BG"/>
        </w:rPr>
      </w:pPr>
      <w:r w:rsidRPr="00D74AE4">
        <w:rPr>
          <w:lang w:val="bg-BG"/>
        </w:rPr>
        <w:t>6.</w:t>
      </w:r>
      <w:r w:rsidRPr="00D74AE4">
        <w:rPr>
          <w:lang w:val="bg-BG"/>
        </w:rPr>
        <w:tab/>
        <w:t>подчертава, че въпреки съществуването на защитни механизми на равнището на ЕС, като например скрининга на преките чуждестранни инвестиции и правилата в областта на конкуренцията, тези инструменти не са достатъчни за справяне с нарастващата икономическа мощ на външни сили чрез отделни дружества, включително държавни предприятия или контролирани или повлияни от държавата предприятия, и че ефективността им до голяма степен зависи от прилагането им от отделните държави членки;</w:t>
      </w:r>
    </w:p>
    <w:p w:rsidR="00ED5362" w:rsidRPr="00D74AE4" w:rsidRDefault="00ED5362" w:rsidP="00ED5362">
      <w:pPr>
        <w:pStyle w:val="NormalHanging12a"/>
        <w:rPr>
          <w:lang w:val="bg-BG"/>
        </w:rPr>
      </w:pPr>
      <w:r w:rsidRPr="00D74AE4">
        <w:rPr>
          <w:lang w:val="bg-BG"/>
        </w:rPr>
        <w:t>7.</w:t>
      </w:r>
      <w:r w:rsidRPr="00D74AE4">
        <w:rPr>
          <w:lang w:val="bg-BG"/>
        </w:rPr>
        <w:tab/>
        <w:t>подчертава, че е важно да се засили сътрудничеството в ЕС при скрининга и блокирането на входящи инвестиции в критична инфраструктура, когато не може да се изключи значително отрицателно въздействие върху други държави членки или ЕС като цяло, и че това сътрудничество следва да включва обмен на информация за заплахите и възможностите;</w:t>
      </w:r>
    </w:p>
    <w:p w:rsidR="00ED5362" w:rsidRPr="00D74AE4" w:rsidRDefault="00ED5362" w:rsidP="00ED5362">
      <w:pPr>
        <w:pStyle w:val="NormalHanging12a"/>
        <w:rPr>
          <w:lang w:val="bg-BG"/>
        </w:rPr>
      </w:pPr>
      <w:r w:rsidRPr="00D74AE4">
        <w:rPr>
          <w:lang w:val="bg-BG"/>
        </w:rPr>
        <w:t>8.</w:t>
      </w:r>
      <w:r w:rsidRPr="00D74AE4">
        <w:rPr>
          <w:lang w:val="bg-BG"/>
        </w:rPr>
        <w:tab/>
        <w:t>силно насърчава Комисията да засили ролята на защитните мерки за пристанищата чрез амбициозно преразглеждане на Регламента относно преките чуждестранни инвестиции</w:t>
      </w:r>
      <w:r w:rsidRPr="00D74AE4">
        <w:rPr>
          <w:rStyle w:val="FootnoteReference"/>
          <w:lang w:val="bg-BG"/>
        </w:rPr>
        <w:footnoteReference w:id="14"/>
      </w:r>
      <w:r w:rsidRPr="00D74AE4">
        <w:rPr>
          <w:lang w:val="bg-BG"/>
        </w:rPr>
        <w:t xml:space="preserve"> (Регламент за ПЧИ), включително чрез въвеждане на задължителна система за скрининг на преките чуждестранни инвестиции във всички държави членки, като се гарантира, че процесите на скрининг са ясни и обективни и че определенията, обхватът и процедурните аспекти са съгласувани във всички държави членки, за да се осигурят еднакви условия на конкуренция в целия ЕС;</w:t>
      </w:r>
    </w:p>
    <w:p w:rsidR="00ED5362" w:rsidRPr="00D74AE4" w:rsidRDefault="00ED5362" w:rsidP="00ED5362">
      <w:pPr>
        <w:pStyle w:val="NormalHanging12a"/>
        <w:rPr>
          <w:lang w:val="bg-BG"/>
        </w:rPr>
      </w:pPr>
      <w:r w:rsidRPr="00D74AE4">
        <w:rPr>
          <w:lang w:val="bg-BG"/>
        </w:rPr>
        <w:t>9.</w:t>
      </w:r>
      <w:r w:rsidRPr="00D74AE4">
        <w:rPr>
          <w:lang w:val="bg-BG"/>
        </w:rPr>
        <w:tab/>
        <w:t>подчертава също така решаващото значение на механизма в член [47] от преразгледания регламент за TEN-T [xxx/2024], задължаващ държавите членки да извършват скриниг на инвестициите на трети държави в инфраструктурата на TEN-T за потенциалните рискове за сигурността</w:t>
      </w:r>
      <w:r w:rsidR="009B71DC">
        <w:rPr>
          <w:lang w:val="bg-BG"/>
        </w:rPr>
        <w:t xml:space="preserve"> или</w:t>
      </w:r>
      <w:r w:rsidRPr="00D74AE4">
        <w:rPr>
          <w:lang w:val="bg-BG"/>
        </w:rPr>
        <w:t xml:space="preserve"> обществения ред, който трябва да се разглежда като допълващ разпоредбите на Регламента за ПЧИ, тъй като този механизъм се прилага както за инвестиции в инфраструктура (напр. придобиване на дялове в терминал), така и за инфраструктурни дейности, извършвани в ЕС от дружество от трета държава (напр. като част от обществена поръчка за изграждане на терминал в европейско пристанище), и </w:t>
      </w:r>
      <w:r w:rsidR="009B71DC" w:rsidRPr="009B71DC">
        <w:rPr>
          <w:lang w:val="bg-BG"/>
        </w:rPr>
        <w:t>подчертава, че</w:t>
      </w:r>
      <w:r w:rsidRPr="00D74AE4">
        <w:rPr>
          <w:lang w:val="bg-BG"/>
        </w:rPr>
        <w:t xml:space="preserve"> ефективното му прилагане за съответната пристанищна инфраструктура следва да бъде крайъгълен камък на европейската стратегия за пристанищата;</w:t>
      </w:r>
    </w:p>
    <w:p w:rsidR="00ED5362" w:rsidRPr="00D74AE4" w:rsidRDefault="00ED5362" w:rsidP="00ED5362">
      <w:pPr>
        <w:pStyle w:val="NormalHanging12a"/>
        <w:rPr>
          <w:lang w:val="bg-BG"/>
        </w:rPr>
      </w:pPr>
      <w:r w:rsidRPr="00D74AE4">
        <w:rPr>
          <w:lang w:val="bg-BG"/>
        </w:rPr>
        <w:t>10.</w:t>
      </w:r>
      <w:r w:rsidRPr="00D74AE4">
        <w:rPr>
          <w:lang w:val="bg-BG"/>
        </w:rPr>
        <w:tab/>
        <w:t>подчертава колко е важен мониторингът на изпълнението на Регламент (ЕС) 2022/2560 относно чуждестранните субсидии, които нарушават вътрешния пазар; призовава Комисията да следи отблизо пазара в пристанищния сектор и ако е необходимо, да се намеси служебно, както е предвиденото в член 9 от посочения регламент;</w:t>
      </w:r>
    </w:p>
    <w:p w:rsidR="00ED5362" w:rsidRPr="00D74AE4" w:rsidRDefault="00ED5362" w:rsidP="00ED5362">
      <w:pPr>
        <w:pStyle w:val="NormalHanging12a"/>
        <w:rPr>
          <w:lang w:val="bg-BG"/>
        </w:rPr>
      </w:pPr>
      <w:r w:rsidRPr="00D74AE4">
        <w:rPr>
          <w:lang w:val="bg-BG"/>
        </w:rPr>
        <w:lastRenderedPageBreak/>
        <w:t>11.</w:t>
      </w:r>
      <w:r w:rsidRPr="00D74AE4">
        <w:rPr>
          <w:lang w:val="bg-BG"/>
        </w:rPr>
        <w:tab/>
        <w:t>призовава Комисията да проучи и оцени въздействието на вертикалната интеграция в морската логистика, на Регламента за групово освобождаване на консорциуми, чийто срок на действие изтича през 2024 г., и на създаването на съюзи в контейнерното корабоплаване върху влиянието на държави извън ЕС в пристанищата на ЕС; призовава Комисията да се намесва, когато е необходимо, за да гарантира лоялна конкуренция, справедлив баланс на силите и еднакви условия за конкуренция за всички участници в пристанищните екосистеми;</w:t>
      </w:r>
    </w:p>
    <w:p w:rsidR="00ED5362" w:rsidRPr="00D74AE4" w:rsidRDefault="00ED5362" w:rsidP="00ED5362">
      <w:pPr>
        <w:pStyle w:val="NormalHanging12a"/>
        <w:rPr>
          <w:lang w:val="bg-BG"/>
        </w:rPr>
      </w:pPr>
      <w:r w:rsidRPr="00D74AE4">
        <w:rPr>
          <w:lang w:val="bg-BG"/>
        </w:rPr>
        <w:t>12.</w:t>
      </w:r>
      <w:r w:rsidRPr="00D74AE4">
        <w:rPr>
          <w:lang w:val="bg-BG"/>
        </w:rPr>
        <w:tab/>
        <w:t>подчертава, че по-специално съвкупното присъствие на предприятия под контрола и/или влиянието на китайската държава в пристанищата от основната мрежа и възлите на трансевропейската транспортна мрежа (TEN-T) има важни последици за устойчивостта и сигурността на отделните възли и мрежата като цяло; припомня, че присъствието на инвеститори от трети държави в пристанищата може да попречи на тяхното двойно предназначение;</w:t>
      </w:r>
    </w:p>
    <w:p w:rsidR="00ED5362" w:rsidRPr="00D74AE4" w:rsidRDefault="00ED5362" w:rsidP="00ED5362">
      <w:pPr>
        <w:pStyle w:val="NormalHanging12a"/>
        <w:rPr>
          <w:lang w:val="bg-BG"/>
        </w:rPr>
      </w:pPr>
      <w:r w:rsidRPr="00D74AE4">
        <w:rPr>
          <w:lang w:val="bg-BG"/>
        </w:rPr>
        <w:t>13.</w:t>
      </w:r>
      <w:r w:rsidRPr="00D74AE4">
        <w:rPr>
          <w:lang w:val="bg-BG"/>
        </w:rPr>
        <w:tab/>
        <w:t>призовава Комисията и държавите членки спешно да извършат оценка на риска от участието на Китай в морските инфраструктури, която да включва въздействието на това участие върху труда и околната среда, зависимостите и оценката на затрудненията при превоза на стоки от Китай до ЕС и трансбордирането, като подчертава, че тази оценка следва да включва и други държави извън ЕС;</w:t>
      </w:r>
    </w:p>
    <w:p w:rsidR="00ED5362" w:rsidRPr="00D74AE4" w:rsidRDefault="00ED5362" w:rsidP="00ED5362">
      <w:pPr>
        <w:pStyle w:val="NormalHanging12a"/>
        <w:rPr>
          <w:lang w:val="bg-BG"/>
        </w:rPr>
      </w:pPr>
      <w:r w:rsidRPr="00D74AE4">
        <w:rPr>
          <w:lang w:val="bg-BG"/>
        </w:rPr>
        <w:t>14.</w:t>
      </w:r>
      <w:r w:rsidRPr="00D74AE4">
        <w:rPr>
          <w:lang w:val="bg-BG"/>
        </w:rPr>
        <w:tab/>
        <w:t>припомня, че морският и пристанищният сектор в Европа се характеризират с множество различни управленски структури – с различни средства за разрешаване на инвестициите, вариращи от схеми за лицензиране и отдаване на концесия до предоставяне на собственост върху пристанищната инфраструктура и пълни оперативни правомощия над пристанищните администрации; в тази връзка подчертава значението на мерките за намаляване на риска от страна на пристанищните администрации за поддържане на контрола чрез определяне на множество условия (оперативни, социални, екологични и др.), при които терминалът следва да функционира; същевременно подчертава ограниченията на подход, основан изключително на пристанищни концесии и/или договори за отдаване под наем;</w:t>
      </w:r>
    </w:p>
    <w:p w:rsidR="00ED5362" w:rsidRPr="00D74AE4" w:rsidRDefault="00ED5362" w:rsidP="00ED5362">
      <w:pPr>
        <w:pStyle w:val="NormalHanging12a"/>
        <w:rPr>
          <w:lang w:val="bg-BG"/>
        </w:rPr>
      </w:pPr>
      <w:r w:rsidRPr="00D74AE4">
        <w:rPr>
          <w:lang w:val="bg-BG"/>
        </w:rPr>
        <w:t>15.</w:t>
      </w:r>
      <w:r w:rsidRPr="00D74AE4">
        <w:rPr>
          <w:lang w:val="bg-BG"/>
        </w:rPr>
        <w:tab/>
        <w:t>предлага всички държави членки да въведат закони и да разработят планове за действие при извънредни ситуации в случай на сериозен конфликт или друго извънредно положение, или в случай на явно незаконно присвояване или двойно използване на критична инфраструктура с отрицателни последици за сигурността или обществения ред, за да могат да си върнат контрола върху пристанищата, терминалите и други морски инфраструктури, включително чрез отменяне на концесионните права и/или временно прекратяване на правото на ползване в случаите на собственост и участие;</w:t>
      </w:r>
    </w:p>
    <w:p w:rsidR="00ED5362" w:rsidRPr="00D74AE4" w:rsidRDefault="00ED5362" w:rsidP="00ED5362">
      <w:pPr>
        <w:pStyle w:val="NormalHanging12a"/>
        <w:rPr>
          <w:lang w:val="bg-BG"/>
        </w:rPr>
      </w:pPr>
      <w:r w:rsidRPr="00D74AE4">
        <w:rPr>
          <w:lang w:val="bg-BG"/>
        </w:rPr>
        <w:t>16.</w:t>
      </w:r>
      <w:r w:rsidRPr="00D74AE4">
        <w:rPr>
          <w:lang w:val="bg-BG"/>
        </w:rPr>
        <w:tab/>
        <w:t>призовава за значителни публични и частни инвестиции в пристанищата в отвъдморските територии и най-отдалечените региони с цел те да бъдат превърнати в стратегически клъстери за мултимодален транспорт, производство, съхранение и разпределение на енергия, както и отбрана; призовава Комисията да включи в своето предложение разпоредби за ограничаване на влиянието и оперативния контрол от страна на държави извън ЕС в тези пристанища;</w:t>
      </w:r>
    </w:p>
    <w:p w:rsidR="00ED5362" w:rsidRPr="00D74AE4" w:rsidRDefault="00ED5362" w:rsidP="00ED5362">
      <w:pPr>
        <w:pStyle w:val="Normal12a24b"/>
        <w:rPr>
          <w:lang w:val="bg-BG"/>
        </w:rPr>
      </w:pPr>
      <w:r w:rsidRPr="00D74AE4">
        <w:rPr>
          <w:rStyle w:val="BoldItalic"/>
          <w:lang w:val="bg-BG"/>
        </w:rPr>
        <w:t>Сигурност</w:t>
      </w:r>
    </w:p>
    <w:p w:rsidR="00ED5362" w:rsidRPr="00D74AE4" w:rsidRDefault="00ED5362" w:rsidP="00ED5362">
      <w:pPr>
        <w:pStyle w:val="NormalHanging12a"/>
        <w:rPr>
          <w:lang w:val="bg-BG"/>
        </w:rPr>
      </w:pPr>
      <w:r w:rsidRPr="00D74AE4">
        <w:rPr>
          <w:lang w:val="bg-BG"/>
        </w:rPr>
        <w:lastRenderedPageBreak/>
        <w:t>17.</w:t>
      </w:r>
      <w:r w:rsidRPr="00D74AE4">
        <w:rPr>
          <w:lang w:val="bg-BG"/>
        </w:rPr>
        <w:tab/>
        <w:t>призовава Комисията и държавите членки да обърнат специално внимание на необходимостта от предотвратяване и намаляване на рисковете от шпионаж и саботаж в пристанищата с двойно предназначение или с военна функция, като например пристанищата, които се използват от НАТО, включително чрез чуждестранни кораби;</w:t>
      </w:r>
    </w:p>
    <w:p w:rsidR="00ED5362" w:rsidRPr="00D74AE4" w:rsidRDefault="00ED5362" w:rsidP="00ED5362">
      <w:pPr>
        <w:pStyle w:val="NormalHanging12a"/>
        <w:rPr>
          <w:lang w:val="bg-BG"/>
        </w:rPr>
      </w:pPr>
      <w:r w:rsidRPr="00D74AE4">
        <w:rPr>
          <w:lang w:val="bg-BG"/>
        </w:rPr>
        <w:t>18.</w:t>
      </w:r>
      <w:r w:rsidRPr="00D74AE4">
        <w:rPr>
          <w:lang w:val="bg-BG"/>
        </w:rPr>
        <w:tab/>
        <w:t>призовава Комисията и държавите членки да разгледат използването на надеждни технологии в морската логистика и във функционирането на контейнерните терминали; изразява загриженост относно нарастващата зависимост от производители извън ЕС по отношение на оборудването за (гранична) сигурност в пристанищата, както и по отношение на контейнерните кранове, които могат да събират данни за произхода и местоназначението на контейнерите; насърчава инвестициите в научноизследователска и развойна дейност в тези области, така че дружествата от ЕС да могат да поемат водеща роля в производството и продажбата на тези технологии;</w:t>
      </w:r>
    </w:p>
    <w:p w:rsidR="00ED5362" w:rsidRPr="00D74AE4" w:rsidRDefault="00ED5362" w:rsidP="00ED5362">
      <w:pPr>
        <w:pStyle w:val="NormalHanging12a"/>
        <w:rPr>
          <w:lang w:val="bg-BG"/>
        </w:rPr>
      </w:pPr>
      <w:r w:rsidRPr="00D74AE4">
        <w:rPr>
          <w:lang w:val="bg-BG"/>
        </w:rPr>
        <w:t>19.</w:t>
      </w:r>
      <w:r w:rsidRPr="00D74AE4">
        <w:rPr>
          <w:lang w:val="bg-BG"/>
        </w:rPr>
        <w:tab/>
        <w:t>счита, че сложните и силно цифровизирани логистични операции увеличават риска от прекъсване на цели логистични вериги; поради това призовава за ограничаване и наблюдение на достъпа на чуждестранни държавни или контролирани или повлияни от държавата субекти до пристанищните операции и информация;</w:t>
      </w:r>
    </w:p>
    <w:p w:rsidR="00ED5362" w:rsidRPr="00D74AE4" w:rsidRDefault="00ED5362" w:rsidP="00ED5362">
      <w:pPr>
        <w:pStyle w:val="NormalHanging12a"/>
        <w:rPr>
          <w:lang w:val="bg-BG"/>
        </w:rPr>
      </w:pPr>
      <w:r w:rsidRPr="00D74AE4">
        <w:rPr>
          <w:lang w:val="bg-BG"/>
        </w:rPr>
        <w:t>20.</w:t>
      </w:r>
      <w:r w:rsidRPr="00D74AE4">
        <w:rPr>
          <w:lang w:val="bg-BG"/>
        </w:rPr>
        <w:tab/>
        <w:t>призовава Комисията да обърне специално внимание на заплахата, която може да представляват чуждестранните инвестиции за интелектуалната собственост, по-специално чрез принудителни трансфери на технологии;</w:t>
      </w:r>
    </w:p>
    <w:p w:rsidR="00ED5362" w:rsidRPr="00D74AE4" w:rsidRDefault="00ED5362" w:rsidP="00ED5362">
      <w:pPr>
        <w:pStyle w:val="NormalHanging12a"/>
        <w:rPr>
          <w:lang w:val="bg-BG"/>
        </w:rPr>
      </w:pPr>
      <w:r w:rsidRPr="00D74AE4">
        <w:rPr>
          <w:lang w:val="bg-BG"/>
        </w:rPr>
        <w:t>21.</w:t>
      </w:r>
      <w:r w:rsidRPr="00D74AE4">
        <w:rPr>
          <w:lang w:val="bg-BG"/>
        </w:rPr>
        <w:tab/>
        <w:t>подчертава, че високото равнище на киберсигурност и киберустойчивост на всички участници в пристанищата е от решаващо значение за предотвратяването на шпионаж и сериозни смущения в пристанищните системи и операции, като се има предвид, че рискът от киберзаплахи се е увеличил значително през последните няколко години; призовава Комисията да продължи да проучва и събира данни за обхвата и рисковете от участието на дружества извън ЕС в киберсигурността и сигурността на данните в критичната инфраструктура, както и да подкрепи разработването на всеобхватни планове за действие при извънредни ситуации в пристанищата с техническата и оперативна подкрепа на Европейската агенция за морска безопасност; счита, че рискът от неблагоприятни вторични ефекти между пристанищата поради липсата на киберсигурност е голям и че поради това всички държави членки следва да поддържат високи стандарти, както и че се препоръчва обмен на най-добри практики и опит;</w:t>
      </w:r>
    </w:p>
    <w:p w:rsidR="00ED5362" w:rsidRPr="00D74AE4" w:rsidRDefault="00ED5362" w:rsidP="00ED5362">
      <w:pPr>
        <w:pStyle w:val="NormalHanging12a"/>
        <w:rPr>
          <w:lang w:val="bg-BG"/>
        </w:rPr>
      </w:pPr>
      <w:r w:rsidRPr="00D74AE4">
        <w:rPr>
          <w:lang w:val="bg-BG"/>
        </w:rPr>
        <w:t>22.</w:t>
      </w:r>
      <w:r w:rsidRPr="00D74AE4">
        <w:rPr>
          <w:lang w:val="bg-BG"/>
        </w:rPr>
        <w:tab/>
        <w:t>подчертава нарастващото значение на защитата на критичната инфраструктура в морето и под водата (включително енергийни тръбопроводи, комуникационни мрежи и съоръжения за енергия от възобновяеми източници в морето) за безопасността и сигурността на водите на ЕС и операциите в тях;</w:t>
      </w:r>
    </w:p>
    <w:p w:rsidR="00ED5362" w:rsidRPr="00D74AE4" w:rsidRDefault="00ED5362" w:rsidP="00ED5362">
      <w:pPr>
        <w:pStyle w:val="NormalHanging12a"/>
        <w:rPr>
          <w:lang w:val="bg-BG"/>
        </w:rPr>
      </w:pPr>
      <w:r w:rsidRPr="00D74AE4">
        <w:rPr>
          <w:lang w:val="bg-BG"/>
        </w:rPr>
        <w:t>23.</w:t>
      </w:r>
      <w:r w:rsidRPr="00D74AE4">
        <w:rPr>
          <w:lang w:val="bg-BG"/>
        </w:rPr>
        <w:tab/>
        <w:t>подчертава, че макар обменът на данни в логистиката да допринася за ефективността, гъвкавостта и устойчивостта на веригите на доставки, използването на платформи, които са собственост или са контролирани или повлияни от държави извън ЕС, в пристанищата поражда икономически и стратегически рискове за ЕС и следва да бъде предотвратено;</w:t>
      </w:r>
    </w:p>
    <w:p w:rsidR="00ED5362" w:rsidRPr="00D74AE4" w:rsidRDefault="00ED5362" w:rsidP="00ED5362">
      <w:pPr>
        <w:pStyle w:val="NormalHanging12a"/>
        <w:rPr>
          <w:lang w:val="bg-BG"/>
        </w:rPr>
      </w:pPr>
      <w:r w:rsidRPr="00D74AE4">
        <w:rPr>
          <w:lang w:val="bg-BG"/>
        </w:rPr>
        <w:lastRenderedPageBreak/>
        <w:t>24.</w:t>
      </w:r>
      <w:r w:rsidRPr="00D74AE4">
        <w:rPr>
          <w:lang w:val="bg-BG"/>
        </w:rPr>
        <w:tab/>
        <w:t>изразява съжаление относно факта, пристанищата на ЕС се използват неправомерно от престъпни организации като ключови входни пунктове за незаконни наркотици, което се отразява на обществото като цяло и подкопава безопасността на пристанищата, близките градове и техните жители; призовава Комисията да предложи мерки за ефективно европейско сътрудничество за борба с трафика, производството и престъпните дейности, свързани с наркотиците; във връзка с това приветства пътната карта на Комисията от 18 октомври 2023 г. за борба с трафика на наркотици и организираната престъпност и подчертава необходимостта от координиран подход на ЕС за борба с всички видове транснационална организирана престъпност;</w:t>
      </w:r>
    </w:p>
    <w:p w:rsidR="00ED5362" w:rsidRPr="00D74AE4" w:rsidRDefault="00ED5362" w:rsidP="00ED5362">
      <w:pPr>
        <w:pStyle w:val="NormalHanging12a"/>
        <w:rPr>
          <w:lang w:val="bg-BG"/>
        </w:rPr>
      </w:pPr>
      <w:r w:rsidRPr="00D74AE4">
        <w:rPr>
          <w:lang w:val="bg-BG"/>
        </w:rPr>
        <w:t>25.</w:t>
      </w:r>
      <w:r w:rsidRPr="00D74AE4">
        <w:rPr>
          <w:lang w:val="bg-BG"/>
        </w:rPr>
        <w:tab/>
        <w:t>подчертава, че европейските пристанища са изложени в особено голяма степен на трафик на други незаконни продукти, като например оръжия или фалшиви стоки, както и на митнически измами и измами с ДДС, и че е необходимо да се засили борбата срещу тези дейности; във връзка с това подчертава значението на сътрудничеството между пристанищните администрации и правоприлагащите органи, включително при използването на цифрови инструменти и данни, за да се гарантират безопасни и сигурни пристанищни операции; счита, че ако има достатъчно правно основание за това, пристанищата следва да разполагат с достъп до всички инструменти, от които се нуждаят, за да повишат сигурността си;</w:t>
      </w:r>
    </w:p>
    <w:p w:rsidR="00ED5362" w:rsidRPr="00D74AE4" w:rsidRDefault="00ED5362" w:rsidP="00ED5362">
      <w:pPr>
        <w:pStyle w:val="NormalHanging12a"/>
        <w:rPr>
          <w:lang w:val="bg-BG"/>
        </w:rPr>
      </w:pPr>
      <w:r w:rsidRPr="00D74AE4">
        <w:rPr>
          <w:lang w:val="bg-BG"/>
        </w:rPr>
        <w:t>26.</w:t>
      </w:r>
      <w:r w:rsidRPr="00D74AE4">
        <w:rPr>
          <w:lang w:val="bg-BG"/>
        </w:rPr>
        <w:tab/>
        <w:t>подчертава, че сигурността на пристанищата зависи от тяхната устойчивост спрямо изменението на климата и околната среда; поради това призовава Комисията да проведе проучване за анализ на климатичните рискове за европейските пристанища и свързаната с тях транспортна инфраструктура, като определи категориите рискове, например покачване на морското равнище, наводнения, екстремни горещини, да анализира рисковете по региони и да определи мерките за справяне с тези рискове, включително разходите за тези мерки и необходимите инвестиции; призовава държавите членки да извършат дългосрочна оценка на риска за околната среда на своята критична пристанищна инфраструктура и своевременно да предприемат адаптивни мерки;</w:t>
      </w:r>
    </w:p>
    <w:p w:rsidR="00ED5362" w:rsidRPr="00D74AE4" w:rsidRDefault="00ED5362" w:rsidP="00ED5362">
      <w:pPr>
        <w:pStyle w:val="Normal12a24b"/>
        <w:rPr>
          <w:lang w:val="bg-BG"/>
        </w:rPr>
      </w:pPr>
      <w:r w:rsidRPr="00D74AE4">
        <w:rPr>
          <w:rStyle w:val="BoldItalic"/>
          <w:lang w:val="bg-BG"/>
        </w:rPr>
        <w:t>Ролята на пристанищата в енергийния преход</w:t>
      </w:r>
    </w:p>
    <w:p w:rsidR="00ED5362" w:rsidRPr="00D74AE4" w:rsidRDefault="00ED5362" w:rsidP="00ED5362">
      <w:pPr>
        <w:pStyle w:val="NormalHanging12a"/>
        <w:rPr>
          <w:lang w:val="bg-BG"/>
        </w:rPr>
      </w:pPr>
      <w:r w:rsidRPr="00D74AE4">
        <w:rPr>
          <w:lang w:val="bg-BG"/>
        </w:rPr>
        <w:t>27.</w:t>
      </w:r>
      <w:r w:rsidRPr="00D74AE4">
        <w:rPr>
          <w:lang w:val="bg-BG"/>
        </w:rPr>
        <w:tab/>
        <w:t>подчертава жизненоважната роля, която пристанищата изпълняват в енергийния преход, както е посочено в Зеления пакт на ЕС, като енергийни центрове за преобразуване, кондициониране и съхранение на енергоносители, за производство на енергия и внос на суровини от критично значение, като центрове за улавяне и съхранение на въглерод, като станции за поддръжка и производствени центрове за инсталации за производство на енергия, разположени в морето, и като възли в транспортните системи в подкрепа на енергийния преход;</w:t>
      </w:r>
    </w:p>
    <w:p w:rsidR="00ED5362" w:rsidRPr="00D74AE4" w:rsidRDefault="00ED5362" w:rsidP="00ED5362">
      <w:pPr>
        <w:pStyle w:val="NormalHanging12a"/>
        <w:rPr>
          <w:lang w:val="bg-BG"/>
        </w:rPr>
      </w:pPr>
      <w:r w:rsidRPr="00D74AE4">
        <w:rPr>
          <w:lang w:val="bg-BG"/>
        </w:rPr>
        <w:t>28.</w:t>
      </w:r>
      <w:r w:rsidRPr="00D74AE4">
        <w:rPr>
          <w:lang w:val="bg-BG"/>
        </w:rPr>
        <w:tab/>
        <w:t>припомня, че целта на ЕС е да внесе 10 милиона тона чист водород до 2030 г. и че за да я постигне, от съществено значение за европейската стратегия за пристанищата е да се разработи своевременно цялостна стратегия за внос, координация и развитие на инфраструктурата;</w:t>
      </w:r>
    </w:p>
    <w:p w:rsidR="00ED5362" w:rsidRPr="00D74AE4" w:rsidRDefault="00ED5362" w:rsidP="00ED5362">
      <w:pPr>
        <w:pStyle w:val="NormalHanging12a"/>
        <w:rPr>
          <w:lang w:val="bg-BG"/>
        </w:rPr>
      </w:pPr>
      <w:r w:rsidRPr="00D74AE4">
        <w:rPr>
          <w:lang w:val="bg-BG"/>
        </w:rPr>
        <w:t>29.</w:t>
      </w:r>
      <w:r w:rsidRPr="00D74AE4">
        <w:rPr>
          <w:lang w:val="bg-BG"/>
        </w:rPr>
        <w:tab/>
        <w:t xml:space="preserve">призовава Комисията и държавите членки да разгледат нарастващата необходимост от инвестиции в пристанищата, терминалите и тяхната инфраструктура, така че те да могат да поемат своята роля в енергийния преход; </w:t>
      </w:r>
      <w:r w:rsidRPr="00D74AE4">
        <w:rPr>
          <w:lang w:val="bg-BG"/>
        </w:rPr>
        <w:lastRenderedPageBreak/>
        <w:t>призовава Комисията да анализира и разгледа необходимостта от ускорено издаване на разрешения за разширяване на пристанищата в контекста на енергийния преход, като например внедряване на вятърни паркове в морето, така че пристанищата да не се превърнат в пречка за енергийния преход; подчертава, че е необходимо по-устойчиво управление на морското пространство и бреговете, за да се отключи потенциалът на възобновяемата енергия от разположени в морето инсталации; насърчава използването на пристанищни зони за внедряване на фотоволтаична и вятърна енергия;</w:t>
      </w:r>
    </w:p>
    <w:p w:rsidR="00ED5362" w:rsidRPr="00D74AE4" w:rsidRDefault="00ED5362" w:rsidP="00ED5362">
      <w:pPr>
        <w:pStyle w:val="NormalHanging12a"/>
        <w:rPr>
          <w:lang w:val="bg-BG"/>
        </w:rPr>
      </w:pPr>
      <w:r w:rsidRPr="00D74AE4">
        <w:rPr>
          <w:lang w:val="bg-BG"/>
        </w:rPr>
        <w:t>30.</w:t>
      </w:r>
      <w:r w:rsidRPr="00D74AE4">
        <w:rPr>
          <w:lang w:val="bg-BG"/>
        </w:rPr>
        <w:tab/>
        <w:t>подчертава значението на увеличаването на полезните взаимодействия между трансевропейската транспортна мрежа и трансевропейската енергийна мрежа;</w:t>
      </w:r>
    </w:p>
    <w:p w:rsidR="00ED5362" w:rsidRPr="00D74AE4" w:rsidRDefault="00ED5362" w:rsidP="00ED5362">
      <w:pPr>
        <w:pStyle w:val="NormalHanging12a"/>
        <w:rPr>
          <w:lang w:val="bg-BG"/>
        </w:rPr>
      </w:pPr>
      <w:r w:rsidRPr="00D74AE4">
        <w:rPr>
          <w:lang w:val="bg-BG"/>
        </w:rPr>
        <w:t>31.</w:t>
      </w:r>
      <w:r w:rsidRPr="00D74AE4">
        <w:rPr>
          <w:lang w:val="bg-BG"/>
        </w:rPr>
        <w:tab/>
        <w:t>изисква от Комисията да включи пристанищата в своята стратегия за кръгова икономика и да подпомогне държавите членки и местните пристанищни администрации, като предостави насоки за изпълнението на проекти, свързани с кръговата икономика; призовава Комисията да предприеме мерки във връзка със задълбочаващия се проблем с нефтените разливи в пристанищата и каналите за корабоплаване;</w:t>
      </w:r>
    </w:p>
    <w:p w:rsidR="00ED5362" w:rsidRPr="00D74AE4" w:rsidRDefault="00ED5362" w:rsidP="00ED5362">
      <w:pPr>
        <w:pStyle w:val="NormalHanging12a"/>
        <w:rPr>
          <w:lang w:val="bg-BG"/>
        </w:rPr>
      </w:pPr>
      <w:r w:rsidRPr="00D74AE4">
        <w:rPr>
          <w:lang w:val="bg-BG"/>
        </w:rPr>
        <w:t>32.</w:t>
      </w:r>
      <w:r w:rsidRPr="00D74AE4">
        <w:rPr>
          <w:lang w:val="bg-BG"/>
        </w:rPr>
        <w:tab/>
        <w:t>изисква от Комисията да изпълни амбицията си за преминаване към други видове транспорт, заложена в Зеления пакт, и да се справи с оставащите предизвикателства пред вътрешните водни пътища, и по-специално железопътния товарен превоз, за да се увеличи използването им в пристанищата и свързаността им с хинтерланда;</w:t>
      </w:r>
    </w:p>
    <w:p w:rsidR="00ED5362" w:rsidRPr="00D74AE4" w:rsidRDefault="00ED5362" w:rsidP="00ED5362">
      <w:pPr>
        <w:pStyle w:val="NormalHanging12a"/>
        <w:rPr>
          <w:lang w:val="bg-BG"/>
        </w:rPr>
      </w:pPr>
      <w:r w:rsidRPr="00D74AE4">
        <w:rPr>
          <w:lang w:val="bg-BG"/>
        </w:rPr>
        <w:t>33.</w:t>
      </w:r>
      <w:r w:rsidRPr="00D74AE4">
        <w:rPr>
          <w:lang w:val="bg-BG"/>
        </w:rPr>
        <w:tab/>
        <w:t>подчертава, че енергийният преход в пристанищата, корабостроителната индустрия и морския сектор няма да бъде възможен без квалифицирана работна ръка и адекватно публично и частно финансиране; настоятелно призовава Комисията да предостави съобразени с бъдещето възможности за обучение, образование и учене през целия живот, както и да насърчава социалния диалог, да постави пристанищните работници в центъра на цифровия и екологичния преход и да направи отрасъла по-привлекателен за жените; отново изтъква важната обществена роля на пристанищата за осигуряването на много преки и непреки работни места и подчертава необходимостта от гарантиране на справедливи и безопасни условия на труд за всички пристанищни и морски работници; подчертава, че неотдавнашните кризи показаха, че моряците, членовете на екипажи, рибарите и пристанищните работници са изключително важни работници на предна линия и че тяхното благосъстояние е жизненоважно за поддържането на световната икономика;</w:t>
      </w:r>
    </w:p>
    <w:p w:rsidR="00ED5362" w:rsidRPr="00D74AE4" w:rsidRDefault="00ED5362" w:rsidP="00ED5362">
      <w:pPr>
        <w:pStyle w:val="Normal12a24b"/>
        <w:rPr>
          <w:lang w:val="bg-BG"/>
        </w:rPr>
      </w:pPr>
      <w:r w:rsidRPr="00D74AE4">
        <w:rPr>
          <w:rStyle w:val="BoldItalic"/>
          <w:lang w:val="bg-BG"/>
        </w:rPr>
        <w:t>Конкурентоспособност на пристанищата и дружествата в ЕС</w:t>
      </w:r>
    </w:p>
    <w:p w:rsidR="00ED5362" w:rsidRPr="00D74AE4" w:rsidRDefault="00ED5362" w:rsidP="00ED5362">
      <w:pPr>
        <w:pStyle w:val="NormalHanging12a"/>
        <w:rPr>
          <w:lang w:val="bg-BG"/>
        </w:rPr>
      </w:pPr>
      <w:r w:rsidRPr="00D74AE4">
        <w:rPr>
          <w:lang w:val="bg-BG"/>
        </w:rPr>
        <w:t>34.</w:t>
      </w:r>
      <w:r w:rsidRPr="00D74AE4">
        <w:rPr>
          <w:lang w:val="bg-BG"/>
        </w:rPr>
        <w:tab/>
        <w:t>подчертава, че конкурентоспособността на пристанищата следва да бъде един от основните приоритети на европейската стратегия за пристанищата;</w:t>
      </w:r>
    </w:p>
    <w:p w:rsidR="00ED5362" w:rsidRPr="00D74AE4" w:rsidRDefault="00ED5362" w:rsidP="00ED5362">
      <w:pPr>
        <w:pStyle w:val="NormalHanging12a"/>
        <w:rPr>
          <w:lang w:val="bg-BG"/>
        </w:rPr>
      </w:pPr>
      <w:r w:rsidRPr="00D74AE4">
        <w:rPr>
          <w:lang w:val="bg-BG"/>
        </w:rPr>
        <w:t>35.</w:t>
      </w:r>
      <w:r w:rsidRPr="00D74AE4">
        <w:rPr>
          <w:lang w:val="bg-BG"/>
        </w:rPr>
        <w:tab/>
        <w:t xml:space="preserve">подчертава, че укрепването на икономическата позиция на пристанищата в ЕС и подобряването на тяхната конкурентоспособност в световната икономика е от решаващо значение за ограничаване на чуждестранното влияние и рисковете за сигурността, както и за суверенитета на веригата на доставки на Европа; счита, че европейско законодателство не бива да подкопава конкурентоспособността на </w:t>
      </w:r>
      <w:r w:rsidRPr="00D74AE4">
        <w:rPr>
          <w:lang w:val="bg-BG"/>
        </w:rPr>
        <w:lastRenderedPageBreak/>
        <w:t>пристанищата в ЕС и да води до изместване на въглеродни емисии и стопанска дейност към пристанища извън ЕС;</w:t>
      </w:r>
    </w:p>
    <w:p w:rsidR="00ED5362" w:rsidRPr="00D74AE4" w:rsidRDefault="00ED5362" w:rsidP="00ED5362">
      <w:pPr>
        <w:pStyle w:val="NormalHanging12a"/>
        <w:rPr>
          <w:lang w:val="bg-BG"/>
        </w:rPr>
      </w:pPr>
      <w:r w:rsidRPr="00D74AE4">
        <w:rPr>
          <w:lang w:val="bg-BG"/>
        </w:rPr>
        <w:t>36.</w:t>
      </w:r>
      <w:r w:rsidRPr="00D74AE4">
        <w:rPr>
          <w:lang w:val="bg-BG"/>
        </w:rPr>
        <w:tab/>
        <w:t>подчертава рисковете от преместване на дейностите по трансбордиране на контейнери в пристанища извън ЕС с цел заобикаляне на изискванията на Директивата на ЕС за системата за търговия с емисии (СТЕ)</w:t>
      </w:r>
      <w:r w:rsidRPr="00D74AE4">
        <w:rPr>
          <w:rStyle w:val="FootnoteReference"/>
          <w:lang w:val="bg-BG"/>
        </w:rPr>
        <w:footnoteReference w:id="15"/>
      </w:r>
      <w:r w:rsidRPr="00D74AE4">
        <w:rPr>
          <w:lang w:val="bg-BG"/>
        </w:rPr>
        <w:t xml:space="preserve"> и Регламента FuelEU за морския транспорт</w:t>
      </w:r>
      <w:r w:rsidRPr="00D74AE4">
        <w:rPr>
          <w:rStyle w:val="FootnoteReference"/>
          <w:lang w:val="bg-BG"/>
        </w:rPr>
        <w:footnoteReference w:id="16"/>
      </w:r>
      <w:r w:rsidRPr="00D74AE4">
        <w:rPr>
          <w:lang w:val="bg-BG"/>
        </w:rPr>
        <w:t>; призовава за стриктно прилагане на разпоредбите за мониторинг на трансбордирането в тези два законодателни акта, за да се открива и забранява подобно поведение, и за оценка дали тези разпоредби са достатъчни за ефективно възпиране на поведението, целящо заобикаляне на изискванията в ущърб както на околната среда, така и на растежа и заетостта в Европа, както и дали са необходими допълнителни мерки;</w:t>
      </w:r>
    </w:p>
    <w:p w:rsidR="00ED5362" w:rsidRPr="00D74AE4" w:rsidRDefault="00ED5362" w:rsidP="00ED5362">
      <w:pPr>
        <w:pStyle w:val="NormalHanging12a"/>
        <w:rPr>
          <w:lang w:val="bg-BG"/>
        </w:rPr>
      </w:pPr>
      <w:r w:rsidRPr="00D74AE4">
        <w:rPr>
          <w:lang w:val="bg-BG"/>
        </w:rPr>
        <w:t>37.</w:t>
      </w:r>
      <w:r w:rsidRPr="00D74AE4">
        <w:rPr>
          <w:lang w:val="bg-BG"/>
        </w:rPr>
        <w:tab/>
        <w:t>призовава Комисията да анализира и разгледа нуждите на европейските пристанища от инвестиции с цел да се запази конкурентоспособността им в бъдеще и да се работи за по-стабилен инвестиционен климат, включително прозрачност и предвидимост в оценките на инвестициите, както публични, така и частни;</w:t>
      </w:r>
    </w:p>
    <w:p w:rsidR="00ED5362" w:rsidRPr="00D74AE4" w:rsidRDefault="00ED5362" w:rsidP="00ED5362">
      <w:pPr>
        <w:pStyle w:val="NormalHanging12a"/>
        <w:rPr>
          <w:lang w:val="bg-BG"/>
        </w:rPr>
      </w:pPr>
      <w:r w:rsidRPr="00D74AE4">
        <w:rPr>
          <w:lang w:val="bg-BG"/>
        </w:rPr>
        <w:t>38.</w:t>
      </w:r>
      <w:r w:rsidRPr="00D74AE4">
        <w:rPr>
          <w:lang w:val="bg-BG"/>
        </w:rPr>
        <w:tab/>
        <w:t>подчертава, че за да се запази конкурентоспособността на пристанищата в ЕС и функционирането на евентуална европейска стратегия за пристанищата, следва да се избягва прекомерната административна тежест, която би могла да подкопае ефективността на тази стратегия;</w:t>
      </w:r>
    </w:p>
    <w:p w:rsidR="00ED5362" w:rsidRPr="00D74AE4" w:rsidRDefault="00ED5362" w:rsidP="00ED5362">
      <w:pPr>
        <w:pStyle w:val="NormalHanging12a"/>
        <w:rPr>
          <w:lang w:val="bg-BG"/>
        </w:rPr>
      </w:pPr>
      <w:r w:rsidRPr="00D74AE4">
        <w:rPr>
          <w:lang w:val="bg-BG"/>
        </w:rPr>
        <w:t>39.</w:t>
      </w:r>
      <w:r w:rsidRPr="00D74AE4">
        <w:rPr>
          <w:lang w:val="bg-BG"/>
        </w:rPr>
        <w:tab/>
        <w:t>подчертава, че последователната европейска стратегия за пристанищата е от съществено значение за гарантиране на лоялната конкуренция; насърчава засиленото сътрудничество между европейските пристанища и премахването на вредните практики, като например занижаване на цените;</w:t>
      </w:r>
    </w:p>
    <w:p w:rsidR="00ED5362" w:rsidRPr="00D74AE4" w:rsidRDefault="00ED5362" w:rsidP="00ED5362">
      <w:pPr>
        <w:pStyle w:val="NormalHanging12a"/>
        <w:rPr>
          <w:lang w:val="bg-BG"/>
        </w:rPr>
      </w:pPr>
      <w:r w:rsidRPr="00D74AE4">
        <w:rPr>
          <w:lang w:val="bg-BG"/>
        </w:rPr>
        <w:t>40.</w:t>
      </w:r>
      <w:r w:rsidRPr="00D74AE4">
        <w:rPr>
          <w:lang w:val="bg-BG"/>
        </w:rPr>
        <w:tab/>
        <w:t>счита, че добре функциониращият митнически съюз е от основно значение за конкурентоспособността, устойчивостта и издръжливостта на ЕС; счита, че един реформиран и укрепен митнически съюз с общ митнически кодекс ще запази целостта на единния пазар, като помогне за запазване на конкурентоспособността на ЕС в двойния екологичен и цифров преход и за избягване на нелоялната конкуренция между европейските пристанища;</w:t>
      </w:r>
    </w:p>
    <w:p w:rsidR="00ED5362" w:rsidRPr="00D74AE4" w:rsidRDefault="00ED5362" w:rsidP="00ED5362">
      <w:pPr>
        <w:pStyle w:val="NormalHanging12a"/>
        <w:rPr>
          <w:lang w:val="bg-BG"/>
        </w:rPr>
      </w:pPr>
      <w:r w:rsidRPr="00D74AE4">
        <w:rPr>
          <w:lang w:val="bg-BG"/>
        </w:rPr>
        <w:t>41.</w:t>
      </w:r>
      <w:r w:rsidRPr="00D74AE4">
        <w:rPr>
          <w:lang w:val="bg-BG"/>
        </w:rPr>
        <w:tab/>
        <w:t>подчертава, че различията в политиките по отношение на митническите процедури на входните пунктове на митническия съюз на ЕС често нарушават търговските потоци и застрашават целостта на единния пазар на ЕС;</w:t>
      </w:r>
    </w:p>
    <w:p w:rsidR="00ED5362" w:rsidRPr="00D74AE4" w:rsidRDefault="00ED5362" w:rsidP="00ED5362">
      <w:pPr>
        <w:pStyle w:val="NormalHanging12a"/>
        <w:rPr>
          <w:lang w:val="bg-BG"/>
        </w:rPr>
      </w:pPr>
      <w:r w:rsidRPr="00D74AE4">
        <w:rPr>
          <w:lang w:val="bg-BG"/>
        </w:rPr>
        <w:t>42.</w:t>
      </w:r>
      <w:r w:rsidRPr="00D74AE4">
        <w:rPr>
          <w:lang w:val="bg-BG"/>
        </w:rPr>
        <w:tab/>
        <w:t xml:space="preserve">припомня, че е важно да се въведе хармонизиран митнически контрол във всички европейски пристанища, за да се избягва различното прилагане на санитарните стандарти или стандартите за надлежна проверка; настоява Комисията да </w:t>
      </w:r>
      <w:r w:rsidRPr="00D74AE4">
        <w:rPr>
          <w:lang w:val="bg-BG"/>
        </w:rPr>
        <w:lastRenderedPageBreak/>
        <w:t>гарантира, че митническият контрол в ЕС следва едни и същи стандарти чрез единен механизъм за пряк митнически контрол, в координация с държавите членки и при пълно спазване на принципа на субсидиарност;</w:t>
      </w:r>
    </w:p>
    <w:p w:rsidR="00ED5362" w:rsidRPr="00D74AE4" w:rsidRDefault="00ED5362" w:rsidP="00ED5362">
      <w:pPr>
        <w:pStyle w:val="NormalHanging12a"/>
        <w:rPr>
          <w:lang w:val="bg-BG"/>
        </w:rPr>
      </w:pPr>
      <w:r w:rsidRPr="00D74AE4">
        <w:rPr>
          <w:lang w:val="bg-BG"/>
        </w:rPr>
        <w:t>43.</w:t>
      </w:r>
      <w:r w:rsidRPr="00D74AE4">
        <w:rPr>
          <w:lang w:val="bg-BG"/>
        </w:rPr>
        <w:tab/>
        <w:t>припомня, че пристанищата не са самостоятелни активи и имат свое място в една огромна водна екосистема от морска логистика, промишленост и вериги за доставки, задвижвани от търсенето на европейските вносители и износители;</w:t>
      </w:r>
    </w:p>
    <w:p w:rsidR="00ED5362" w:rsidRPr="00D74AE4" w:rsidRDefault="00ED5362" w:rsidP="00ED5362">
      <w:pPr>
        <w:pStyle w:val="NormalHanging12a"/>
        <w:rPr>
          <w:lang w:val="bg-BG"/>
        </w:rPr>
      </w:pPr>
      <w:r w:rsidRPr="00D74AE4">
        <w:rPr>
          <w:lang w:val="bg-BG"/>
        </w:rPr>
        <w:t>44.</w:t>
      </w:r>
      <w:r w:rsidRPr="00D74AE4">
        <w:rPr>
          <w:lang w:val="bg-BG"/>
        </w:rPr>
        <w:tab/>
        <w:t>изразява загриженост относно факта, че превозвачите от ЕС се сблъскват с рестриктивно законодателство в областта на морския каботаж в Китай, което на практика им забранява да извършват каботажни превози между китайски пристанища, докато същевременно каботажните превози представляват основен елемент от бизнес модела на китайските превозвачи в някои пристанища на ЕС и между тях; призовава Комисията да проучи възможността за въвеждане на реципрочен закон на ЕС за морския каботаж, който би могъл да се прилага за някои превозвачи извън ЕС, като например Китай; припомня, че липсата на реципрочност по отношение на инвестициите в пристанищата накърнява интересите на ЕС;</w:t>
      </w:r>
    </w:p>
    <w:p w:rsidR="00ED5362" w:rsidRPr="00D74AE4" w:rsidRDefault="00ED5362" w:rsidP="00ED5362">
      <w:pPr>
        <w:pStyle w:val="NormalHanging12a"/>
        <w:rPr>
          <w:lang w:val="bg-BG"/>
        </w:rPr>
      </w:pPr>
      <w:r w:rsidRPr="00D74AE4">
        <w:rPr>
          <w:lang w:val="bg-BG"/>
        </w:rPr>
        <w:t>45.</w:t>
      </w:r>
      <w:r w:rsidRPr="00D74AE4">
        <w:rPr>
          <w:lang w:val="bg-BG"/>
        </w:rPr>
        <w:tab/>
        <w:t>подчертава значението на инициативата „Global Gateway“ на ЕС като стратегическа глобална алтернатива на китайската инициатива „Един пояс, един път“; подчертава потенциала на проектите по „Global Gateway“ в морската промишленост (напр. пристанищна инфраструктура, пътна и железопътна връзка с хинтерланда, зелен водород) за създаването на мрежа от пристанища, която да улеснява търговията, инвестициите и взаимноизгодните партньорства;</w:t>
      </w:r>
    </w:p>
    <w:p w:rsidR="00ED5362" w:rsidRPr="00D74AE4" w:rsidRDefault="00ED5362" w:rsidP="00ED5362">
      <w:pPr>
        <w:pStyle w:val="NormalHanging12a"/>
        <w:rPr>
          <w:lang w:val="bg-BG"/>
        </w:rPr>
      </w:pPr>
      <w:r w:rsidRPr="00D74AE4">
        <w:rPr>
          <w:lang w:val="bg-BG"/>
        </w:rPr>
        <w:t>46.</w:t>
      </w:r>
      <w:r w:rsidRPr="00D74AE4">
        <w:rPr>
          <w:lang w:val="bg-BG"/>
        </w:rPr>
        <w:tab/>
        <w:t>подчертава спешната необходимост от подобряване на силата, капацитета и устойчивостта на връзките на европейските пристанища с хинтерланда, особено на тези, които са част от трансевропейската транспортна мрежа (TEN-T), като се вземе предвид необходимостта от намаляване на емисиите и енергийна ефективност и от пренасочвате на възможно най-голям брой сухопътни превози към железопътния транспорт и транспорта по вътрешните водни пътища, като същевременно се предвидят последиците от изменението на климата, например екстремни метеорологични явления и ниски нива на водата по вътрешните водни пътища;</w:t>
      </w:r>
    </w:p>
    <w:p w:rsidR="00ED5362" w:rsidRPr="00D74AE4" w:rsidRDefault="00ED5362" w:rsidP="00ED5362">
      <w:pPr>
        <w:pStyle w:val="NormalHanging12a"/>
        <w:rPr>
          <w:lang w:val="bg-BG"/>
        </w:rPr>
      </w:pPr>
      <w:r w:rsidRPr="00D74AE4">
        <w:rPr>
          <w:lang w:val="bg-BG"/>
        </w:rPr>
        <w:t>47.</w:t>
      </w:r>
      <w:r w:rsidRPr="00D74AE4">
        <w:rPr>
          <w:lang w:val="bg-BG"/>
        </w:rPr>
        <w:tab/>
        <w:t>предлага Комисията да изготви „атлас“ на европейските пристанища, в който да бъдат отразени, наред с другото, наличието на брегово електрозахранване и алтернативни горива в европейските търговски пристанища, инфраструктурата в хинтерланда (особено железопътната) и морските пътища, като подобен атлас вероятно би могъл да се основава на интерактивните карти на TENtec и Европейската обсерватория за алтернативни горива, но следва да включва и по-малки пристанища и допълнителна информация; счита, че това картографиране би могло да помогне за формирането на цялостна фактическа основа за по-нататъшното развитие на пристанищата в ЕС и свързаните с тях отрасли, като например товарния и пътническия транспорт, круизния трафик, риболова, вятърната енергия от разположени в морето инсталации, зареждането и производството на гориво;</w:t>
      </w:r>
    </w:p>
    <w:p w:rsidR="00ED5362" w:rsidRPr="00D74AE4" w:rsidRDefault="00ED5362" w:rsidP="00ED5362">
      <w:pPr>
        <w:pStyle w:val="NormalHanging12a"/>
        <w:rPr>
          <w:lang w:val="bg-BG"/>
        </w:rPr>
      </w:pPr>
      <w:r w:rsidRPr="00D74AE4">
        <w:rPr>
          <w:lang w:val="bg-BG"/>
        </w:rPr>
        <w:t>48.</w:t>
      </w:r>
      <w:r w:rsidRPr="00D74AE4">
        <w:rPr>
          <w:lang w:val="bg-BG"/>
        </w:rPr>
        <w:tab/>
        <w:t xml:space="preserve">подчертава значението на морското производство, като например корабостроенето и свързаната с него верига на доставки, в ЕС като основа за </w:t>
      </w:r>
      <w:r w:rsidRPr="00D74AE4">
        <w:rPr>
          <w:lang w:val="bg-BG"/>
        </w:rPr>
        <w:lastRenderedPageBreak/>
        <w:t>поддържането на процъфтяващ воден сектор; призовава Комисията да проучи и оцени въздействието на зависимостта на Европа от чуждестранно морско производство, спешно да определи амбициозна европейска промишлена морска стратегия и да предприеме адекватни мерки за повишаване на конкурентоспособността и устойчивостта на европейските корабостроителници и целите им вериги за доставки;</w:t>
      </w:r>
    </w:p>
    <w:p w:rsidR="00ED5362" w:rsidRPr="00D74AE4" w:rsidRDefault="00ED5362" w:rsidP="00ED5362">
      <w:pPr>
        <w:pStyle w:val="NormalHanging12a"/>
        <w:rPr>
          <w:lang w:val="bg-BG"/>
        </w:rPr>
      </w:pPr>
      <w:r w:rsidRPr="00D74AE4">
        <w:rPr>
          <w:lang w:val="bg-BG"/>
        </w:rPr>
        <w:t>49.</w:t>
      </w:r>
      <w:r w:rsidRPr="00D74AE4">
        <w:rPr>
          <w:lang w:val="bg-BG"/>
        </w:rPr>
        <w:tab/>
        <w:t>призовава Комисията да въведе благоприятна цифрова рамка, която да стимулира програми за иновации и по-нататъшна цифровизация на пристанищата, като например програми за интелигентни пристанища, с цел подобряване на ефективността, производителността и устойчивостта на пристанищата; подчертава по-специално потенциала на цифровизацията за оптимизиране на спирането в пристанищата (намаляване на времето за изчакване в крайбрежните води и пристанищата), за пристигане точно навреме, за усъвършенствани навигационни системи (пестене на гориво и намаляване на емисиите), за системи за автоматична идентификация (по-голяма безопасност в море и по-добро прилагане на разпоредбите за опазване на околната среда), както и за безпилотни летателни апарати и решения с изкуствен интелект, които водят до по-добри решения относно пристанищната инфраструктура;</w:t>
      </w:r>
    </w:p>
    <w:p w:rsidR="00ED5362" w:rsidRPr="00D74AE4" w:rsidRDefault="00ED5362" w:rsidP="00ED5362">
      <w:pPr>
        <w:pStyle w:val="NormalHanging12a"/>
        <w:rPr>
          <w:lang w:val="bg-BG"/>
        </w:rPr>
      </w:pPr>
      <w:r w:rsidRPr="00D74AE4">
        <w:rPr>
          <w:lang w:val="bg-BG"/>
        </w:rPr>
        <w:t>50.</w:t>
      </w:r>
      <w:r w:rsidRPr="00D74AE4">
        <w:rPr>
          <w:lang w:val="bg-BG"/>
        </w:rPr>
        <w:tab/>
        <w:t>подчертава, че на пристанищата ще трябва да бъдат разпределени подходящо финансиране и инструменти за финансиране, за да останат конкурентоспособни, да играят благоприятстваща роля в екологичния преход и да ограничат рисковете от чуждестранно влияние; отправя искане за увеличаване на средствата, предназначени за пристанищата в рамките на Механизма за свързване на Европа; подчертава значението на частните инвестиции в пристанищата, както и факта, че дружествата осигуряват заетост и иновации във и около пристанищата;</w:t>
      </w:r>
    </w:p>
    <w:p w:rsidR="00ED5362" w:rsidRPr="00D74AE4" w:rsidRDefault="00ED5362" w:rsidP="00ED5362">
      <w:pPr>
        <w:pStyle w:val="Normal12a24b"/>
        <w:rPr>
          <w:lang w:val="bg-BG"/>
        </w:rPr>
      </w:pPr>
      <w:r w:rsidRPr="00D74AE4">
        <w:rPr>
          <w:rStyle w:val="BoldItalic"/>
          <w:lang w:val="bg-BG"/>
        </w:rPr>
        <w:t>Заключение</w:t>
      </w:r>
    </w:p>
    <w:p w:rsidR="00ED5362" w:rsidRPr="00D74AE4" w:rsidRDefault="00ED5362" w:rsidP="00ED5362">
      <w:pPr>
        <w:pStyle w:val="NormalHanging12a"/>
        <w:rPr>
          <w:lang w:val="bg-BG"/>
        </w:rPr>
      </w:pPr>
      <w:r w:rsidRPr="00D74AE4">
        <w:rPr>
          <w:lang w:val="bg-BG"/>
        </w:rPr>
        <w:t>51.</w:t>
      </w:r>
      <w:r w:rsidRPr="00D74AE4">
        <w:rPr>
          <w:lang w:val="bg-BG"/>
        </w:rPr>
        <w:tab/>
        <w:t>призовава за провеждането на европейска среща на високо равнище, посветена на пристанищата, която да доразвие горепосочените въпроси и да проучи възможностите за засилено сътрудничество между европейските пристанища за тази цел;</w:t>
      </w:r>
    </w:p>
    <w:p w:rsidR="00ED5362" w:rsidRDefault="00ED5362" w:rsidP="0077330D">
      <w:pPr>
        <w:pStyle w:val="NormalHanging12a"/>
        <w:rPr>
          <w:snapToGrid/>
          <w:lang w:val="bg-BG" w:eastAsia="en-GB"/>
        </w:rPr>
      </w:pPr>
      <w:r w:rsidRPr="00D74AE4">
        <w:rPr>
          <w:lang w:val="bg-BG"/>
        </w:rPr>
        <w:t>52.</w:t>
      </w:r>
      <w:r w:rsidRPr="00D74AE4">
        <w:rPr>
          <w:lang w:val="bg-BG"/>
        </w:rPr>
        <w:tab/>
        <w:t>призовава Комисията да представи до края на 2024 г. цялостна европейска стратегия за пристанищата, в която да бъдат разгледани горепосочените въпроси;</w:t>
      </w:r>
    </w:p>
    <w:p w:rsidR="0077330D" w:rsidRDefault="0077330D" w:rsidP="0077330D">
      <w:pPr>
        <w:pStyle w:val="NormalHanging12a"/>
        <w:ind w:left="0" w:firstLine="0"/>
        <w:jc w:val="center"/>
        <w:rPr>
          <w:lang w:val="bg-BG"/>
        </w:rPr>
      </w:pPr>
      <w:r>
        <w:rPr>
          <w:lang w:val="bg-BG"/>
        </w:rPr>
        <w:t>°</w:t>
      </w:r>
    </w:p>
    <w:p w:rsidR="0077330D" w:rsidRDefault="0077330D" w:rsidP="0077330D">
      <w:pPr>
        <w:pStyle w:val="NormalHanging12a"/>
        <w:ind w:left="0" w:firstLine="0"/>
        <w:jc w:val="center"/>
        <w:rPr>
          <w:lang w:val="bg-BG"/>
        </w:rPr>
      </w:pPr>
      <w:r>
        <w:rPr>
          <w:lang w:val="bg-BG"/>
        </w:rPr>
        <w:t>°     °</w:t>
      </w:r>
    </w:p>
    <w:p w:rsidR="00ED5362" w:rsidRPr="00D74AE4" w:rsidRDefault="00ED5362" w:rsidP="00ED5362">
      <w:pPr>
        <w:pStyle w:val="NormalHanging12a"/>
        <w:rPr>
          <w:lang w:val="bg-BG"/>
        </w:rPr>
      </w:pPr>
      <w:r w:rsidRPr="00D74AE4">
        <w:rPr>
          <w:lang w:val="bg-BG"/>
        </w:rPr>
        <w:t>53.</w:t>
      </w:r>
      <w:r w:rsidRPr="00D74AE4">
        <w:rPr>
          <w:lang w:val="bg-BG"/>
        </w:rPr>
        <w:tab/>
        <w:t>възлага на своя председател да предаде настоящата резолюция съответно на Съвета и на Комисията.</w:t>
      </w:r>
    </w:p>
    <w:sectPr w:rsidR="00ED5362" w:rsidRPr="00D74AE4" w:rsidSect="00D74A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5F5" w:rsidRPr="00D74AE4" w:rsidRDefault="00D245F5">
      <w:r w:rsidRPr="00D74AE4">
        <w:separator/>
      </w:r>
    </w:p>
  </w:endnote>
  <w:endnote w:type="continuationSeparator" w:id="0">
    <w:p w:rsidR="00D245F5" w:rsidRPr="00D74AE4" w:rsidRDefault="00D245F5">
      <w:r w:rsidRPr="00D74A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A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A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A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5F5" w:rsidRPr="00D74AE4" w:rsidRDefault="00D245F5">
      <w:r w:rsidRPr="00D74AE4">
        <w:separator/>
      </w:r>
    </w:p>
  </w:footnote>
  <w:footnote w:type="continuationSeparator" w:id="0">
    <w:p w:rsidR="00D245F5" w:rsidRPr="00D74AE4" w:rsidRDefault="00D245F5">
      <w:r w:rsidRPr="00D74AE4">
        <w:continuationSeparator/>
      </w:r>
    </w:p>
  </w:footnote>
  <w:footnote w:id="1">
    <w:p w:rsidR="00ED5362" w:rsidRPr="0077330D" w:rsidRDefault="00ED5362" w:rsidP="00D74AE4">
      <w:pPr>
        <w:pStyle w:val="FootnoteText"/>
        <w:ind w:left="567" w:hanging="567"/>
        <w:rPr>
          <w:sz w:val="24"/>
          <w:u w:color="0000FF"/>
          <w:lang w:val="bg-BG"/>
        </w:rPr>
      </w:pPr>
      <w:r w:rsidRPr="00D74AE4">
        <w:rPr>
          <w:rStyle w:val="FootnoteReference"/>
          <w:sz w:val="24"/>
          <w:lang w:val="bg-BG"/>
        </w:rPr>
        <w:footnoteRef/>
      </w:r>
      <w:r w:rsidR="00D74AE4" w:rsidRPr="00D74AE4">
        <w:rPr>
          <w:sz w:val="24"/>
          <w:lang w:val="bg-BG"/>
        </w:rPr>
        <w:t xml:space="preserve"> </w:t>
      </w:r>
      <w:r w:rsidR="00D74AE4" w:rsidRPr="00D74AE4">
        <w:rPr>
          <w:sz w:val="24"/>
          <w:lang w:val="bg-BG"/>
        </w:rPr>
        <w:tab/>
      </w:r>
      <w:r w:rsidRPr="0077330D">
        <w:rPr>
          <w:sz w:val="24"/>
          <w:u w:color="0000FF"/>
          <w:lang w:val="bg-BG"/>
        </w:rPr>
        <w:t>ОВ L 234, 22.9.2023 г., стр. 1.</w:t>
      </w:r>
    </w:p>
  </w:footnote>
  <w:footnote w:id="2">
    <w:p w:rsidR="00ED5362" w:rsidRPr="0077330D" w:rsidRDefault="00ED5362" w:rsidP="00D74AE4">
      <w:pPr>
        <w:pStyle w:val="FootnoteText"/>
        <w:ind w:left="567" w:hanging="567"/>
        <w:rPr>
          <w:sz w:val="24"/>
          <w:u w:color="0000FF"/>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r w:rsidRPr="0077330D">
        <w:rPr>
          <w:sz w:val="24"/>
          <w:u w:color="0000FF"/>
          <w:lang w:val="bg-BG"/>
        </w:rPr>
        <w:t>ОВ L 234, 22.9.2023 г., стр. 48.</w:t>
      </w:r>
    </w:p>
  </w:footnote>
  <w:footnote w:id="3">
    <w:p w:rsidR="00ED5362" w:rsidRPr="0077330D" w:rsidRDefault="00ED5362" w:rsidP="00D74AE4">
      <w:pPr>
        <w:pStyle w:val="FootnoteText"/>
        <w:ind w:left="567" w:hanging="567"/>
        <w:rPr>
          <w:sz w:val="24"/>
          <w:u w:color="0000FF"/>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r w:rsidRPr="0077330D">
        <w:rPr>
          <w:sz w:val="24"/>
          <w:u w:color="0000FF"/>
          <w:lang w:val="bg-BG"/>
        </w:rPr>
        <w:t>ОВ L 333, 27.12.2022 г., стр. 164.</w:t>
      </w:r>
    </w:p>
  </w:footnote>
  <w:footnote w:id="4">
    <w:p w:rsidR="00ED5362" w:rsidRPr="0077330D" w:rsidRDefault="00ED5362" w:rsidP="00D74AE4">
      <w:pPr>
        <w:pStyle w:val="FootnoteText"/>
        <w:ind w:left="567" w:hanging="567"/>
        <w:rPr>
          <w:sz w:val="24"/>
          <w:u w:color="0000FF"/>
          <w:lang w:val="bg-BG"/>
        </w:rPr>
      </w:pPr>
      <w:r w:rsidRPr="00D74AE4">
        <w:rPr>
          <w:rStyle w:val="FootnoteReference"/>
          <w:sz w:val="24"/>
          <w:lang w:val="bg-BG"/>
        </w:rPr>
        <w:footnoteRef/>
      </w:r>
      <w:r w:rsidR="00D74AE4" w:rsidRPr="00D74AE4">
        <w:rPr>
          <w:sz w:val="24"/>
          <w:lang w:val="bg-BG"/>
        </w:rPr>
        <w:t xml:space="preserve"> </w:t>
      </w:r>
      <w:r w:rsidR="00D74AE4" w:rsidRPr="00D74AE4">
        <w:rPr>
          <w:sz w:val="24"/>
          <w:lang w:val="bg-BG"/>
        </w:rPr>
        <w:tab/>
      </w:r>
      <w:r w:rsidRPr="0077330D">
        <w:rPr>
          <w:sz w:val="24"/>
          <w:u w:color="0000FF"/>
          <w:lang w:val="bg-BG"/>
        </w:rPr>
        <w:t>ОВ L 249, 14.7.2021 г., стр. 38.</w:t>
      </w:r>
    </w:p>
  </w:footnote>
  <w:footnote w:id="5">
    <w:p w:rsidR="00ED5362" w:rsidRPr="0077330D" w:rsidRDefault="00ED5362" w:rsidP="00D74AE4">
      <w:pPr>
        <w:pStyle w:val="FootnoteText"/>
        <w:ind w:left="567" w:hanging="567"/>
        <w:rPr>
          <w:sz w:val="24"/>
          <w:u w:color="0000FF"/>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hyperlink r:id="rId1" w:history="1">
        <w:r w:rsidRPr="0077330D">
          <w:rPr>
            <w:sz w:val="24"/>
            <w:u w:color="0000FF"/>
            <w:lang w:val="bg-BG"/>
          </w:rPr>
          <w:t>OВ L 79</w:t>
        </w:r>
        <w:r w:rsidR="005F6838">
          <w:rPr>
            <w:sz w:val="24"/>
            <w:u w:color="0000FF"/>
            <w:lang w:val="bg-BG"/>
          </w:rPr>
          <w:t xml:space="preserve"> </w:t>
        </w:r>
        <w:r w:rsidRPr="0077330D">
          <w:rPr>
            <w:sz w:val="24"/>
            <w:u w:color="0000FF"/>
            <w:lang w:val="bg-BG"/>
          </w:rPr>
          <w:t>I, 21.3.2019 г., стр. 1.</w:t>
        </w:r>
      </w:hyperlink>
    </w:p>
  </w:footnote>
  <w:footnote w:id="6">
    <w:p w:rsidR="00ED5362" w:rsidRPr="0077330D" w:rsidRDefault="00ED5362" w:rsidP="00D74AE4">
      <w:pPr>
        <w:pStyle w:val="FootnoteText"/>
        <w:ind w:left="567" w:hanging="567"/>
        <w:rPr>
          <w:sz w:val="24"/>
          <w:u w:color="0000FF"/>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hyperlink r:id="rId2" w:history="1">
        <w:r w:rsidRPr="0077330D">
          <w:rPr>
            <w:sz w:val="24"/>
            <w:u w:color="0000FF"/>
            <w:lang w:val="bg-BG"/>
          </w:rPr>
          <w:t>ОВ L 330, 23.12.2022 г., стр. 1.</w:t>
        </w:r>
      </w:hyperlink>
    </w:p>
  </w:footnote>
  <w:footnote w:id="7">
    <w:p w:rsidR="00ED5362" w:rsidRPr="0077330D" w:rsidRDefault="00ED5362" w:rsidP="00D74AE4">
      <w:pPr>
        <w:pStyle w:val="FootnoteText"/>
        <w:ind w:left="567" w:hanging="567"/>
        <w:rPr>
          <w:sz w:val="24"/>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r w:rsidRPr="0077330D">
        <w:rPr>
          <w:sz w:val="24"/>
          <w:lang w:val="bg-BG"/>
        </w:rPr>
        <w:t>ОВ L 57, 3.3.2017 г., стр. 1.</w:t>
      </w:r>
    </w:p>
  </w:footnote>
  <w:footnote w:id="8">
    <w:p w:rsidR="00ED5362" w:rsidRPr="0077330D" w:rsidRDefault="00ED5362" w:rsidP="00D74AE4">
      <w:pPr>
        <w:pStyle w:val="FootnoteText"/>
        <w:ind w:left="567" w:hanging="567"/>
        <w:rPr>
          <w:sz w:val="24"/>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r w:rsidRPr="0077330D">
        <w:rPr>
          <w:sz w:val="24"/>
          <w:lang w:val="bg-BG"/>
        </w:rPr>
        <w:t>ОВ L 348, 20.12.2013 г., стр. 1.</w:t>
      </w:r>
    </w:p>
  </w:footnote>
  <w:footnote w:id="9">
    <w:p w:rsidR="00ED5362" w:rsidRPr="0077330D" w:rsidRDefault="00ED5362" w:rsidP="00D74AE4">
      <w:pPr>
        <w:pStyle w:val="FootnoteText"/>
        <w:ind w:left="567" w:hanging="567"/>
        <w:rPr>
          <w:sz w:val="24"/>
          <w:u w:color="0000FF"/>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hyperlink r:id="rId3" w:history="1">
        <w:r w:rsidRPr="0077330D">
          <w:rPr>
            <w:sz w:val="24"/>
            <w:u w:color="0000FF"/>
            <w:lang w:val="bg-BG"/>
          </w:rPr>
          <w:t>OB C 117, 11.3.2022 г., стр. 40.</w:t>
        </w:r>
      </w:hyperlink>
    </w:p>
  </w:footnote>
  <w:footnote w:id="10">
    <w:p w:rsidR="00ED5362" w:rsidRPr="0077330D" w:rsidRDefault="00ED5362" w:rsidP="00D74AE4">
      <w:pPr>
        <w:pStyle w:val="FootnoteText"/>
        <w:ind w:left="567" w:hanging="567"/>
        <w:rPr>
          <w:sz w:val="24"/>
          <w:u w:color="0000FF"/>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hyperlink r:id="rId4" w:history="1">
        <w:r w:rsidRPr="0077330D">
          <w:rPr>
            <w:sz w:val="24"/>
            <w:u w:color="0000FF"/>
            <w:lang w:val="bg-BG"/>
          </w:rPr>
          <w:t>ОВ C 506, 15.12.2021 г., стр. 12.</w:t>
        </w:r>
      </w:hyperlink>
    </w:p>
  </w:footnote>
  <w:footnote w:id="11">
    <w:p w:rsidR="00ED5362" w:rsidRPr="0077330D" w:rsidRDefault="00ED5362" w:rsidP="00D74AE4">
      <w:pPr>
        <w:pStyle w:val="FootnoteText"/>
        <w:ind w:left="567" w:hanging="567"/>
        <w:rPr>
          <w:sz w:val="24"/>
          <w:u w:color="0000FF"/>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hyperlink r:id="rId5" w:history="1">
        <w:r w:rsidRPr="0077330D">
          <w:rPr>
            <w:sz w:val="24"/>
            <w:u w:color="0000FF"/>
            <w:lang w:val="bg-BG"/>
          </w:rPr>
          <w:t>ОВ C 23, 21.1.2021 г., стр. 2.</w:t>
        </w:r>
      </w:hyperlink>
    </w:p>
  </w:footnote>
  <w:footnote w:id="12">
    <w:p w:rsidR="00ED5362" w:rsidRPr="00EC6156" w:rsidRDefault="00ED5362" w:rsidP="00D74AE4">
      <w:pPr>
        <w:pStyle w:val="FootnoteText"/>
        <w:ind w:left="567" w:hanging="567"/>
        <w:rPr>
          <w:sz w:val="24"/>
          <w:u w:color="0000FF"/>
          <w:lang w:val="bg-BG"/>
        </w:rPr>
      </w:pPr>
      <w:r w:rsidRPr="00D74AE4">
        <w:rPr>
          <w:rStyle w:val="FootnoteReference"/>
          <w:sz w:val="24"/>
          <w:lang w:val="bg-BG"/>
        </w:rPr>
        <w:footnoteRef/>
      </w:r>
      <w:r w:rsidR="00D74AE4" w:rsidRPr="00D74AE4">
        <w:rPr>
          <w:sz w:val="24"/>
          <w:lang w:val="bg-BG"/>
        </w:rPr>
        <w:t xml:space="preserve"> </w:t>
      </w:r>
      <w:r w:rsidR="00D74AE4" w:rsidRPr="00D74AE4">
        <w:rPr>
          <w:sz w:val="24"/>
          <w:lang w:val="bg-BG"/>
        </w:rPr>
        <w:tab/>
      </w:r>
      <w:r w:rsidRPr="00EC6156">
        <w:rPr>
          <w:sz w:val="24"/>
          <w:u w:color="0000FF"/>
          <w:lang w:val="bg-BG"/>
        </w:rPr>
        <w:t>Институт за китайски изследвания „Меркатор“, Институт за международни икономически изследвания във Виена, Институт за международни икономически отношения, Chinese Investments in European Maritime Infrastructurе („Китайски инвестиции в европейската морска инфраструктура“), октомври 2023 г.</w:t>
      </w:r>
    </w:p>
  </w:footnote>
  <w:footnote w:id="13">
    <w:p w:rsidR="00ED5362" w:rsidRPr="00EC6156" w:rsidRDefault="00ED5362" w:rsidP="00D74AE4">
      <w:pPr>
        <w:pStyle w:val="FootnoteText"/>
        <w:ind w:left="567" w:hanging="567"/>
        <w:rPr>
          <w:sz w:val="24"/>
          <w:u w:color="0000FF"/>
          <w:lang w:val="bg-BG"/>
        </w:rPr>
      </w:pPr>
      <w:r w:rsidRPr="00D74AE4">
        <w:rPr>
          <w:rStyle w:val="FootnoteReference"/>
          <w:sz w:val="24"/>
          <w:lang w:val="bg-BG"/>
        </w:rPr>
        <w:footnoteRef/>
      </w:r>
      <w:r w:rsidR="00D74AE4" w:rsidRPr="00D74AE4">
        <w:rPr>
          <w:sz w:val="24"/>
          <w:lang w:val="bg-BG"/>
        </w:rPr>
        <w:t xml:space="preserve"> </w:t>
      </w:r>
      <w:r w:rsidR="00D74AE4" w:rsidRPr="00D74AE4">
        <w:rPr>
          <w:sz w:val="24"/>
          <w:lang w:val="bg-BG"/>
        </w:rPr>
        <w:tab/>
      </w:r>
      <w:r w:rsidRPr="00EC6156">
        <w:rPr>
          <w:sz w:val="24"/>
          <w:u w:color="0000FF"/>
          <w:lang w:val="bg-BG"/>
        </w:rPr>
        <w:t>AIVD, MIVD и NCTV, Dreigingsbeeld Statelijke actoren 2, ноември 2022 г.</w:t>
      </w:r>
    </w:p>
  </w:footnote>
  <w:footnote w:id="14">
    <w:p w:rsidR="00ED5362" w:rsidRPr="0077330D" w:rsidRDefault="00ED5362" w:rsidP="00D74AE4">
      <w:pPr>
        <w:pStyle w:val="FootnoteText"/>
        <w:ind w:left="567" w:hanging="567"/>
        <w:rPr>
          <w:sz w:val="24"/>
          <w:u w:color="0000FF"/>
          <w:lang w:val="bg-BG"/>
        </w:rPr>
      </w:pPr>
      <w:r w:rsidRPr="00D74AE4">
        <w:rPr>
          <w:rStyle w:val="FootnoteReference"/>
          <w:sz w:val="24"/>
          <w:lang w:val="bg-BG"/>
        </w:rPr>
        <w:footnoteRef/>
      </w:r>
      <w:r w:rsidR="00D74AE4" w:rsidRPr="00D74AE4">
        <w:rPr>
          <w:sz w:val="24"/>
          <w:lang w:val="bg-BG"/>
        </w:rPr>
        <w:t xml:space="preserve"> </w:t>
      </w:r>
      <w:r w:rsidR="00D74AE4" w:rsidRPr="00D74AE4">
        <w:rPr>
          <w:sz w:val="24"/>
          <w:lang w:val="bg-BG"/>
        </w:rPr>
        <w:tab/>
      </w:r>
      <w:r w:rsidRPr="0077330D">
        <w:rPr>
          <w:sz w:val="24"/>
          <w:u w:color="0000FF"/>
          <w:lang w:val="bg-BG"/>
        </w:rPr>
        <w:t xml:space="preserve">Регламент (ЕС) 2019/452 на Европейския парламент и на Съвета от 19 март 2019 г. </w:t>
      </w:r>
      <w:r w:rsidRPr="0077330D">
        <w:rPr>
          <w:sz w:val="24"/>
          <w:u w:color="0000FF"/>
          <w:lang w:val="bg-BG"/>
        </w:rPr>
        <w:t xml:space="preserve">за създаване на рамка за скрининг на преки чуждестранни инвестиции в Съюза </w:t>
      </w:r>
      <w:r w:rsidR="00EC6156">
        <w:rPr>
          <w:sz w:val="24"/>
          <w:u w:color="0000FF"/>
          <w:lang w:val="bg-BG"/>
        </w:rPr>
        <w:t>(</w:t>
      </w:r>
      <w:r w:rsidRPr="0077330D">
        <w:rPr>
          <w:sz w:val="24"/>
          <w:u w:color="0000FF"/>
          <w:lang w:val="bg-BG"/>
        </w:rPr>
        <w:t>ОВ L 79</w:t>
      </w:r>
      <w:r w:rsidR="005F6838">
        <w:rPr>
          <w:sz w:val="24"/>
          <w:u w:color="0000FF"/>
          <w:lang w:val="bg-BG"/>
        </w:rPr>
        <w:t xml:space="preserve"> </w:t>
      </w:r>
      <w:r w:rsidRPr="0077330D">
        <w:rPr>
          <w:sz w:val="24"/>
          <w:u w:color="0000FF"/>
          <w:lang w:val="bg-BG"/>
        </w:rPr>
        <w:t>I, 21.3.2019 г., стр. 1</w:t>
      </w:r>
      <w:r w:rsidR="00EC6156">
        <w:rPr>
          <w:sz w:val="24"/>
          <w:u w:color="0000FF"/>
          <w:lang w:val="bg-BG"/>
        </w:rPr>
        <w:t>)</w:t>
      </w:r>
      <w:r w:rsidRPr="0077330D">
        <w:rPr>
          <w:sz w:val="24"/>
          <w:u w:color="0000FF"/>
          <w:lang w:val="bg-BG"/>
        </w:rPr>
        <w:t>.</w:t>
      </w:r>
    </w:p>
  </w:footnote>
  <w:footnote w:id="15">
    <w:p w:rsidR="00ED5362" w:rsidRPr="0077330D" w:rsidRDefault="00ED5362" w:rsidP="00D74AE4">
      <w:pPr>
        <w:pStyle w:val="FootnoteText"/>
        <w:ind w:left="567" w:hanging="567"/>
        <w:rPr>
          <w:sz w:val="24"/>
          <w:u w:color="0000FF"/>
          <w:lang w:val="bg-BG"/>
        </w:rPr>
      </w:pPr>
      <w:r w:rsidRPr="00D74AE4">
        <w:rPr>
          <w:rStyle w:val="FootnoteReference"/>
          <w:sz w:val="24"/>
          <w:lang w:val="bg-BG"/>
        </w:rPr>
        <w:footnoteRef/>
      </w:r>
      <w:r w:rsidR="00D74AE4" w:rsidRPr="00D74AE4">
        <w:rPr>
          <w:sz w:val="24"/>
          <w:lang w:val="bg-BG"/>
        </w:rPr>
        <w:t xml:space="preserve"> </w:t>
      </w:r>
      <w:r w:rsidR="00D74AE4" w:rsidRPr="00D74AE4">
        <w:rPr>
          <w:sz w:val="24"/>
          <w:lang w:val="bg-BG"/>
        </w:rPr>
        <w:tab/>
      </w:r>
      <w:r w:rsidRPr="0077330D">
        <w:rPr>
          <w:sz w:val="24"/>
          <w:u w:color="0000FF"/>
          <w:lang w:val="bg-BG"/>
        </w:rPr>
        <w:t xml:space="preserve">Директива 2003/87/ЕО на Европейския парламент и на Съвета от 13 октомври 2003 г. за установяване на схема за търговия с квоти за емисии на парникови газове в рамките на Общността и за изменение на Директива 96/61/ЕО на Съвета </w:t>
      </w:r>
      <w:r w:rsidR="00EC6156">
        <w:rPr>
          <w:sz w:val="24"/>
          <w:u w:color="0000FF"/>
          <w:lang w:val="bg-BG"/>
        </w:rPr>
        <w:t>(</w:t>
      </w:r>
      <w:r w:rsidRPr="0077330D">
        <w:rPr>
          <w:sz w:val="24"/>
          <w:u w:color="0000FF"/>
          <w:lang w:val="bg-BG"/>
        </w:rPr>
        <w:t>ОВ L 275, 25.10.2003 г., стр. 32</w:t>
      </w:r>
      <w:r w:rsidR="00EC6156">
        <w:rPr>
          <w:sz w:val="24"/>
          <w:u w:color="0000FF"/>
          <w:lang w:val="bg-BG"/>
        </w:rPr>
        <w:t>)</w:t>
      </w:r>
      <w:r w:rsidRPr="0077330D">
        <w:rPr>
          <w:sz w:val="24"/>
          <w:u w:color="0000FF"/>
          <w:lang w:val="bg-BG"/>
        </w:rPr>
        <w:t>.</w:t>
      </w:r>
    </w:p>
  </w:footnote>
  <w:footnote w:id="16">
    <w:p w:rsidR="00ED5362" w:rsidRPr="0077330D" w:rsidRDefault="00ED5362" w:rsidP="00D74AE4">
      <w:pPr>
        <w:pStyle w:val="FootnoteText"/>
        <w:ind w:left="567" w:hanging="567"/>
        <w:rPr>
          <w:sz w:val="24"/>
          <w:u w:color="0000FF"/>
          <w:lang w:val="bg-BG"/>
        </w:rPr>
      </w:pPr>
      <w:r w:rsidRPr="0077330D">
        <w:rPr>
          <w:rStyle w:val="FootnoteReference"/>
          <w:sz w:val="24"/>
          <w:lang w:val="bg-BG"/>
        </w:rPr>
        <w:footnoteRef/>
      </w:r>
      <w:r w:rsidR="00D74AE4" w:rsidRPr="0077330D">
        <w:rPr>
          <w:sz w:val="24"/>
          <w:lang w:val="bg-BG"/>
        </w:rPr>
        <w:t xml:space="preserve"> </w:t>
      </w:r>
      <w:r w:rsidR="00D74AE4" w:rsidRPr="0077330D">
        <w:rPr>
          <w:sz w:val="24"/>
          <w:lang w:val="bg-BG"/>
        </w:rPr>
        <w:tab/>
      </w:r>
      <w:r w:rsidRPr="0077330D">
        <w:rPr>
          <w:sz w:val="24"/>
          <w:u w:color="0000FF"/>
          <w:lang w:val="bg-BG"/>
        </w:rPr>
        <w:t xml:space="preserve">Регламент (ЕС) 2023/1805 на Европейския парламент и на Съвета от 13 септември 2023 г. относно използването на възобновяеми и нисковъглеродни горива в морския транспорт и за изменение на Директива 2009/16/ЕО </w:t>
      </w:r>
      <w:r w:rsidR="00EC6156">
        <w:rPr>
          <w:sz w:val="24"/>
          <w:u w:color="0000FF"/>
          <w:lang w:val="bg-BG"/>
        </w:rPr>
        <w:t>(</w:t>
      </w:r>
      <w:r w:rsidRPr="0077330D">
        <w:rPr>
          <w:sz w:val="24"/>
          <w:u w:color="0000FF"/>
          <w:lang w:val="bg-BG"/>
        </w:rPr>
        <w:t>ОВ L 234, 22.9.2023 г., стр. 48</w:t>
      </w:r>
      <w:r w:rsidR="00EC6156">
        <w:rPr>
          <w:sz w:val="24"/>
          <w:u w:color="0000FF"/>
          <w:lang w:val="bg-BG"/>
        </w:rPr>
        <w:t>)</w:t>
      </w:r>
      <w:r w:rsidRPr="0077330D">
        <w:rPr>
          <w:sz w:val="24"/>
          <w:u w:color="0000FF"/>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A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A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A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BG"/>
    <w:docVar w:name="dvnumam" w:val="0"/>
    <w:docVar w:name="dvpe" w:val="750.225"/>
    <w:docVar w:name="dvrapporteur" w:val="Докладчик: "/>
    <w:docVar w:name="dvtitre" w:val="Резолюция на Европейския парламент от ... 2024 г. относно разработването на цялостна европейска стратегия за пристанищата(2023/2059(INI))"/>
  </w:docVars>
  <w:rsids>
    <w:rsidRoot w:val="00D245F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EA4"/>
    <w:rsid w:val="004867E3"/>
    <w:rsid w:val="00494A28"/>
    <w:rsid w:val="004C0004"/>
    <w:rsid w:val="004C5D52"/>
    <w:rsid w:val="004E40FD"/>
    <w:rsid w:val="0050519A"/>
    <w:rsid w:val="005072A1"/>
    <w:rsid w:val="00514517"/>
    <w:rsid w:val="00545827"/>
    <w:rsid w:val="00560270"/>
    <w:rsid w:val="005C2568"/>
    <w:rsid w:val="005F6838"/>
    <w:rsid w:val="006037C0"/>
    <w:rsid w:val="006631B6"/>
    <w:rsid w:val="00680577"/>
    <w:rsid w:val="006F74FA"/>
    <w:rsid w:val="00731ADD"/>
    <w:rsid w:val="00734777"/>
    <w:rsid w:val="00747932"/>
    <w:rsid w:val="00751A4A"/>
    <w:rsid w:val="00756632"/>
    <w:rsid w:val="0076040E"/>
    <w:rsid w:val="00762C74"/>
    <w:rsid w:val="0077330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1DC"/>
    <w:rsid w:val="00A1687D"/>
    <w:rsid w:val="00A43E52"/>
    <w:rsid w:val="00A4678D"/>
    <w:rsid w:val="00A778C7"/>
    <w:rsid w:val="00AB441E"/>
    <w:rsid w:val="00AB6293"/>
    <w:rsid w:val="00AE0928"/>
    <w:rsid w:val="00AE366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5F5"/>
    <w:rsid w:val="00D56C11"/>
    <w:rsid w:val="00D74AE4"/>
    <w:rsid w:val="00D834A0"/>
    <w:rsid w:val="00D872DF"/>
    <w:rsid w:val="00D91E21"/>
    <w:rsid w:val="00DA7FCD"/>
    <w:rsid w:val="00E365E1"/>
    <w:rsid w:val="00E820A4"/>
    <w:rsid w:val="00EB006A"/>
    <w:rsid w:val="00EB4772"/>
    <w:rsid w:val="00EC6156"/>
    <w:rsid w:val="00ED169E"/>
    <w:rsid w:val="00ED4235"/>
    <w:rsid w:val="00ED536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F2BCE"/>
  <w15:chartTrackingRefBased/>
  <w15:docId w15:val="{5C6F970B-9DDB-4D7B-84DD-BF1E0C901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5362"/>
    <w:pPr>
      <w:spacing w:before="480" w:after="240"/>
    </w:pPr>
    <w:rPr>
      <w:snapToGrid w:val="0"/>
      <w:lang w:val="en-GB" w:eastAsia="en-US"/>
    </w:rPr>
  </w:style>
  <w:style w:type="paragraph" w:customStyle="1" w:styleId="NormalHanging12a">
    <w:name w:val="NormalHanging12a"/>
    <w:basedOn w:val="Normal"/>
    <w:rsid w:val="00ED5362"/>
    <w:pPr>
      <w:widowControl/>
      <w:spacing w:after="240"/>
      <w:ind w:left="567" w:hanging="567"/>
    </w:pPr>
    <w:rPr>
      <w:snapToGrid w:val="0"/>
      <w:lang w:val="en-GB" w:eastAsia="en-US"/>
    </w:rPr>
  </w:style>
  <w:style w:type="paragraph" w:customStyle="1" w:styleId="NormalCenter12a">
    <w:name w:val="NormalCenter12a"/>
    <w:basedOn w:val="Normal"/>
    <w:rsid w:val="00ED5362"/>
    <w:pPr>
      <w:spacing w:after="240"/>
      <w:jc w:val="center"/>
    </w:pPr>
    <w:rPr>
      <w:lang w:val="en-GB"/>
    </w:rPr>
  </w:style>
  <w:style w:type="character" w:customStyle="1" w:styleId="BoldItalic">
    <w:name w:val="BoldItalic"/>
    <w:uiPriority w:val="1"/>
    <w:rsid w:val="00ED5362"/>
    <w:rPr>
      <w:b/>
      <w:i/>
      <w:u w:val="none"/>
    </w:rPr>
  </w:style>
  <w:style w:type="character" w:customStyle="1" w:styleId="Italic">
    <w:name w:val="Italic"/>
    <w:uiPriority w:val="1"/>
    <w:rsid w:val="00ED5362"/>
    <w:rPr>
      <w:i/>
    </w:rPr>
  </w:style>
  <w:style w:type="paragraph" w:customStyle="1" w:styleId="Normal12a24b">
    <w:name w:val="Normal12a24b"/>
    <w:basedOn w:val="Normal"/>
    <w:rsid w:val="00ED5362"/>
    <w:pPr>
      <w:spacing w:before="360" w:after="240"/>
    </w:pPr>
    <w:rPr>
      <w:snapToGrid w:val="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52021IP0382" TargetMode="External"/><Relationship Id="rId2" Type="http://schemas.openxmlformats.org/officeDocument/2006/relationships/hyperlink" Target="http://data.europa.eu/eli/reg/2022/2560/oj" TargetMode="External"/><Relationship Id="rId1" Type="http://schemas.openxmlformats.org/officeDocument/2006/relationships/hyperlink" Target="http://data.europa.eu/eli/reg/2019/452/oj" TargetMode="External"/><Relationship Id="rId5" Type="http://schemas.openxmlformats.org/officeDocument/2006/relationships/hyperlink" Target="https://eur-lex.europa.eu/legal-content/EN/TXT/PDF/?uri=CELEX:52019IP0156" TargetMode="External"/><Relationship Id="rId4" Type="http://schemas.openxmlformats.org/officeDocument/2006/relationships/hyperlink" Target="https://eur-lex.europa.eu/legal-content/EN/TXT/PDF/?uri=CELEX:52021IP0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9EC8-8174-4E7B-85AA-84D95BD61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5488</Words>
  <Characters>31284</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2024-02-14T13:32:00Z</dcterms:created>
  <dcterms:modified xsi:type="dcterms:W3CDTF">2024-02-14T13:32:00Z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P9_TA(2024)0025_</vt:lpwstr>
  </property>
  <property fmtid="{D5CDD505-2E9C-101B-9397-08002B2CF9AE}" pid="4" name="&lt;Type&gt;">
    <vt:lpwstr>RR</vt:lpwstr>
  </property>
</Properties>
</file>