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41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41BC" w:rsidRDefault="00A9225B" w:rsidP="0010095E">
            <w:pPr>
              <w:pStyle w:val="EPName"/>
            </w:pPr>
            <w:r w:rsidRPr="002641BC">
              <w:t>Evropský parlament</w:t>
            </w:r>
          </w:p>
          <w:p w:rsidR="00751A4A" w:rsidRPr="002641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41B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641BC" w:rsidRDefault="00187494" w:rsidP="0010095E">
            <w:pPr>
              <w:pStyle w:val="EPLogo"/>
            </w:pPr>
            <w:r w:rsidRPr="002641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41BC" w:rsidRDefault="00D058B8" w:rsidP="004C5D52">
      <w:pPr>
        <w:pStyle w:val="LineTop"/>
      </w:pPr>
    </w:p>
    <w:p w:rsidR="00680577" w:rsidRPr="002641BC" w:rsidRDefault="00A9225B" w:rsidP="00680577">
      <w:pPr>
        <w:pStyle w:val="EPBodyTA1"/>
      </w:pPr>
      <w:r w:rsidRPr="002641BC">
        <w:t>PŘIJATÉ TEXTY</w:t>
      </w:r>
    </w:p>
    <w:p w:rsidR="00D058B8" w:rsidRPr="002641BC" w:rsidRDefault="00D058B8" w:rsidP="00D058B8">
      <w:pPr>
        <w:pStyle w:val="LineBottom"/>
      </w:pPr>
    </w:p>
    <w:p w:rsidR="00A9225B" w:rsidRPr="002641BC" w:rsidRDefault="00A9225B" w:rsidP="00A9225B">
      <w:pPr>
        <w:pStyle w:val="ATHeading1"/>
      </w:pPr>
      <w:bookmarkStart w:id="0" w:name="TANumber"/>
      <w:r w:rsidRPr="002641BC">
        <w:t>P9_TA(2024)00</w:t>
      </w:r>
      <w:bookmarkEnd w:id="0"/>
      <w:r w:rsidR="009A6330">
        <w:t>25</w:t>
      </w:r>
    </w:p>
    <w:p w:rsidR="00A9225B" w:rsidRPr="002641BC" w:rsidRDefault="00A9225B" w:rsidP="00A9225B">
      <w:pPr>
        <w:pStyle w:val="ATHeading2"/>
      </w:pPr>
      <w:bookmarkStart w:id="1" w:name="title"/>
      <w:r w:rsidRPr="002641BC">
        <w:t>Vytvoření komplexní evropské strategie pro přístavy</w:t>
      </w:r>
      <w:bookmarkEnd w:id="1"/>
    </w:p>
    <w:p w:rsidR="00A9225B" w:rsidRPr="002641BC" w:rsidRDefault="00A9225B" w:rsidP="00A9225B">
      <w:pPr>
        <w:rPr>
          <w:i/>
          <w:vanish/>
        </w:rPr>
      </w:pPr>
      <w:r w:rsidRPr="002641BC">
        <w:rPr>
          <w:i/>
        </w:rPr>
        <w:fldChar w:fldCharType="begin"/>
      </w:r>
      <w:r w:rsidRPr="002641BC">
        <w:rPr>
          <w:i/>
        </w:rPr>
        <w:instrText xml:space="preserve"> TC"(</w:instrText>
      </w:r>
      <w:bookmarkStart w:id="2" w:name="DocNumber"/>
      <w:r w:rsidRPr="002641BC">
        <w:rPr>
          <w:i/>
        </w:rPr>
        <w:instrText>A9-0443/2023</w:instrText>
      </w:r>
      <w:bookmarkEnd w:id="2"/>
      <w:r w:rsidRPr="002641BC">
        <w:rPr>
          <w:i/>
        </w:rPr>
        <w:instrText xml:space="preserve"> - Zpravodaj: Tom Berendsen)"\l3 \n&gt; \* MERGEFORMAT </w:instrText>
      </w:r>
      <w:r w:rsidRPr="002641BC">
        <w:rPr>
          <w:i/>
        </w:rPr>
        <w:fldChar w:fldCharType="end"/>
      </w:r>
    </w:p>
    <w:p w:rsidR="00A9225B" w:rsidRPr="002641BC" w:rsidRDefault="00A9225B" w:rsidP="00A9225B">
      <w:pPr>
        <w:rPr>
          <w:vanish/>
        </w:rPr>
      </w:pPr>
      <w:bookmarkStart w:id="3" w:name="Commission"/>
      <w:r w:rsidRPr="002641BC">
        <w:rPr>
          <w:vanish/>
        </w:rPr>
        <w:t>Výbor pro dopravu a cestovní ruch</w:t>
      </w:r>
      <w:bookmarkEnd w:id="3"/>
    </w:p>
    <w:p w:rsidR="00A9225B" w:rsidRPr="002641BC" w:rsidRDefault="00A9225B" w:rsidP="00A9225B">
      <w:pPr>
        <w:rPr>
          <w:vanish/>
        </w:rPr>
      </w:pPr>
      <w:bookmarkStart w:id="4" w:name="PE"/>
      <w:r w:rsidRPr="002641BC">
        <w:rPr>
          <w:vanish/>
        </w:rPr>
        <w:t>PE750.225</w:t>
      </w:r>
      <w:bookmarkEnd w:id="4"/>
    </w:p>
    <w:p w:rsidR="00A9225B" w:rsidRPr="002641BC" w:rsidRDefault="00A9225B" w:rsidP="00A9225B">
      <w:pPr>
        <w:pStyle w:val="ATHeading3"/>
      </w:pPr>
      <w:bookmarkStart w:id="5" w:name="Sujet"/>
      <w:r w:rsidRPr="002641BC">
        <w:t xml:space="preserve">Usnesení </w:t>
      </w:r>
      <w:r w:rsidR="009A6330">
        <w:t>Evropského parlamentu ze dne 17</w:t>
      </w:r>
      <w:r w:rsidR="00FC0E7F">
        <w:t>. ledna</w:t>
      </w:r>
      <w:r w:rsidRPr="002641BC">
        <w:t xml:space="preserve"> 2024 o vytvoření komplexní evropské strategie pro přístavy</w:t>
      </w:r>
      <w:bookmarkEnd w:id="5"/>
      <w:r w:rsidRPr="002641BC">
        <w:t xml:space="preserve"> </w:t>
      </w:r>
      <w:bookmarkStart w:id="6" w:name="References"/>
      <w:r w:rsidRPr="002641BC">
        <w:t>(2023/2059(INI))</w:t>
      </w:r>
      <w:bookmarkEnd w:id="6"/>
    </w:p>
    <w:p w:rsidR="006A3ECA" w:rsidRPr="002641BC" w:rsidRDefault="006A3ECA" w:rsidP="006A3ECA">
      <w:pPr>
        <w:pStyle w:val="EPComma"/>
        <w:rPr>
          <w:lang w:val="cs-CZ"/>
        </w:rPr>
      </w:pPr>
      <w:bookmarkStart w:id="7" w:name="TextBodyBegin"/>
      <w:bookmarkEnd w:id="7"/>
      <w:r w:rsidRPr="002641BC">
        <w:rPr>
          <w:rStyle w:val="Italic"/>
          <w:lang w:val="cs-CZ"/>
        </w:rPr>
        <w:t>Evropský parlament</w:t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Smlouvu o fungování Evropské unie, a zejména na její hlavu XVIII,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sdělení Komise ze dne 1. června 2023 nazvané „Námořní bezpečnost: středobod čisté a moderní lodní dopravy“ (</w:t>
      </w:r>
      <w:proofErr w:type="gramStart"/>
      <w:r w:rsidRPr="002641BC">
        <w:rPr>
          <w:lang w:val="cs-CZ"/>
        </w:rPr>
        <w:t>COM(2023</w:t>
      </w:r>
      <w:proofErr w:type="gramEnd"/>
      <w:r w:rsidRPr="002641BC">
        <w:rPr>
          <w:lang w:val="cs-CZ"/>
        </w:rPr>
        <w:t>)0268),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společné sdělení Komise a vysokého představitele Unie pro zahraniční věci a bezpečnostní politiku ze dne 10. března 2023 o aktualizaci strategie EU pro námořní bezpečnost a jejího akčního plánu s názvem „Posílená strategie EU pro námořní bezpečnosti s ohledem na vyvíjející se námořní hrozby“ (JOIN(2023)0008),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strategii námořní bezpečnosti přijatou Evropskou radou dne 24. června 2014,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závěry Rady týkající se revize strategie námořní bezpečnosti Evropské unie přijaté Evropskou radou dne 26. června 2018,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společné sdělení Komise a vysokého představitele Unie pro zahraniční věci a bezpečnostní politiku ze dne 1. prosince 2021 nazvané „</w:t>
      </w:r>
      <w:proofErr w:type="spellStart"/>
      <w:r w:rsidRPr="002641BC">
        <w:rPr>
          <w:lang w:val="cs-CZ"/>
        </w:rPr>
        <w:t>Global</w:t>
      </w:r>
      <w:proofErr w:type="spellEnd"/>
      <w:r w:rsidRPr="002641BC">
        <w:rPr>
          <w:lang w:val="cs-CZ"/>
        </w:rPr>
        <w:t xml:space="preserve"> </w:t>
      </w:r>
      <w:proofErr w:type="spellStart"/>
      <w:r w:rsidRPr="002641BC">
        <w:rPr>
          <w:lang w:val="cs-CZ"/>
        </w:rPr>
        <w:t>Gateway</w:t>
      </w:r>
      <w:proofErr w:type="spellEnd"/>
      <w:r w:rsidRPr="002641BC">
        <w:rPr>
          <w:lang w:val="cs-CZ"/>
        </w:rPr>
        <w:t>“ (JOIN(2021)0030),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společné sdělení Komise a vysoké představitelky Unie pro zahraniční věci a bezpečnostní politiku ze dne 12. března 2019 s názvem „EU-Čína – Strategický výhled“ (JOIN(2019)0005),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společné sdělení adresované Evropskému parlamentu, Evropské radě a Radě s názvem „Evropská strategie hospodářské bezpečnosti“ ze dne 20. června 2023 (JOIN(2023)0020),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 xml:space="preserve">s ohledem na balíček „Fit </w:t>
      </w:r>
      <w:proofErr w:type="spellStart"/>
      <w:r w:rsidRPr="002641BC">
        <w:rPr>
          <w:lang w:val="cs-CZ"/>
        </w:rPr>
        <w:t>for</w:t>
      </w:r>
      <w:proofErr w:type="spellEnd"/>
      <w:r w:rsidRPr="002641BC">
        <w:rPr>
          <w:lang w:val="cs-CZ"/>
        </w:rPr>
        <w:t xml:space="preserve"> 55“ předložený Komisí dne 14. července 2021 za účelem plnění Zelené dohody pro Evropu,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lastRenderedPageBreak/>
        <w:t>–</w:t>
      </w:r>
      <w:r w:rsidRPr="002641BC">
        <w:rPr>
          <w:lang w:val="cs-CZ"/>
        </w:rPr>
        <w:tab/>
        <w:t>s ohledem na dohodu přijatou dne 12. prosince 2015 na 21. konferenci smluvních stran (COP21) Rámcové úmluvy OSN o změně klimatu v Paříži (Pařížská dohoda),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sdělení Komise ze dne 20. května 2020 s názvem „Strategie EU v oblasti biologické rozmanitosti do roku 2030 Navrácení přírody do našeho života‘‘ (</w:t>
      </w:r>
      <w:proofErr w:type="gramStart"/>
      <w:r w:rsidRPr="002641BC">
        <w:rPr>
          <w:lang w:val="cs-CZ"/>
        </w:rPr>
        <w:t>COM(2020</w:t>
      </w:r>
      <w:proofErr w:type="gramEnd"/>
      <w:r w:rsidRPr="002641BC">
        <w:rPr>
          <w:lang w:val="cs-CZ"/>
        </w:rPr>
        <w:t>)0380),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 směrnici 2007/60/ES ze dne 23. října 2007 o vyhodnocování a zvládání povodňových rizik,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směrnici (EU) 2018/2001 ze dne 11. prosince 2018 o podpoře využívání energie z obnovitelných zdrojů,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sdělení Komise ze dne 23. května 2013 s názvem „Námořní bezpečnost: „Přístavy  jako motor růstu“ (</w:t>
      </w:r>
      <w:proofErr w:type="gramStart"/>
      <w:r w:rsidRPr="002641BC">
        <w:rPr>
          <w:lang w:val="cs-CZ"/>
        </w:rPr>
        <w:t>COM(2013</w:t>
      </w:r>
      <w:proofErr w:type="gramEnd"/>
      <w:r w:rsidRPr="002641BC">
        <w:rPr>
          <w:lang w:val="cs-CZ"/>
        </w:rPr>
        <w:t>)0295),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sdělení Komise ze dne 18. října 2023 o plánu EU pro boj proti obchodu s drogami a organizované trestné činnosti,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akční plán EU: „Vstříc nulovému znečištění ovzduší, vod a půdy“,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směrnici o kvalitě vnějšího ovzduší (2022/0347(COD) [v jednání],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nařízení Evropského parlamentu a Rady (EU) 2023/1804 ze dne 13. září 2023 o zavádění infrastruktury pro alternativní paliva a o zrušení směrnice 2014/94/EU</w:t>
      </w:r>
      <w:r w:rsidRPr="002641BC">
        <w:rPr>
          <w:rStyle w:val="FootnoteReference"/>
          <w:lang w:val="cs-CZ"/>
        </w:rPr>
        <w:footnoteReference w:id="1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nařízení Evropského parlamentu a Rady (EU) 2023/1805 ze dne 13. září 2023 o využívání obnovitelných a nízkouhlíkových paliv v námořní dopravě a o změně směrnice 2009/16/ES</w:t>
      </w:r>
      <w:r w:rsidRPr="002641BC">
        <w:rPr>
          <w:rStyle w:val="FootnoteReference"/>
          <w:lang w:val="cs-CZ"/>
        </w:rPr>
        <w:footnoteReference w:id="2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směrnici Evropského parlamentu a Rady (EU) 2022/2557 ze dne 14. prosince 2022 o odolnosti kritických subjektů a o zrušení směrnice Rady 2008/114/ES</w:t>
      </w:r>
      <w:r w:rsidRPr="002641BC">
        <w:rPr>
          <w:rStyle w:val="FootnoteReference"/>
          <w:lang w:val="cs-CZ"/>
        </w:rPr>
        <w:footnoteReference w:id="3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nařízení Evropského parlamentu a Rady (EU) 2021/1153 ze dne 7. července 2021, kterým se zřizuje Nástroj pro propojení Evropy a zrušují nařízení (EU) č. 1316/2013 a (EU) č. 283/2014</w:t>
      </w:r>
      <w:r w:rsidRPr="002641BC">
        <w:rPr>
          <w:rStyle w:val="FootnoteReference"/>
          <w:lang w:val="cs-CZ"/>
        </w:rPr>
        <w:footnoteReference w:id="4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nařízení Evropského parlamentu a Rady (EU) 2019/452 ze dne 19. března 2019, kterým se stanoví rámec pro prověřování přímých zahraničních investic směřujících do Unie</w:t>
      </w:r>
      <w:r w:rsidRPr="002641BC">
        <w:rPr>
          <w:rStyle w:val="FootnoteReference"/>
          <w:lang w:val="cs-CZ"/>
        </w:rPr>
        <w:footnoteReference w:id="5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nařízení Evropského parlamentu a Rady (EU) 2022/2560 ze dne 14. prosince 2022 o zahraničních subvencích narušujících vnitřní trh</w:t>
      </w:r>
      <w:r w:rsidRPr="002641BC">
        <w:rPr>
          <w:rStyle w:val="FootnoteReference"/>
          <w:lang w:val="cs-CZ"/>
        </w:rPr>
        <w:footnoteReference w:id="6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lastRenderedPageBreak/>
        <w:t>–</w:t>
      </w:r>
      <w:r w:rsidRPr="002641BC">
        <w:rPr>
          <w:lang w:val="cs-CZ"/>
        </w:rPr>
        <w:tab/>
        <w:t>s ohledem na nařízení Evropského parlamentu a Rady (EU) 2017/352 ze dne 15. února 2017, kterým se zřizuje rámec pro poskytování přístavních služeb a stanoví společná pravidla pro finanční transparentnost přístavů</w:t>
      </w:r>
      <w:r w:rsidRPr="002641BC">
        <w:rPr>
          <w:rStyle w:val="FootnoteReference"/>
          <w:lang w:val="cs-CZ"/>
        </w:rPr>
        <w:footnoteReference w:id="7"/>
      </w:r>
      <w:r w:rsidRPr="002641BC">
        <w:rPr>
          <w:lang w:val="cs-CZ"/>
        </w:rPr>
        <w:t>.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nařízení Evropského parlamentu a Rady (EU) č. 1315/2013 ze dne 11. prosince 2013 o hlavních směrech Unie pro rozvoj transevropské dopravní sítě a o zrušení rozhodnutí č. 661/2010/EU</w:t>
      </w:r>
      <w:r w:rsidRPr="002641BC">
        <w:rPr>
          <w:rStyle w:val="FootnoteReference"/>
          <w:lang w:val="cs-CZ"/>
        </w:rPr>
        <w:footnoteReference w:id="8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nařízení Komise (ES) č. 906/2009 ze dne 28. září 2009 o použití čl. 81 odst. 3 Smlouvy na některé kategorie dohod, rozhodnutí a jednání ve vzájemné shodě mezi společnostmi liniové dopravy (konsorcii) a na sdělení Komisi ze dne 10. října 2023, že toto nařízení pozbude platnosti dne 25. dubna 2024,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návrh nařízení Evropského parlamentu a Rady o hlavních směrech Unie pro rozvoj transevropské dopravní sítě, o změně nařízení (EU) 2021/1153 a nařízení (EU) č. 913/2010 a o zrušení nařízení (EU) č. 1315/2013 (</w:t>
      </w:r>
      <w:proofErr w:type="gramStart"/>
      <w:r w:rsidRPr="002641BC">
        <w:rPr>
          <w:lang w:val="cs-CZ"/>
        </w:rPr>
        <w:t>COM(2021</w:t>
      </w:r>
      <w:proofErr w:type="gramEnd"/>
      <w:r w:rsidRPr="002641BC">
        <w:rPr>
          <w:lang w:val="cs-CZ"/>
        </w:rPr>
        <w:t>)0812),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své usnesení ze dne 16. září 2021 o nové strategii EU-Čína</w:t>
      </w:r>
      <w:r w:rsidRPr="002641BC">
        <w:rPr>
          <w:rStyle w:val="FootnoteReference"/>
          <w:lang w:val="cs-CZ"/>
        </w:rPr>
        <w:footnoteReference w:id="9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své usnesení ze dne 27. dubna 2021 o technických a provozních opatřeních pro účinnější a čistší námořní dopravu</w:t>
      </w:r>
      <w:r w:rsidRPr="002641BC">
        <w:rPr>
          <w:rStyle w:val="FootnoteReference"/>
          <w:lang w:val="cs-CZ"/>
        </w:rPr>
        <w:footnoteReference w:id="10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své usnesení ze dne 12. března 2019 o bezpečnostních hrozbách souvisejících se zvyšující se technologickou přítomností Číny v EU a o případných opatřeních na úrovni EU za účelem jejich omezení</w:t>
      </w:r>
      <w:r w:rsidRPr="002641BC">
        <w:rPr>
          <w:rStyle w:val="FootnoteReference"/>
          <w:lang w:val="cs-CZ"/>
        </w:rPr>
        <w:footnoteReference w:id="11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studii ze září 2023 s názvem „</w:t>
      </w:r>
      <w:proofErr w:type="spellStart"/>
      <w:r w:rsidRPr="002641BC">
        <w:rPr>
          <w:lang w:val="cs-CZ"/>
        </w:rPr>
        <w:t>Chinese</w:t>
      </w:r>
      <w:proofErr w:type="spellEnd"/>
      <w:r w:rsidRPr="002641BC">
        <w:rPr>
          <w:lang w:val="cs-CZ"/>
        </w:rPr>
        <w:t xml:space="preserve"> </w:t>
      </w:r>
      <w:proofErr w:type="spellStart"/>
      <w:r w:rsidRPr="002641BC">
        <w:rPr>
          <w:lang w:val="cs-CZ"/>
        </w:rPr>
        <w:t>Investments</w:t>
      </w:r>
      <w:proofErr w:type="spellEnd"/>
      <w:r w:rsidRPr="002641BC">
        <w:rPr>
          <w:lang w:val="cs-CZ"/>
        </w:rPr>
        <w:t xml:space="preserve"> in </w:t>
      </w:r>
      <w:proofErr w:type="spellStart"/>
      <w:r w:rsidRPr="002641BC">
        <w:rPr>
          <w:lang w:val="cs-CZ"/>
        </w:rPr>
        <w:t>European</w:t>
      </w:r>
      <w:proofErr w:type="spellEnd"/>
      <w:r w:rsidRPr="002641BC">
        <w:rPr>
          <w:lang w:val="cs-CZ"/>
        </w:rPr>
        <w:t xml:space="preserve"> </w:t>
      </w:r>
      <w:proofErr w:type="spellStart"/>
      <w:r w:rsidRPr="002641BC">
        <w:rPr>
          <w:lang w:val="cs-CZ"/>
        </w:rPr>
        <w:t>Maritime</w:t>
      </w:r>
      <w:proofErr w:type="spellEnd"/>
      <w:r w:rsidRPr="002641BC">
        <w:rPr>
          <w:lang w:val="cs-CZ"/>
        </w:rPr>
        <w:t xml:space="preserve"> </w:t>
      </w:r>
      <w:proofErr w:type="spellStart"/>
      <w:r w:rsidRPr="002641BC">
        <w:rPr>
          <w:lang w:val="cs-CZ"/>
        </w:rPr>
        <w:t>Infrastructure</w:t>
      </w:r>
      <w:proofErr w:type="spellEnd"/>
      <w:r w:rsidRPr="002641BC">
        <w:rPr>
          <w:lang w:val="cs-CZ"/>
        </w:rPr>
        <w:t>“ (Čínské investice do evropské námořní infrastruktury), jejíž vypracování zadal Výbor pro dopravu a cestovní ruch</w:t>
      </w:r>
      <w:r w:rsidRPr="002641BC">
        <w:rPr>
          <w:rStyle w:val="FootnoteReference"/>
          <w:lang w:val="cs-CZ"/>
        </w:rPr>
        <w:footnoteReference w:id="12"/>
      </w:r>
      <w:r w:rsidRPr="002641BC">
        <w:rPr>
          <w:lang w:val="cs-CZ"/>
        </w:rPr>
        <w:t>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 ohledem na článek 54 jednacího řádu,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stanovisko Výboru pro mezinárodní obchod,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–</w:t>
      </w:r>
      <w:r w:rsidRPr="002641BC">
        <w:rPr>
          <w:lang w:val="cs-CZ"/>
        </w:rPr>
        <w:tab/>
        <w:t>s ohledem na zprávu Výboru pro dopravu a cestovní ruch (A9-0443/2023),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A.</w:t>
      </w:r>
      <w:r w:rsidRPr="002641BC">
        <w:rPr>
          <w:lang w:val="cs-CZ"/>
        </w:rPr>
        <w:tab/>
        <w:t>vzhledem k tomu, že naše přístavy jsou vstupními branami EU do světa a jako takové hrají klíčovou úlohu v jejím hospodářství, neboť poskytují bohatství a pracovní místa tím, že usnadňují vnější obchod, vytvářejí spojení s vnitrozemím a zajišťují růst tzv. modré ekonomiky a průmyslové výroby, transformaci energetiky a bezpečnost dodávek energie, jakož i strategickou autonomii EU;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lastRenderedPageBreak/>
        <w:t>B.</w:t>
      </w:r>
      <w:r w:rsidRPr="002641BC">
        <w:rPr>
          <w:lang w:val="cs-CZ"/>
        </w:rPr>
        <w:tab/>
        <w:t>vzhledem k tomu, že přístavy poskytují životně důležitou veřejnou službu, za kterou by měly být uznávány a oceňovány;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C.</w:t>
      </w:r>
      <w:r w:rsidRPr="002641BC">
        <w:rPr>
          <w:lang w:val="cs-CZ"/>
        </w:rPr>
        <w:tab/>
        <w:t xml:space="preserve">vzhledem k tomu, že ačkoli je hospodářská soutěž mezi přístavy přínosná, je třeba se vyhnout soupeření o nejnižší úroveň mezi přístavy za cenu bezpečnosti, zvýšeného politického vlivu nebo zahraniční kontroly prostřednictvím investic </w:t>
      </w:r>
      <w:proofErr w:type="spellStart"/>
      <w:r w:rsidRPr="002641BC">
        <w:rPr>
          <w:lang w:val="cs-CZ"/>
        </w:rPr>
        <w:t>mimounijních</w:t>
      </w:r>
      <w:proofErr w:type="spellEnd"/>
      <w:r w:rsidRPr="002641BC">
        <w:rPr>
          <w:lang w:val="cs-CZ"/>
        </w:rPr>
        <w:t xml:space="preserve"> subjektů, zejména státem vlastněných, kontrolovaných nebo ovlivněných podniků;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D.</w:t>
      </w:r>
      <w:r w:rsidRPr="002641BC">
        <w:rPr>
          <w:lang w:val="cs-CZ"/>
        </w:rPr>
        <w:tab/>
        <w:t xml:space="preserve">vzhledem k tomu, že </w:t>
      </w:r>
      <w:proofErr w:type="spellStart"/>
      <w:r w:rsidRPr="002641BC">
        <w:rPr>
          <w:lang w:val="cs-CZ"/>
        </w:rPr>
        <w:t>mimounijní</w:t>
      </w:r>
      <w:proofErr w:type="spellEnd"/>
      <w:r w:rsidRPr="002641BC">
        <w:rPr>
          <w:lang w:val="cs-CZ"/>
        </w:rPr>
        <w:t xml:space="preserve"> státní podniky nebo podniky přímo či nepřímo kontrolované cizími státy strategicky navýšily své finanční a provozní podíly v evropských přístavech, terminálech, společnostech a přístavní infrastruktuře;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E.</w:t>
      </w:r>
      <w:r w:rsidRPr="002641BC">
        <w:rPr>
          <w:lang w:val="cs-CZ"/>
        </w:rPr>
        <w:tab/>
        <w:t>vzhledem k tomu, že Evropská unie zdůraznila svou touhu po větší autonomii ve strategických odvětvích, ale učinila jen málo pro to, aby reagovala na vzestup Číny v námořním odvětví a na jeho bezpečnostní dopady;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F.</w:t>
      </w:r>
      <w:r w:rsidRPr="002641BC">
        <w:rPr>
          <w:lang w:val="cs-CZ"/>
        </w:rPr>
        <w:tab/>
        <w:t>vzhledem k tomu, že přístavy jsou velmi složitým prostředím s mnoha různými zúčastněnými stranami a rozdílnými zájmy, což z rozpoznání a posouzení rizik cizího vlivu činí obtížný, ale zásadní úkol;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G.</w:t>
      </w:r>
      <w:r w:rsidRPr="002641BC">
        <w:rPr>
          <w:lang w:val="cs-CZ"/>
        </w:rPr>
        <w:tab/>
        <w:t xml:space="preserve">vzhledem k tomu, že ruská útočná válka proti Ukrajině odhalila nepřijatelná rizika závislosti na jednotlivých </w:t>
      </w:r>
      <w:proofErr w:type="spellStart"/>
      <w:r w:rsidRPr="002641BC">
        <w:rPr>
          <w:lang w:val="cs-CZ"/>
        </w:rPr>
        <w:t>mimounijních</w:t>
      </w:r>
      <w:proofErr w:type="spellEnd"/>
      <w:r w:rsidRPr="002641BC">
        <w:rPr>
          <w:lang w:val="cs-CZ"/>
        </w:rPr>
        <w:t xml:space="preserve"> zemích ve strategických odvětvích, jakož i zásadní potřebu posílit bezpečnost a odolnost námořní infrastruktury a hodnotových řetězců s cílem zajistit tok životně důležitého zboží;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H.</w:t>
      </w:r>
      <w:r w:rsidRPr="002641BC">
        <w:rPr>
          <w:lang w:val="cs-CZ"/>
        </w:rPr>
        <w:tab/>
        <w:t>vzhledem k tomu, že přístavy získaly nový význam z vojenského a obranného hlediska, včetně dvojího využití přístavní infrastruktury;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I.</w:t>
      </w:r>
      <w:r w:rsidRPr="002641BC">
        <w:rPr>
          <w:lang w:val="cs-CZ"/>
        </w:rPr>
        <w:tab/>
        <w:t>vzhledem k tomu, že evropské přístavy často soutěží s přístavy třetích zemí, v nichž zahraniční investice třetích zemí dále prohlubují nerovné podmínky, pokud jde o konkurenceschopnost a dodržování norem udržitelnosti, práv pracovníků a fiskální zátěže;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J.</w:t>
      </w:r>
      <w:r w:rsidRPr="002641BC">
        <w:rPr>
          <w:lang w:val="cs-CZ"/>
        </w:rPr>
        <w:tab/>
        <w:t>vzhledem k tomu, že zvláštní pozornost by měla být věnována negativním dopadům vyhýbání se povinnostem, ke kterému dochází prostřednictvím přemisťování překládkových činností do přístavů mimo EU, a to jak z hlediska oslabení konkurenceschopnosti unijních přístavů, tak z hlediska zvýšení úniku uhlíku;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K.</w:t>
      </w:r>
      <w:r w:rsidRPr="002641BC">
        <w:rPr>
          <w:lang w:val="cs-CZ"/>
        </w:rPr>
        <w:tab/>
        <w:t>vzhledem k tomu, že přístavy hrají nepostradatelnou úlohu při řešení krizí v EU tím, že zajišťují kontinuitu dodavatelských řetězců a umožňují vytváření alternativních tras, včetně alternativních tras pro poskytování zkapalněného zemního plynu (LNG) v krátké lhůtě a zvýšení zásob plynu v Evropě;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L.</w:t>
      </w:r>
      <w:r w:rsidRPr="002641BC">
        <w:rPr>
          <w:lang w:val="cs-CZ"/>
        </w:rPr>
        <w:tab/>
        <w:t>vzhledem k tomu, že v nejvzdálenějších regionech a na ostrovech jsou přístavy často životně důležité, neboť slouží jako hlavní sociální a hospodářské spojení se zbytkem EU;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M.</w:t>
      </w:r>
      <w:r w:rsidRPr="002641BC">
        <w:rPr>
          <w:lang w:val="cs-CZ"/>
        </w:rPr>
        <w:tab/>
        <w:t>vzhledem k tomu, že přístavy mají zásadní význam pro dekarbonizaci vodní dopravy, a to s ohledem na Zelenou dohodu pro Evropu, cíle v oblasti snižování znečištění a zásadní úlohu energie z obnovitelných zdrojů na moři; vzhledem k tomu, že je důležité snížit znečištění ovzduší z lodí v přístavních oblastech, včetně emisí černého uhlíku;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lastRenderedPageBreak/>
        <w:t>N.</w:t>
      </w:r>
      <w:r w:rsidRPr="002641BC">
        <w:rPr>
          <w:lang w:val="cs-CZ"/>
        </w:rPr>
        <w:tab/>
        <w:t>vzhledem k tomu, že přístavní oblasti a činnosti v nich budou v celé EU zranitelné vůči vzestupu hladiny moří;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O.</w:t>
      </w:r>
      <w:r w:rsidRPr="002641BC">
        <w:rPr>
          <w:lang w:val="cs-CZ"/>
        </w:rPr>
        <w:tab/>
        <w:t>vzhledem k tomu, že přístavy slučují a zajišťují různé pobřežní činnosti ve prospěch občanů, pobřežních komunit a mořského prostředí tím, že pomáhají udržovat pobřežní stanoviště a zlepšovat kvalitu ovzduší v aglomeracích v okolí přístavů;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P.</w:t>
      </w:r>
      <w:r w:rsidRPr="002641BC">
        <w:rPr>
          <w:lang w:val="cs-CZ"/>
        </w:rPr>
        <w:tab/>
        <w:t xml:space="preserve">vzhledem k tomu, že lepší plánování logistiky mezi přístavy a zákazníky, včetně lodních linek, by mohlo zabránit zbytečnému provozu na silnicích v celé Evropě; vzhledem k tomu, že intenzivnější spolupráce mezi přístavy s cílem prohloubit </w:t>
      </w:r>
      <w:proofErr w:type="spellStart"/>
      <w:r w:rsidRPr="002641BC">
        <w:rPr>
          <w:lang w:val="cs-CZ"/>
        </w:rPr>
        <w:t>vnitroregionální</w:t>
      </w:r>
      <w:proofErr w:type="spellEnd"/>
      <w:r w:rsidRPr="002641BC">
        <w:rPr>
          <w:lang w:val="cs-CZ"/>
        </w:rPr>
        <w:t xml:space="preserve"> propojení a zkrátit trasy by mohla vést k efektivnějším investicím do přístavní infrastruktury, k odolnějším dovozním/vývozním trasám a k účinnějšímu využívání zdrojů, veřejných i soukromých finančních prostředků a nedostatečně upotřebených kapacit;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Q.</w:t>
      </w:r>
      <w:r w:rsidRPr="002641BC">
        <w:rPr>
          <w:lang w:val="cs-CZ"/>
        </w:rPr>
        <w:tab/>
        <w:t>vzhledem k tomu, že přístavy jsou součástí širšího vodního ekosystému zahrnujícího širokou škálu činností, včetně lodní dopravy, stavby lodí, výroby námořního vybavení, vnitrozemské plavby a logistiky;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R.</w:t>
      </w:r>
      <w:r w:rsidRPr="002641BC">
        <w:rPr>
          <w:lang w:val="cs-CZ"/>
        </w:rPr>
        <w:tab/>
        <w:t>vzhledem k tomu, že zjevná potřeba multidisciplinárního a komplexního přístupu k evropským přístavům nebyla Komisí promítnuta do konkrétních opatření, což vedlo k nesourodé směsici předpisů týkajících se přístavů, která se v průběhu času navršila;</w:t>
      </w:r>
    </w:p>
    <w:p w:rsidR="006A3ECA" w:rsidRPr="002641BC" w:rsidRDefault="006A3ECA" w:rsidP="006A3ECA">
      <w:pPr>
        <w:pStyle w:val="Normal12a24b"/>
        <w:rPr>
          <w:lang w:val="cs-CZ"/>
        </w:rPr>
      </w:pPr>
      <w:r w:rsidRPr="002641BC">
        <w:rPr>
          <w:rStyle w:val="BoldItalic"/>
          <w:lang w:val="cs-CZ"/>
        </w:rPr>
        <w:t>Zahraniční vliv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1.</w:t>
      </w:r>
      <w:r w:rsidRPr="002641BC">
        <w:rPr>
          <w:lang w:val="cs-CZ"/>
        </w:rPr>
        <w:tab/>
        <w:t>upozorňuje na opakovaná varování zpravodajských služeb před riziky hospodářské závislosti, špionáže a sabotáže způsobenými ekonomickou přítomností a provozním zapojením subjektů ze zemí mimo EU do naší kritické infrastruktury a strategických odvětví, jako jsou přístavy</w:t>
      </w:r>
      <w:r w:rsidRPr="002641BC">
        <w:rPr>
          <w:rStyle w:val="FootnoteReference"/>
          <w:lang w:val="cs-CZ"/>
        </w:rPr>
        <w:footnoteReference w:id="13"/>
      </w:r>
      <w:r w:rsidRPr="002641BC">
        <w:rPr>
          <w:lang w:val="cs-CZ"/>
        </w:rPr>
        <w:t>, včetně činnosti zahraničních plavidel;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2.</w:t>
      </w:r>
      <w:r w:rsidRPr="002641BC">
        <w:rPr>
          <w:lang w:val="cs-CZ"/>
        </w:rPr>
        <w:tab/>
        <w:t>vyzývá Komisi, aby předložila strategický politický rámec EU s cílem snížit a omezit vliv, stejně jako finanční a provozní kontrolu přístavů EU a jejich provozu a operací ve spojení s vnitrozemím, které vykonávají třetí země, včetně případů účasti a kontroly ve správě přístavu, a to v duchu nalezení rovnováhy mezi udržováním otevřeného investičního prostředí a zmírňováním rizik; vyzývá Komisi a členské státy, aby rovněž sledovaly zapojení třetích zemí do přístavů sousedních zemí v rámci evropské politiky sousedství a politiky rozšíření;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3.</w:t>
      </w:r>
      <w:r w:rsidRPr="002641BC">
        <w:rPr>
          <w:lang w:val="cs-CZ"/>
        </w:rPr>
        <w:tab/>
        <w:t xml:space="preserve">vyzývá Komisi, aby společně s členskými státy navrhla rámec pro průběžné monitorování a podávání zpráv o vlivu třetích zemí v přístavech EU, zejména v přístavech sítě TEN-T, správě terminálů EU a celosvětové kontejnerové dopravě, a aby posoudila možné vazby mezi opatřeními dané </w:t>
      </w:r>
      <w:proofErr w:type="spellStart"/>
      <w:r w:rsidRPr="002641BC">
        <w:rPr>
          <w:lang w:val="cs-CZ"/>
        </w:rPr>
        <w:t>mimounijní</w:t>
      </w:r>
      <w:proofErr w:type="spellEnd"/>
      <w:r w:rsidRPr="002641BC">
        <w:rPr>
          <w:lang w:val="cs-CZ"/>
        </w:rPr>
        <w:t xml:space="preserve"> země v těchto odvětvích;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4.</w:t>
      </w:r>
      <w:r w:rsidRPr="002641BC">
        <w:rPr>
          <w:lang w:val="cs-CZ"/>
        </w:rPr>
        <w:tab/>
        <w:t xml:space="preserve">zdůrazňuje, že omezení zahraničních investic, zejména státem ovládaných nebo ovlivněných podniků, v jednotlivých přístavech v jednom členském státě může negativně ovlivnit konkurenční postavení tohoto přístavu ve vztahu k přístavům v sousedních zemích, které tato omezení nemají, což zdůrazňuje potřebu společné evropské strategie pro přístavy; domnívá se, že asymetrické rozdělení zahraničních investic mezi zeměmi EU může ohrozit jednotu, kapacity krizového řízení a odolnost </w:t>
      </w:r>
      <w:r w:rsidRPr="002641BC">
        <w:rPr>
          <w:lang w:val="cs-CZ"/>
        </w:rPr>
        <w:lastRenderedPageBreak/>
        <w:t>Unie; žádá Komisi, aby analyzovala možný dopad omezení investic ze zemí mimo EU do evropských přístavů na zaměstnanost a obchod na místní a unijní úrovni;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5.</w:t>
      </w:r>
      <w:r w:rsidRPr="002641BC">
        <w:rPr>
          <w:lang w:val="cs-CZ"/>
        </w:rPr>
        <w:tab/>
        <w:t>vybízí vnitrostátní přístavní orgány, členské státy a Komisi, aby vytvořily vhodný formát pro strategickou spolupráci mezi evropskými přístavy s cílem minimalizovat riziko, že budou vnějšími aktéry postaveny proti sobě navzájem;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6.</w:t>
      </w:r>
      <w:r w:rsidRPr="002641BC">
        <w:rPr>
          <w:lang w:val="cs-CZ"/>
        </w:rPr>
        <w:tab/>
        <w:t>zdůrazňuje, že navzdory existenci ochranných mechanismů na úrovni EU, jako je prověřování přímých zahraničních investic a pravidla hospodářské soutěže, nejsou tyto nástroje dostatečné k reakci na hospodářskou sílu vnějších aktérů, která roste prostřednictvím jednotlivých společností, včetně podniků, které vlastní stát nebo nad kterými má kontrolu či vliv, a jsou do značné míry závislé na provádění jednotlivými členskými státy;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7.</w:t>
      </w:r>
      <w:r w:rsidRPr="002641BC">
        <w:rPr>
          <w:lang w:val="cs-CZ"/>
        </w:rPr>
        <w:tab/>
        <w:t>zdůrazňuje, že je důležité posílit spolupráci EU při prověřování a blokování příchozích investic do kritické infrastruktury v případech, kdy nelze vyloučit závažné negativní dopady na jiné členské státy nebo EU jako celek, a že tato spolupráce by měla zahrnovat sdílení informací o hrozbách a příležitostech;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8.</w:t>
      </w:r>
      <w:r w:rsidRPr="002641BC">
        <w:rPr>
          <w:lang w:val="cs-CZ"/>
        </w:rPr>
        <w:tab/>
        <w:t>důrazně vybízí Komisi, aby posílila úlohu ochranných opatření pro přístavy prostřednictvím ambiciózní revize nařízení o prověřování přímých zahraničních investic</w:t>
      </w:r>
      <w:r w:rsidRPr="002641BC">
        <w:rPr>
          <w:rStyle w:val="FootnoteReference"/>
          <w:lang w:val="cs-CZ"/>
        </w:rPr>
        <w:footnoteReference w:id="14"/>
      </w:r>
      <w:r w:rsidRPr="002641BC">
        <w:rPr>
          <w:lang w:val="cs-CZ"/>
        </w:rPr>
        <w:t>, mimo jiné zavedením povinného systému prověřování těchto investic ve všech členských státech a zajištěním toho, aby postupy prověřování byly jasné a objektivní a aby definice, oblast působnosti a procedurální aspekty byly ve všech členských státech jednotné, aby tak byly zajištěny rovné podmínky v celé EU;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9.</w:t>
      </w:r>
      <w:r w:rsidRPr="002641BC">
        <w:rPr>
          <w:lang w:val="cs-CZ"/>
        </w:rPr>
        <w:tab/>
      </w:r>
      <w:r w:rsidR="009A6330" w:rsidRPr="003E4953">
        <w:rPr>
          <w:lang w:val="cs-CZ"/>
        </w:rPr>
        <w:t>zdůrazňuje rovněž zásadní význam mechanismu uvedeného v článku [47] revidovaného nařízení o TEN-T [xxx/2024], který ukládá, aby členské státy prověřovaly investice třetích zemí do infrastruktury TEN-T s ohledem na jejich potenciální rizika pro bezpečnost nebo veřejný pořádek, což je třeba považovat za doplněk ustanovení nařízení o prověřování přímých zahraničních investic, neboť tento mechanismus se vztahuje jak na investice do infrastruktury (např. nabývání podílů v terminálu), tak na práce na infrastruktuře prováděné v EU společností ze třetí země (např. při zadávání veřejných zakázek na výstavbu terminálu v evropském přístavu), a zdůrazňuje, že jeho účinné uplatnění na dotyčnou přístavní infrastrukturu by mělo být jádrem evropské strategie pro přístavy;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10.</w:t>
      </w:r>
      <w:r w:rsidRPr="002641BC">
        <w:rPr>
          <w:lang w:val="cs-CZ"/>
        </w:rPr>
        <w:tab/>
        <w:t>zdůrazňuje, že je důležité sledovat provádění nařízení (EU) 2022/2560 o zahraničních subvencích narušujících vnitřní trh; vyzývá Komisi, aby pečlivě sledovala trh v odvětví přístavů a v případě potřeby zasáhla z moci úřední, jak je stanoveno v článku 9 uvedeného nařízení;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11.</w:t>
      </w:r>
      <w:r w:rsidRPr="002641BC">
        <w:rPr>
          <w:lang w:val="cs-CZ"/>
        </w:rPr>
        <w:tab/>
        <w:t xml:space="preserve">vyzývá Komisi, aby prozkoumala a posoudila dopad vertikální integrace námořní logistiky, nařízení o blokových výjimkách pro konsorcia, jehož platnost má skončit v roce 2024, a vytvoření aliancí kontejnerové lodní dopravy na vliv třetích zemí v přístavech EU; vyzývá Komisi, aby v případě potřeby zasáhla s cílem zajistit </w:t>
      </w:r>
      <w:r w:rsidRPr="002641BC">
        <w:rPr>
          <w:lang w:val="cs-CZ"/>
        </w:rPr>
        <w:lastRenderedPageBreak/>
        <w:t>spravedlivou hospodářskou soutěž, férovou rovnováhu sil a rovné podmínky pro všechny aktéry v přístavním ekosystému;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12.</w:t>
      </w:r>
      <w:r w:rsidRPr="002641BC">
        <w:rPr>
          <w:lang w:val="cs-CZ"/>
        </w:rPr>
        <w:tab/>
        <w:t>zdůrazňuje, že zejména souhrnná přítomnost podniků pod kontrolou nebo vlivem čínského státu v přístavech a uzlech sítě TEN-T má významné důsledky pro odolnost a bezpečnost jednotlivých uzlů i sítě jako celku; připomíná, že přítomnost investorů ze třetích zemí v přístavech může bránit úloze dvojího užití těchto přístavů;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13.</w:t>
      </w:r>
      <w:r w:rsidRPr="002641BC">
        <w:rPr>
          <w:lang w:val="cs-CZ"/>
        </w:rPr>
        <w:tab/>
        <w:t>vyzývá Komisi a členské státy, aby urychleně provedly posouzení rizik zapojení Číny do námořních infrastruktur, které zahrne dopad na pracovní sílu a životní prostředí, vazby a posouzení překážek v přepravě zboží z Číny do EU a při překládkách, a aby toto posouzení zahrnovalo i další země mimo EU;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14.</w:t>
      </w:r>
      <w:r w:rsidRPr="002641BC">
        <w:rPr>
          <w:lang w:val="cs-CZ"/>
        </w:rPr>
        <w:tab/>
        <w:t>připomíná, že námořní a přístavní odvětví v Evropě se vyznačují nesourodností správních struktur a že jde o různé prostředky umožňující investice, od licenčních a koncesních režimů přes udělování vlastnictví přístavní infrastruktury až po plnou provozní kontrolu přístavní správy; v této souvislosti zdůrazňuje, že je důležité, aby řídící orgány přístavu přijaly opatření ke zmírnění rizik s cílem zajistit kontrolu stanovením více podmínek (provozních, sociálních, environmentálních atd.), za nichž by měl být daný terminál provozován; zdůrazňuje však hranice přístupu založeného výhradně na přístavních koncesích nebo nájemních smlouvách;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15.</w:t>
      </w:r>
      <w:r w:rsidRPr="002641BC">
        <w:rPr>
          <w:lang w:val="cs-CZ"/>
        </w:rPr>
        <w:tab/>
        <w:t>navrhuje, aby všechny členské státy zavedly právní předpisy a vypracovaly pohotovostní plány pro případ závažného konfliktu nebo jiného nouzového stavu nebo pro případy jasného zneužití či dvojího využití kritické infrastruktury s negativními dopady na bezpečnost nebo veřejný pořádek, aby tak mohly znovu převzít kontrolu nad přístavy, terminály a další námořní infrastrukturou, včetně zrušení koncesních práv nebo pozastavení vlastnických a účastenských práv;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16.</w:t>
      </w:r>
      <w:r w:rsidRPr="002641BC">
        <w:rPr>
          <w:lang w:val="cs-CZ"/>
        </w:rPr>
        <w:tab/>
        <w:t>vyzývá k významnému veřejnému a soukromému investování do přístavů nacházejících se v zámořských oblastech a nejvzdálenějších regionech, aby se tato místa stala strategickými klastry pro multimodální dopravu, výrobu, skladování a distribuci energie, jakož i pro obranu; vyzývá Komisi, aby do svého návrhu zahrnula ustanovení o omezení vlivu a provozní kontroly ze strany třetích zemí v těchto přístavech;</w:t>
      </w:r>
    </w:p>
    <w:p w:rsidR="006A3ECA" w:rsidRPr="002641BC" w:rsidRDefault="006A3ECA" w:rsidP="006A3ECA">
      <w:pPr>
        <w:pStyle w:val="Normal12a24b"/>
        <w:rPr>
          <w:lang w:val="cs-CZ"/>
        </w:rPr>
      </w:pPr>
      <w:r w:rsidRPr="002641BC">
        <w:rPr>
          <w:rStyle w:val="BoldItalic"/>
          <w:lang w:val="cs-CZ"/>
        </w:rPr>
        <w:t>Bezpečnost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17.</w:t>
      </w:r>
      <w:r w:rsidRPr="002641BC">
        <w:rPr>
          <w:lang w:val="cs-CZ"/>
        </w:rPr>
        <w:tab/>
        <w:t>vyzývá Komisi a členské státy, aby se konkrétně zabývaly potřebou snížit rizika špionáže a sabotáže v přístavech, které mají dvojí nebo vojenskou funkci, jako jsou přístavy využívané NATO, a to i prostřednictvím zahraničních plavidel, a předcházet jim;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18.</w:t>
      </w:r>
      <w:r w:rsidRPr="002641BC">
        <w:rPr>
          <w:lang w:val="cs-CZ"/>
        </w:rPr>
        <w:tab/>
        <w:t>vyzývá Komisi a členské státy, aby se zabývaly využíváním důvěryhodných technologií v námořní logistice a ve fungování kontejnerových terminálů; vyjadřuje znepokojení nad rostoucí závislostí na výrobcích ze zemí mimo EU při nákupu (pohraničního) bezpečnostního zařízení v přístavech, jakož i přístavních jeřábů pro vykládku zboží, které jsou schopny shromažďovat údaje o původu a místě určení kontejnerů; podporuje investice do výzkumu a vývoje v těchto oblastech, aby podniky EU převzaly vedoucí postavení ve výrobě a prodeji těchto technologií;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lastRenderedPageBreak/>
        <w:t>19.</w:t>
      </w:r>
      <w:r w:rsidRPr="002641BC">
        <w:rPr>
          <w:lang w:val="cs-CZ"/>
        </w:rPr>
        <w:tab/>
        <w:t>domnívá se, že složité a vysoce digitalizované logistické operace vedou ke zvýšené zranitelnosti vůči přerušení celých logistických řetězců; žádá proto, aby byl omezen a monitorován přístup zahraničních subjektů vlastněných nebo ovlivňovaných státem k přístavním operacím a informacím;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20.</w:t>
      </w:r>
      <w:r w:rsidRPr="002641BC">
        <w:rPr>
          <w:lang w:val="cs-CZ"/>
        </w:rPr>
        <w:tab/>
        <w:t>vyzývá Komisi, aby věnovala zvláštní pozornost hrozbě, kterou mohou zahraniční investice představovat pro duševní vlastnictví, zejména prostřednictvím nuceného převodu technologií;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21.</w:t>
      </w:r>
      <w:r w:rsidRPr="002641BC">
        <w:rPr>
          <w:lang w:val="cs-CZ"/>
        </w:rPr>
        <w:tab/>
        <w:t>zdůrazňuje, že vysoká úroveň kybernetické bezpečnosti a odolnosti všech aktérů v našich přístavech má zásadní význam pro předcházení špionáži a vážnému narušení přístavních systémů a operací, přičemž riziko kybernetických hrozeb se v posledních letech výrazně zvýšilo; žádá Komisi, aby provedla další výzkum a shromažďovala údaje o pokrytí a rizicích zapojení společností ze zemí mimo EU do kybernetické bezpečnosti a do otázek bezpečnosti údajů v kritické infrastruktuře a aby podpořila vypracování komplexních pohotovostních plánů pro přístavy s technickou a provozní podporou Evropské agentury pro námořní bezpečnost; domnívá se, že riziko přesahu negativních vedlejších účinků nedostatečné kybernetické bezpečnosti z jednoho přístavu na druhý je vysoké, a proto by všechny členské státy měly uplatňovat přísné standardy a mělo by se doporučit sdílení osvědčených postupů a zkušeností;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22.</w:t>
      </w:r>
      <w:r w:rsidRPr="002641BC">
        <w:rPr>
          <w:lang w:val="cs-CZ"/>
        </w:rPr>
        <w:tab/>
        <w:t>zdůrazňuje rostoucí význam ochrany kritické infrastruktury na moři a pod vodou (včetně energetických potrubí, komunikačních sítí a zařízení na výrobu energie z obnovitelných zdrojů na moři) pro bezpečnost a zabezpečení vod a operací EU;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23.</w:t>
      </w:r>
      <w:r w:rsidRPr="002641BC">
        <w:rPr>
          <w:lang w:val="cs-CZ"/>
        </w:rPr>
        <w:tab/>
        <w:t>zdůrazňuje, že zatímco sdílení údajů v logistice přispívá k účinnosti, reaktivitě a odolnosti dodavatelských řetězců, využívání platforem kontrolovaných nebo ovlivňovaných státy mimo EU v přístavech představuje pro EU hospodářská a strategická rizika a mělo by se mu zabránit;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24.</w:t>
      </w:r>
      <w:r w:rsidRPr="002641BC">
        <w:rPr>
          <w:lang w:val="cs-CZ"/>
        </w:rPr>
        <w:tab/>
        <w:t>vyjadřuje politování nad tím, že zločinecké organizace zneužívají přístavy EU jako klíčové vstupní body pro nelegální drogy, což má dopad na společnost jako celek a ohrožuje bezpečnost přístavů, blízkých měst a jejich obyvatel; vyzývá Komisi, aby předložila opatření pro účinnou evropskou spolupráci v boji proti obchodu s drogami, jejich získávání a podvratné trestné činnosti; vítá v tomto ohledu plán Komise pro boj proti obchodu s drogami a organizované trestné činnosti ze dne 18. října 2023 a zdůrazňuje potřebu koordinovaného přístupu EU k boji proti všem druhům nadnárodní organizované trestné činnosti;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25.</w:t>
      </w:r>
      <w:r w:rsidRPr="002641BC">
        <w:rPr>
          <w:lang w:val="cs-CZ"/>
        </w:rPr>
        <w:tab/>
        <w:t>zdůrazňuje, že evropské přístavy jsou obzvláště vystaveny obchodování s dalšími nelegálními výrobky, jako jsou zbraně nebo padělané zboží, jakož i celním podvodům a podvodům v oblasti DPH, a že je rovněž nezbytné zintenzivnit boj proti těmto činnostem; v této souvislosti zdůrazňuje význam spolupráce mezi řídícími orgány přístavu a donucovacími orgány, a to i při používání digitálních nástrojů a údajů pro zajištění bezpečných a zabezpečených přístavních operací; domnívá se, že tam, kde k tomu existuje dostatečné právní odůvodnění, by měly mít přístavy přístup ke všem nástrojům, které jim pomáhají při zajišťování vlastní bezpečnosti;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26.</w:t>
      </w:r>
      <w:r w:rsidRPr="002641BC">
        <w:rPr>
          <w:lang w:val="cs-CZ"/>
        </w:rPr>
        <w:tab/>
        <w:t xml:space="preserve">zdůrazňuje, že bezpečnost přístavů závisí na jejich odolnosti vůči změnám klimatu a životního prostředí; vyzývá proto Komisi, aby vypracovala studii, která by analyzovala klimatická rizika pro evropské přístavy a související dopravní infrastrukturu a stanovila </w:t>
      </w:r>
      <w:r w:rsidRPr="002641BC">
        <w:rPr>
          <w:lang w:val="cs-CZ"/>
        </w:rPr>
        <w:lastRenderedPageBreak/>
        <w:t>kategorie rizik (např. stoupající hladiny moří, záplavy či extrémní teplo), aby analyzovala rizika podle regionů a aby určila opatření k řešení těchto rizik s uvedením nákladů na tato opatření a potřebných investic; vyzývá členské státy, aby provedly dlouhodobé posouzení environmentálních rizik své kritické přístavní infrastruktury a včas přijaly adaptační opatření;</w:t>
      </w:r>
    </w:p>
    <w:p w:rsidR="006A3ECA" w:rsidRPr="002641BC" w:rsidRDefault="006A3ECA" w:rsidP="006A3ECA">
      <w:pPr>
        <w:pStyle w:val="Normal12a24b"/>
        <w:rPr>
          <w:lang w:val="cs-CZ"/>
        </w:rPr>
      </w:pPr>
      <w:r w:rsidRPr="002641BC">
        <w:rPr>
          <w:rStyle w:val="BoldItalic"/>
          <w:lang w:val="cs-CZ"/>
        </w:rPr>
        <w:t>Úloha přístavů v rámci energetické transformace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27.</w:t>
      </w:r>
      <w:r w:rsidRPr="002641BC">
        <w:rPr>
          <w:lang w:val="cs-CZ"/>
        </w:rPr>
        <w:tab/>
        <w:t>zdůrazňuje, že přístavy mají zásadní úlohu při transformaci energetiky, jak ji stanoví Zelená dohoda pro Evropu, neboť jsou: energetickými uzly pro přeměnu, úpravu a skladování nosičů energie, pro výrobu energie a pro dovoz kritických surovin, uzly pro zachycování a ukládání uhlíku, servisními stanicemi a výrobními uzly pro zařízení na výrobu energie na moři a také uzly v dopravních systémech podporujících energetickou transformaci;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28.</w:t>
      </w:r>
      <w:r w:rsidRPr="002641BC">
        <w:rPr>
          <w:lang w:val="cs-CZ"/>
        </w:rPr>
        <w:tab/>
        <w:t>připomíná, že do roku 2030 chce EU dovézt 10 milionů tun zeleného vodíku a že pro dosažení tohoto cíle je pro evropskou strategii pro přístavy klíčové urychleně vypracovat a zavést komplexní strategii dovozu, koordinace a rozvoje infrastruktury;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29.</w:t>
      </w:r>
      <w:r w:rsidRPr="002641BC">
        <w:rPr>
          <w:lang w:val="cs-CZ"/>
        </w:rPr>
        <w:tab/>
        <w:t xml:space="preserve">vyzývá Komisi a členské státy, aby se zabývaly rostoucí potřebou investic do přístavů a terminálů a do jejich infrastruktury, aby mohly úspěšné hrát svou úlohu při transformaci energetiky; vyzývá Komisi, aby analyzovala a řešila potřebu urychlit povolování rozšiřování přístavů v rámci energetické transformace (jako je např. zavádění větrné energie na moři), aby se přístavy nestaly překážkou této transformace; zdůrazňuje, že je nutné spravovat námořní prostor a pobřeží udržitelnějším způsobem, aby bylo možné využít potenciál obnovitelné energie na moři; podporuje využívání přístavních oblastí pro využití </w:t>
      </w:r>
      <w:proofErr w:type="spellStart"/>
      <w:r w:rsidRPr="002641BC">
        <w:rPr>
          <w:lang w:val="cs-CZ"/>
        </w:rPr>
        <w:t>fotovoltaické</w:t>
      </w:r>
      <w:proofErr w:type="spellEnd"/>
      <w:r w:rsidRPr="002641BC">
        <w:rPr>
          <w:lang w:val="cs-CZ"/>
        </w:rPr>
        <w:t xml:space="preserve"> a větrné energie;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30.</w:t>
      </w:r>
      <w:r w:rsidRPr="002641BC">
        <w:rPr>
          <w:lang w:val="cs-CZ"/>
        </w:rPr>
        <w:tab/>
        <w:t>zdůrazňuje, že je důležité posílit součinnost mezi transevropskou dopravní sítí a transevropskou energetickou sítí;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31.</w:t>
      </w:r>
      <w:r w:rsidRPr="002641BC">
        <w:rPr>
          <w:lang w:val="cs-CZ"/>
        </w:rPr>
        <w:tab/>
        <w:t>žádá Komisi, aby do své strategie pro oběhové hospodářství zahrnula přístavy a pomohla členským státům a místním přístavním orgánům tím, že jim poskytne pokyny k realizaci projektů souvisejících s oběhovým hospodářstvím; vyzývá Komisi, aby se zabývala rostoucím problémem ropných skvrn v přístavech a na trasách lodní dopravy;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32.</w:t>
      </w:r>
      <w:r w:rsidRPr="002641BC">
        <w:rPr>
          <w:lang w:val="cs-CZ"/>
        </w:rPr>
        <w:tab/>
        <w:t>žádá Komisi, aby realizovala své ambice v oblasti přechodu na jiný druh dopravy, jak je uvedeno v Zelené dohodě pro Evropu, a řešila zbývající problémy v oblasti vnitrozemských vodních cest a zejména železniční nákladní dopravy, aby se zvýšilo jejich využití v přístavech a zlepšilo se jejich propojení s vnitrozemím;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33.</w:t>
      </w:r>
      <w:r w:rsidRPr="002641BC">
        <w:rPr>
          <w:lang w:val="cs-CZ"/>
        </w:rPr>
        <w:tab/>
        <w:t xml:space="preserve">zdůrazňuje, že energetická transformace v přístavech, loďařském průmyslu a námořním odvětví nebude možná bez kvalifikované pracovní síly a odpovídajícího veřejného a soukromého financování; vyzývá Komisi, aby zajistila školení, vzdělávání a možnosti celoživotního učení, které budou připravovat na budoucí vývoj, a aby podporovala sociální dialog, aby se přístavní pracovníci dostali do centra digitální a zelené transformace a jejich odvětví se stalo atraktivnějším pro ženy; znovu připomíná důležitou společenskou úlohu přístavů, které poskytují mnoho přímých i nepřímých pracovních míst, a zdůrazňuje, že je třeba zajistit spravedlivé a bezpečné pracovní podmínky pro všechny pracovníky v přístavech a na moři; zdůrazňuje, že nedávné krize ukázaly, že námořníci, členové posádek, rybáři a pracovníci v přístavech jsou </w:t>
      </w:r>
      <w:r w:rsidRPr="002641BC">
        <w:rPr>
          <w:lang w:val="cs-CZ"/>
        </w:rPr>
        <w:lastRenderedPageBreak/>
        <w:t>nezbytnými „pracovníky v první linii“ a že jejich dobré životní podmínky jsou klíčové pro to, aby náš svět fungoval i nadále;</w:t>
      </w:r>
    </w:p>
    <w:p w:rsidR="006A3ECA" w:rsidRPr="002641BC" w:rsidRDefault="006A3ECA" w:rsidP="006A3ECA">
      <w:pPr>
        <w:pStyle w:val="Normal12a24b"/>
        <w:rPr>
          <w:lang w:val="cs-CZ"/>
        </w:rPr>
      </w:pPr>
      <w:r w:rsidRPr="002641BC">
        <w:rPr>
          <w:rStyle w:val="BoldItalic"/>
          <w:lang w:val="cs-CZ"/>
        </w:rPr>
        <w:t>Konkurenceschopnost přístavů a společností v EU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34.</w:t>
      </w:r>
      <w:r w:rsidRPr="002641BC">
        <w:rPr>
          <w:lang w:val="cs-CZ"/>
        </w:rPr>
        <w:tab/>
        <w:t>zdůrazňuje, že mezi hlavní priority evropské strategie pro přístavy by měla patřit i konkurenceschopnost přístavů;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35.</w:t>
      </w:r>
      <w:r w:rsidRPr="002641BC">
        <w:rPr>
          <w:lang w:val="cs-CZ"/>
        </w:rPr>
        <w:tab/>
        <w:t>zdůrazňuje, že posílení ekonomického postavení přístavů EU a zlepšení jejich konkurenceschopnosti v globální ekonomice má zásadní význam pro omezení zahraničního vlivu a bezpečnostních rizik, jakož i pro svrchovanost evropského dodavatelského řetězce; domnívá se, že evropská legislativa by proto neměla ohrožovat konkurenceschopnost přístavů EU a způsobovat únik uhlíku a obchodních příležitostí do přístavů mimo EU;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36.</w:t>
      </w:r>
      <w:r w:rsidRPr="002641BC">
        <w:rPr>
          <w:lang w:val="cs-CZ"/>
        </w:rPr>
        <w:tab/>
        <w:t>zdůrazňuje rizika přemístění překládek kontejnerů do přístavů mimo EU s cílem vyhnout se požadavkům směrnice o systému EU pro obchodování s emisemi (ETS)</w:t>
      </w:r>
      <w:r w:rsidRPr="002641BC">
        <w:rPr>
          <w:rStyle w:val="FootnoteReference"/>
          <w:lang w:val="cs-CZ"/>
        </w:rPr>
        <w:footnoteReference w:id="15"/>
      </w:r>
      <w:r w:rsidRPr="002641BC">
        <w:rPr>
          <w:lang w:val="cs-CZ"/>
        </w:rPr>
        <w:t xml:space="preserve"> a nařízení o námořních palivech (</w:t>
      </w:r>
      <w:proofErr w:type="spellStart"/>
      <w:r w:rsidRPr="002641BC">
        <w:rPr>
          <w:lang w:val="cs-CZ"/>
        </w:rPr>
        <w:t>FuelEU</w:t>
      </w:r>
      <w:proofErr w:type="spellEnd"/>
      <w:r w:rsidRPr="002641BC">
        <w:rPr>
          <w:lang w:val="cs-CZ"/>
        </w:rPr>
        <w:t xml:space="preserve"> </w:t>
      </w:r>
      <w:proofErr w:type="spellStart"/>
      <w:r w:rsidRPr="002641BC">
        <w:rPr>
          <w:lang w:val="cs-CZ"/>
        </w:rPr>
        <w:t>Maritime</w:t>
      </w:r>
      <w:proofErr w:type="spellEnd"/>
      <w:r w:rsidRPr="002641BC">
        <w:rPr>
          <w:lang w:val="cs-CZ"/>
        </w:rPr>
        <w:t>)</w:t>
      </w:r>
      <w:r w:rsidRPr="002641BC">
        <w:rPr>
          <w:rStyle w:val="FootnoteReference"/>
          <w:lang w:val="cs-CZ"/>
        </w:rPr>
        <w:footnoteReference w:id="16"/>
      </w:r>
      <w:r w:rsidRPr="002641BC">
        <w:rPr>
          <w:lang w:val="cs-CZ"/>
        </w:rPr>
        <w:t>; vyzývá k přísnému uplatňování ustanovení těchto dvou právních předpisů, která se týkají sledování překládky, s cílem odhalit a zakázat takové jednání; vyzývá dále, aby bylo posouzeno, zda jsou tato ustanovení dostatečná k tomu, aby účinně odrazovala od vyhýbání se povinnostem na úkor životního prostředí a růstu a zaměstnanosti v Evropě, a zda jsou zapotřebí další opatření;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37.</w:t>
      </w:r>
      <w:r w:rsidRPr="002641BC">
        <w:rPr>
          <w:lang w:val="cs-CZ"/>
        </w:rPr>
        <w:tab/>
        <w:t>vyzývá Komisi, aby analyzovala a řešila investiční potřeby evropských přístavů s cílem zajistit, aby zůstaly v budoucnu konkurenceschopné, a aby usilovala o stabilnější investiční prostředí, včetně transparentnosti a předvídatelnosti při posuzování veřejných i soukromých investic;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38.</w:t>
      </w:r>
      <w:r w:rsidRPr="002641BC">
        <w:rPr>
          <w:lang w:val="cs-CZ"/>
        </w:rPr>
        <w:tab/>
        <w:t>zdůrazňuje, že v zájmu zachování konkurenceschopnosti přístavů EU a fungování případné evropské přístavní strategie by se mělo zabránit nadměrné administrativní zátěži, která by mohla ohrozit fungování této strategie;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39.</w:t>
      </w:r>
      <w:r w:rsidRPr="002641BC">
        <w:rPr>
          <w:lang w:val="cs-CZ"/>
        </w:rPr>
        <w:tab/>
        <w:t>zdůrazňuje, že důsledná evropská strategie pro přístavy má zásadní význam pro zajištění spravedlivé hospodářské soutěže; podporuje větší spolupráci mezi evropskými přístavy a odstranění škodlivých praktik, jako je například cenový dumping;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40.</w:t>
      </w:r>
      <w:r w:rsidRPr="002641BC">
        <w:rPr>
          <w:lang w:val="cs-CZ"/>
        </w:rPr>
        <w:tab/>
        <w:t>domnívá se, že dobře fungující celní unie má zásadní význam pro konkurenceschopnost, udržitelnost a odolnost EU; domnívá se, že reformovaná a posílená celní unie se společným celním kodexem zachová integritu jednotného trhu, pomůže zachovat konkurenceschopnost EU v rámci souběžné ekologické a digitální transformace a zabrání nekalé hospodářské soutěži mezi evropskými přístavy;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lastRenderedPageBreak/>
        <w:t>41.</w:t>
      </w:r>
      <w:r w:rsidRPr="002641BC">
        <w:rPr>
          <w:lang w:val="cs-CZ"/>
        </w:rPr>
        <w:tab/>
        <w:t>zdůrazňuje, že rozdíly v politikách celních postupů v unijních místech vstupu do celní unie často narušují obchodní toky a ohrožují integritu evropského jednotného trhu;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42.</w:t>
      </w:r>
      <w:r w:rsidRPr="002641BC">
        <w:rPr>
          <w:lang w:val="cs-CZ"/>
        </w:rPr>
        <w:tab/>
        <w:t>připomíná, že je nutné zavést ve všech evropských přístavech harmonizované celní kontroly, aby se zabránilo rozdílnému uplatňování hygienických norem nebo norem náležité péče; trvá na tom, aby Komise zajistila, aby celní kontroly v celé EU dodržovaly tytéž normy, a to prostřednictvím přímého jednotného mechanismu celní kontroly, v koordinaci s členskými státy a v plném souladu se zásadou subsidiarity;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43.</w:t>
      </w:r>
      <w:r w:rsidRPr="002641BC">
        <w:rPr>
          <w:lang w:val="cs-CZ"/>
        </w:rPr>
        <w:tab/>
        <w:t>připomíná, že přístavy nejsou samostatnými aktivy, neboť zaujímají místo v rozsáhlém vodním ekosystému námořní logistiky, průmyslu a dodavatelských řetězců poháněných poptávkou evropských dovozců a vývozců;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44.</w:t>
      </w:r>
      <w:r w:rsidRPr="002641BC">
        <w:rPr>
          <w:lang w:val="cs-CZ"/>
        </w:rPr>
        <w:tab/>
        <w:t>je znepokojen tím, že rejdařské společnosti z EU čelí v Číně restriktivním předpisům o námořní kabotáži, které jim ve skutečnosti zakazují provádět kabotáž mezi čínskými přístavy, zatímco kabotáž představuje klíčový prvek obchodního modelu čínských rejdařských společností v některých přístavech EU a mezi nimi; vyzývá Komisi, aby přezkoumala možnost přijetí právních předpisů EU o námořní kabotáži, které by se mohly vztahovat na některé přepravce ze zemí mimo EU, jako je např. Čína; připomíná, že nedostatečná investiční reciprocita v oblasti přístavů poškozuje zájmy EU;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45.</w:t>
      </w:r>
      <w:r w:rsidRPr="002641BC">
        <w:rPr>
          <w:lang w:val="cs-CZ"/>
        </w:rPr>
        <w:tab/>
        <w:t xml:space="preserve">zdůrazňuje význam iniciativy EU </w:t>
      </w:r>
      <w:proofErr w:type="spellStart"/>
      <w:r w:rsidRPr="002641BC">
        <w:rPr>
          <w:lang w:val="cs-CZ"/>
        </w:rPr>
        <w:t>Global</w:t>
      </w:r>
      <w:proofErr w:type="spellEnd"/>
      <w:r w:rsidRPr="002641BC">
        <w:rPr>
          <w:lang w:val="cs-CZ"/>
        </w:rPr>
        <w:t xml:space="preserve"> </w:t>
      </w:r>
      <w:proofErr w:type="spellStart"/>
      <w:r w:rsidRPr="002641BC">
        <w:rPr>
          <w:lang w:val="cs-CZ"/>
        </w:rPr>
        <w:t>Gateway</w:t>
      </w:r>
      <w:proofErr w:type="spellEnd"/>
      <w:r w:rsidRPr="002641BC">
        <w:rPr>
          <w:lang w:val="cs-CZ"/>
        </w:rPr>
        <w:t xml:space="preserve"> jako strategické globální alternativy k čínské iniciativě „Jeden pás, jedna cesta“; zdůrazňuje potenciál projektů </w:t>
      </w:r>
      <w:proofErr w:type="spellStart"/>
      <w:r w:rsidRPr="002641BC">
        <w:rPr>
          <w:lang w:val="cs-CZ"/>
        </w:rPr>
        <w:t>Global</w:t>
      </w:r>
      <w:proofErr w:type="spellEnd"/>
      <w:r w:rsidRPr="002641BC">
        <w:rPr>
          <w:lang w:val="cs-CZ"/>
        </w:rPr>
        <w:t xml:space="preserve"> </w:t>
      </w:r>
      <w:proofErr w:type="spellStart"/>
      <w:r w:rsidRPr="002641BC">
        <w:rPr>
          <w:lang w:val="cs-CZ"/>
        </w:rPr>
        <w:t>Gateway</w:t>
      </w:r>
      <w:proofErr w:type="spellEnd"/>
      <w:r w:rsidRPr="002641BC">
        <w:rPr>
          <w:lang w:val="cs-CZ"/>
        </w:rPr>
        <w:t xml:space="preserve"> v námořním průmyslu (např. přístavní infrastruktura, silniční a železniční spojení s vnitrozemím, zelený vodík) a k vytvoření sítě přístavů, která usnadní obchod, investice a vzájemně výhodná partnerství;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46.</w:t>
      </w:r>
      <w:r w:rsidRPr="002641BC">
        <w:rPr>
          <w:lang w:val="cs-CZ"/>
        </w:rPr>
        <w:tab/>
        <w:t>zdůrazňuje, že je naléhavě nutné zlepšit kvalitu, kapacitu a odolnost vnitrozemských spojení s evropskými přístavy, zejména těch z nich, která jsou součástí sítě TEN-T, zohlednit potřebu snižování emisí a zajištění energetické účinnosti a usilovat o co největší přesun vnitrozemské dopravy na železnici a vnitrozemské vodní cesty a zároveň se připravit na dopady změny klimatu, jako jsou extrémní povětrnostní jevy a nízká hladina na vnitrozemských vodních cestách;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47.</w:t>
      </w:r>
      <w:r w:rsidRPr="002641BC">
        <w:rPr>
          <w:lang w:val="cs-CZ"/>
        </w:rPr>
        <w:tab/>
        <w:t xml:space="preserve">navrhuje, aby Komise vytvořila „atlas“ evropských přístavů, který by mimo jiné zmapoval dostupnost dodávek elektřiny z pevniny a alternativních paliv v evropských komerčních přístavech, infrastrukturu ve vnitrozemí (zejména železniční) a lodní trasy, které by mohly případně vycházet z interaktivních map systému </w:t>
      </w:r>
      <w:proofErr w:type="spellStart"/>
      <w:r w:rsidRPr="002641BC">
        <w:rPr>
          <w:lang w:val="cs-CZ"/>
        </w:rPr>
        <w:t>TENtec</w:t>
      </w:r>
      <w:proofErr w:type="spellEnd"/>
      <w:r w:rsidRPr="002641BC">
        <w:rPr>
          <w:lang w:val="cs-CZ"/>
        </w:rPr>
        <w:t xml:space="preserve"> a Evropského střediska pro sledování alternativních paliv, ale měl by zahrnovat i menší přístavy a podrobnější informace; domnívá se, že takové mapování by mohlo pomoci vytvořit celkový faktický základ pro pokračující rozvoj přístavů EU a souvisejících odvětví, jako je nákladní a osobní doprava, výletní plavby, rybolov, větrná energie na moři, doplňování paliva a zpracovatelský průmysl;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48.</w:t>
      </w:r>
      <w:r w:rsidRPr="002641BC">
        <w:rPr>
          <w:lang w:val="cs-CZ"/>
        </w:rPr>
        <w:tab/>
        <w:t>zdůrazňuje význam námořního zpracovatelského průmyslu, jako je např. loďařský průmysl, a jeho dodavatelského řetězce v EU jako základu pro zachování prosperujícího odvětví vodní dopravy; vyzývá Komisi, aby prozkoumala a posoudila dopad závislosti Evropy na zahraničním námořním zpracovatelském průmyslu, naléhavě vymezila ctižádostivou evropskou strategii pro tento průmysl a přijala vhodná opatření ke zvýšení konkurenceschopnosti a odolnosti evropských loděnic a jejich celých dodavatelských řetězců;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lastRenderedPageBreak/>
        <w:t>49.</w:t>
      </w:r>
      <w:r w:rsidRPr="002641BC">
        <w:rPr>
          <w:lang w:val="cs-CZ"/>
        </w:rPr>
        <w:tab/>
        <w:t xml:space="preserve">vyzývá Komisi, aby zavedla stimulační digitální rámec s cílem podněcovat programy pro inovace a další digitalizaci přístavů, jako jsou programy inteligentních přístavů, s cílem zlepšit jejich účinnost, produktivitu a udržitelnost; zdůrazňuje zejména potenciál digitalizace pro optimalizaci zastávek v přístavech (zkrácení čekací doby v pobřežních vodách a přístavech), včasné příjezdy, pokročilé navigační systémy (pro úspory paliva a snížení emisí), automatické identifikační systémy (pro zvýšení bezpečnosti na moři a lepší prosazování environmentálních ustanovení), jakož i pro </w:t>
      </w:r>
      <w:proofErr w:type="spellStart"/>
      <w:r w:rsidRPr="002641BC">
        <w:rPr>
          <w:lang w:val="cs-CZ"/>
        </w:rPr>
        <w:t>drony</w:t>
      </w:r>
      <w:proofErr w:type="spellEnd"/>
      <w:r w:rsidRPr="002641BC">
        <w:rPr>
          <w:lang w:val="cs-CZ"/>
        </w:rPr>
        <w:t xml:space="preserve"> a řešení v oblasti umělé inteligence vedoucí k lepším rozhodnutím o přístavní infrastruktuře;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50.</w:t>
      </w:r>
      <w:r w:rsidRPr="002641BC">
        <w:rPr>
          <w:lang w:val="cs-CZ"/>
        </w:rPr>
        <w:tab/>
        <w:t>zdůrazňuje, že přístavům bude třeba přidělit odpovídající finanční prostředky a finanční nástroje, aby si zachovaly konkurenceschopnost, usnadňovaly ekologickou transformaci a omezovaly rizika zahraničního vlivu; žádá, aby byly navýšeny finanční prostředky určené na přístavy v rámci Nástroje pro propojení Evropy; zdůrazňuje význam soukromých investic do přístavů a skutečnost, že zaměstnanost a inovace v přístavech a jejich okolí zajišťují právě podniky;</w:t>
      </w:r>
    </w:p>
    <w:p w:rsidR="006A3ECA" w:rsidRPr="002641BC" w:rsidRDefault="006A3ECA" w:rsidP="006A3ECA">
      <w:pPr>
        <w:pStyle w:val="Normal12a24b"/>
        <w:rPr>
          <w:lang w:val="cs-CZ"/>
        </w:rPr>
      </w:pPr>
      <w:r w:rsidRPr="002641BC">
        <w:rPr>
          <w:rStyle w:val="BoldItalic"/>
          <w:lang w:val="cs-CZ"/>
        </w:rPr>
        <w:t>Závěr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51.</w:t>
      </w:r>
      <w:r w:rsidRPr="002641BC">
        <w:rPr>
          <w:lang w:val="cs-CZ"/>
        </w:rPr>
        <w:tab/>
        <w:t>vyzývá k uspořádání evropského summitu o přístavech s cílem dále rozvinout výše uvedené otázky a prozkoumat možnosti posílené spolupráce mezi evropskými přístavy za tímto účelem;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52.</w:t>
      </w:r>
      <w:r w:rsidRPr="002641BC">
        <w:rPr>
          <w:lang w:val="cs-CZ"/>
        </w:rPr>
        <w:tab/>
        <w:t>vyzývá Komisi, aby do konce roku 2024 předložila komplexní evropskou strategii pro přístavy, která se bude zabývat výše uvedenými otázkami;</w:t>
      </w:r>
    </w:p>
    <w:p w:rsidR="006A3ECA" w:rsidRPr="002641BC" w:rsidRDefault="006A3ECA" w:rsidP="006A3ECA">
      <w:pPr>
        <w:pStyle w:val="NormalCenter12a"/>
        <w:rPr>
          <w:lang w:val="cs-CZ"/>
        </w:rPr>
      </w:pPr>
      <w:r w:rsidRPr="002641BC">
        <w:rPr>
          <w:lang w:val="cs-CZ"/>
        </w:rPr>
        <w:t>°</w:t>
      </w:r>
    </w:p>
    <w:p w:rsidR="006A3ECA" w:rsidRPr="002641BC" w:rsidRDefault="006A3ECA" w:rsidP="006A3ECA">
      <w:pPr>
        <w:pStyle w:val="NormalCenter12a"/>
        <w:rPr>
          <w:lang w:val="cs-CZ"/>
        </w:rPr>
      </w:pPr>
      <w:r w:rsidRPr="002641BC">
        <w:rPr>
          <w:lang w:val="cs-CZ"/>
        </w:rPr>
        <w:t>°</w:t>
      </w:r>
      <w:r w:rsidRPr="002641BC">
        <w:rPr>
          <w:lang w:val="cs-CZ"/>
        </w:rPr>
        <w:tab/>
        <w:t>°</w:t>
      </w:r>
    </w:p>
    <w:p w:rsidR="006A3ECA" w:rsidRPr="002641BC" w:rsidRDefault="006A3ECA" w:rsidP="006A3ECA">
      <w:pPr>
        <w:pStyle w:val="NormalHanging12a"/>
        <w:rPr>
          <w:lang w:val="cs-CZ"/>
        </w:rPr>
      </w:pPr>
      <w:r w:rsidRPr="002641BC">
        <w:rPr>
          <w:lang w:val="cs-CZ"/>
        </w:rPr>
        <w:t>53.</w:t>
      </w:r>
      <w:r w:rsidRPr="002641BC">
        <w:rPr>
          <w:lang w:val="cs-CZ"/>
        </w:rPr>
        <w:tab/>
        <w:t>pověřuje svou předsedkyni, aby předala toto usnesení Radě a Komisi.</w:t>
      </w:r>
    </w:p>
    <w:p w:rsidR="006A3ECA" w:rsidRPr="002641BC" w:rsidRDefault="006A3ECA" w:rsidP="006A3ECA"/>
    <w:sectPr w:rsidR="006A3ECA" w:rsidRPr="002641BC" w:rsidSect="002641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25B" w:rsidRPr="002641BC" w:rsidRDefault="00A9225B">
      <w:r w:rsidRPr="002641BC">
        <w:separator/>
      </w:r>
    </w:p>
  </w:endnote>
  <w:endnote w:type="continuationSeparator" w:id="0">
    <w:p w:rsidR="00A9225B" w:rsidRPr="002641BC" w:rsidRDefault="00A9225B">
      <w:r w:rsidRPr="002641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41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41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41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25B" w:rsidRPr="002641BC" w:rsidRDefault="00A9225B">
      <w:r w:rsidRPr="002641BC">
        <w:separator/>
      </w:r>
    </w:p>
  </w:footnote>
  <w:footnote w:type="continuationSeparator" w:id="0">
    <w:p w:rsidR="00A9225B" w:rsidRPr="002641BC" w:rsidRDefault="00A9225B">
      <w:r w:rsidRPr="002641BC">
        <w:continuationSeparator/>
      </w:r>
    </w:p>
  </w:footnote>
  <w:footnote w:id="1">
    <w:p w:rsidR="006A3ECA" w:rsidRPr="00FC0E7F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>. 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 xml:space="preserve">. L 234, </w:t>
      </w:r>
      <w:proofErr w:type="gramStart"/>
      <w:r w:rsidRPr="00FC0E7F">
        <w:rPr>
          <w:sz w:val="24"/>
          <w:u w:color="0000FF"/>
          <w:lang w:val="cs-CZ"/>
        </w:rPr>
        <w:t>22.9.2023</w:t>
      </w:r>
      <w:proofErr w:type="gramEnd"/>
      <w:r w:rsidRPr="00FC0E7F">
        <w:rPr>
          <w:sz w:val="24"/>
          <w:u w:color="0000FF"/>
          <w:lang w:val="cs-CZ"/>
        </w:rPr>
        <w:t>, s. 1.</w:t>
      </w:r>
    </w:p>
  </w:footnote>
  <w:footnote w:id="2">
    <w:p w:rsidR="006A3ECA" w:rsidRPr="00FC0E7F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FC0E7F">
        <w:rPr>
          <w:rStyle w:val="FootnoteReference"/>
          <w:sz w:val="24"/>
          <w:lang w:val="cs-CZ"/>
        </w:rPr>
        <w:footnoteRef/>
      </w:r>
      <w:r w:rsidR="002641BC" w:rsidRPr="00FC0E7F">
        <w:rPr>
          <w:sz w:val="24"/>
          <w:lang w:val="cs-CZ"/>
        </w:rPr>
        <w:t xml:space="preserve"> </w:t>
      </w:r>
      <w:r w:rsidR="002641BC" w:rsidRPr="00FC0E7F">
        <w:rPr>
          <w:sz w:val="24"/>
          <w:lang w:val="cs-CZ"/>
        </w:rPr>
        <w:tab/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>. 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 xml:space="preserve">. L 234, </w:t>
      </w:r>
      <w:proofErr w:type="gramStart"/>
      <w:r w:rsidRPr="00FC0E7F">
        <w:rPr>
          <w:sz w:val="24"/>
          <w:u w:color="0000FF"/>
          <w:lang w:val="cs-CZ"/>
        </w:rPr>
        <w:t>22.9.2023</w:t>
      </w:r>
      <w:proofErr w:type="gramEnd"/>
      <w:r w:rsidRPr="00FC0E7F">
        <w:rPr>
          <w:sz w:val="24"/>
          <w:u w:color="0000FF"/>
          <w:lang w:val="cs-CZ"/>
        </w:rPr>
        <w:t>, s. 48.</w:t>
      </w:r>
    </w:p>
  </w:footnote>
  <w:footnote w:id="3">
    <w:p w:rsidR="006A3ECA" w:rsidRPr="00FC0E7F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FC0E7F">
        <w:rPr>
          <w:rStyle w:val="FootnoteReference"/>
          <w:sz w:val="24"/>
          <w:lang w:val="cs-CZ"/>
        </w:rPr>
        <w:footnoteRef/>
      </w:r>
      <w:r w:rsidR="002641BC" w:rsidRPr="00FC0E7F">
        <w:rPr>
          <w:sz w:val="24"/>
          <w:lang w:val="cs-CZ"/>
        </w:rPr>
        <w:t xml:space="preserve"> </w:t>
      </w:r>
      <w:r w:rsidR="002641BC" w:rsidRPr="00FC0E7F">
        <w:rPr>
          <w:sz w:val="24"/>
          <w:lang w:val="cs-CZ"/>
        </w:rPr>
        <w:tab/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 xml:space="preserve">. L 333, </w:t>
      </w:r>
      <w:proofErr w:type="gramStart"/>
      <w:r w:rsidRPr="00FC0E7F">
        <w:rPr>
          <w:sz w:val="24"/>
          <w:u w:color="0000FF"/>
          <w:lang w:val="cs-CZ"/>
        </w:rPr>
        <w:t>27.12.2022</w:t>
      </w:r>
      <w:proofErr w:type="gramEnd"/>
      <w:r w:rsidRPr="00FC0E7F">
        <w:rPr>
          <w:sz w:val="24"/>
          <w:u w:color="0000FF"/>
          <w:lang w:val="cs-CZ"/>
        </w:rPr>
        <w:t>, s. 164.</w:t>
      </w:r>
    </w:p>
  </w:footnote>
  <w:footnote w:id="4">
    <w:p w:rsidR="006A3ECA" w:rsidRPr="00FC0E7F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FC0E7F">
        <w:rPr>
          <w:rStyle w:val="FootnoteReference"/>
          <w:sz w:val="24"/>
          <w:lang w:val="cs-CZ"/>
        </w:rPr>
        <w:footnoteRef/>
      </w:r>
      <w:r w:rsidR="002641BC" w:rsidRPr="00FC0E7F">
        <w:rPr>
          <w:sz w:val="24"/>
          <w:lang w:val="cs-CZ"/>
        </w:rPr>
        <w:t xml:space="preserve"> </w:t>
      </w:r>
      <w:r w:rsidR="002641BC" w:rsidRPr="00FC0E7F">
        <w:rPr>
          <w:sz w:val="24"/>
          <w:lang w:val="cs-CZ"/>
        </w:rPr>
        <w:tab/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 xml:space="preserve">. L 249, </w:t>
      </w:r>
      <w:proofErr w:type="gramStart"/>
      <w:r w:rsidRPr="00FC0E7F">
        <w:rPr>
          <w:sz w:val="24"/>
          <w:u w:color="0000FF"/>
          <w:lang w:val="cs-CZ"/>
        </w:rPr>
        <w:t>14.7.2021</w:t>
      </w:r>
      <w:proofErr w:type="gramEnd"/>
      <w:r w:rsidRPr="00FC0E7F">
        <w:rPr>
          <w:sz w:val="24"/>
          <w:u w:color="0000FF"/>
          <w:lang w:val="cs-CZ"/>
        </w:rPr>
        <w:t>, s. 38.</w:t>
      </w:r>
    </w:p>
  </w:footnote>
  <w:footnote w:id="5">
    <w:p w:rsidR="006A3ECA" w:rsidRPr="00FC0E7F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FC0E7F">
        <w:rPr>
          <w:rStyle w:val="FootnoteReference"/>
          <w:sz w:val="24"/>
          <w:lang w:val="cs-CZ"/>
        </w:rPr>
        <w:footnoteRef/>
      </w:r>
      <w:r w:rsidR="002641BC" w:rsidRPr="00FC0E7F">
        <w:rPr>
          <w:sz w:val="24"/>
          <w:lang w:val="cs-CZ"/>
        </w:rPr>
        <w:t xml:space="preserve"> </w:t>
      </w:r>
      <w:r w:rsidR="002641BC" w:rsidRPr="00FC0E7F">
        <w:rPr>
          <w:sz w:val="24"/>
          <w:lang w:val="cs-CZ"/>
        </w:rPr>
        <w:tab/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>. L 79</w:t>
      </w:r>
      <w:r w:rsidR="003E4953">
        <w:rPr>
          <w:sz w:val="24"/>
          <w:u w:color="0000FF"/>
          <w:lang w:val="cs-CZ"/>
        </w:rPr>
        <w:t xml:space="preserve"> </w:t>
      </w:r>
      <w:r w:rsidRPr="00FC0E7F">
        <w:rPr>
          <w:sz w:val="24"/>
          <w:u w:color="0000FF"/>
          <w:lang w:val="cs-CZ"/>
        </w:rPr>
        <w:t xml:space="preserve">I, </w:t>
      </w:r>
      <w:proofErr w:type="gramStart"/>
      <w:r w:rsidRPr="00FC0E7F">
        <w:rPr>
          <w:sz w:val="24"/>
          <w:u w:color="0000FF"/>
          <w:lang w:val="cs-CZ"/>
        </w:rPr>
        <w:t>21.3.2019</w:t>
      </w:r>
      <w:proofErr w:type="gramEnd"/>
      <w:r w:rsidRPr="00FC0E7F">
        <w:rPr>
          <w:sz w:val="24"/>
          <w:u w:color="0000FF"/>
          <w:lang w:val="cs-CZ"/>
        </w:rPr>
        <w:t>, s. 1.</w:t>
      </w:r>
    </w:p>
  </w:footnote>
  <w:footnote w:id="6">
    <w:p w:rsidR="006A3ECA" w:rsidRPr="00FC0E7F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FC0E7F">
        <w:rPr>
          <w:rStyle w:val="FootnoteReference"/>
          <w:sz w:val="24"/>
          <w:lang w:val="cs-CZ"/>
        </w:rPr>
        <w:footnoteRef/>
      </w:r>
      <w:r w:rsidR="002641BC" w:rsidRPr="00FC0E7F">
        <w:rPr>
          <w:sz w:val="24"/>
          <w:lang w:val="cs-CZ"/>
        </w:rPr>
        <w:t xml:space="preserve"> </w:t>
      </w:r>
      <w:r w:rsidR="002641BC" w:rsidRPr="00FC0E7F">
        <w:rPr>
          <w:sz w:val="24"/>
          <w:lang w:val="cs-CZ"/>
        </w:rPr>
        <w:tab/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 xml:space="preserve">. L 330, </w:t>
      </w:r>
      <w:proofErr w:type="gramStart"/>
      <w:r w:rsidRPr="00FC0E7F">
        <w:rPr>
          <w:sz w:val="24"/>
          <w:u w:color="0000FF"/>
          <w:lang w:val="cs-CZ"/>
        </w:rPr>
        <w:t>23.12.2022</w:t>
      </w:r>
      <w:proofErr w:type="gramEnd"/>
      <w:r w:rsidRPr="00FC0E7F">
        <w:rPr>
          <w:sz w:val="24"/>
          <w:u w:color="0000FF"/>
          <w:lang w:val="cs-CZ"/>
        </w:rPr>
        <w:t>, s. 1.</w:t>
      </w:r>
    </w:p>
  </w:footnote>
  <w:footnote w:id="7">
    <w:p w:rsidR="006A3ECA" w:rsidRPr="002641BC" w:rsidRDefault="006A3ECA" w:rsidP="002641BC">
      <w:pPr>
        <w:pStyle w:val="FootnoteText"/>
        <w:ind w:left="567" w:hanging="567"/>
        <w:rPr>
          <w:sz w:val="24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proofErr w:type="spellStart"/>
      <w:r w:rsidRPr="002641BC">
        <w:rPr>
          <w:sz w:val="24"/>
          <w:lang w:val="cs-CZ"/>
        </w:rPr>
        <w:t>Úř</w:t>
      </w:r>
      <w:proofErr w:type="spellEnd"/>
      <w:r w:rsidRPr="002641BC">
        <w:rPr>
          <w:sz w:val="24"/>
          <w:lang w:val="cs-CZ"/>
        </w:rPr>
        <w:t xml:space="preserve">. </w:t>
      </w:r>
      <w:proofErr w:type="spellStart"/>
      <w:proofErr w:type="gramStart"/>
      <w:r w:rsidRPr="002641BC">
        <w:rPr>
          <w:sz w:val="24"/>
          <w:lang w:val="cs-CZ"/>
        </w:rPr>
        <w:t>věst</w:t>
      </w:r>
      <w:proofErr w:type="spellEnd"/>
      <w:proofErr w:type="gramEnd"/>
      <w:r w:rsidRPr="002641BC">
        <w:rPr>
          <w:sz w:val="24"/>
          <w:lang w:val="cs-CZ"/>
        </w:rPr>
        <w:t xml:space="preserve">. L 57, </w:t>
      </w:r>
      <w:proofErr w:type="gramStart"/>
      <w:r w:rsidRPr="002641BC">
        <w:rPr>
          <w:sz w:val="24"/>
          <w:lang w:val="cs-CZ"/>
        </w:rPr>
        <w:t>3.3.2017</w:t>
      </w:r>
      <w:proofErr w:type="gramEnd"/>
      <w:r w:rsidRPr="002641BC">
        <w:rPr>
          <w:sz w:val="24"/>
          <w:lang w:val="cs-CZ"/>
        </w:rPr>
        <w:t>, s. 1.</w:t>
      </w:r>
    </w:p>
  </w:footnote>
  <w:footnote w:id="8">
    <w:p w:rsidR="006A3ECA" w:rsidRPr="002641BC" w:rsidRDefault="006A3ECA" w:rsidP="002641BC">
      <w:pPr>
        <w:pStyle w:val="FootnoteText"/>
        <w:ind w:left="567" w:hanging="567"/>
        <w:rPr>
          <w:sz w:val="24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proofErr w:type="spellStart"/>
      <w:r w:rsidRPr="002641BC">
        <w:rPr>
          <w:sz w:val="24"/>
          <w:lang w:val="cs-CZ"/>
        </w:rPr>
        <w:t>Úř</w:t>
      </w:r>
      <w:proofErr w:type="spellEnd"/>
      <w:r w:rsidRPr="002641BC">
        <w:rPr>
          <w:sz w:val="24"/>
          <w:lang w:val="cs-CZ"/>
        </w:rPr>
        <w:t xml:space="preserve">. </w:t>
      </w:r>
      <w:proofErr w:type="spellStart"/>
      <w:proofErr w:type="gramStart"/>
      <w:r w:rsidRPr="002641BC">
        <w:rPr>
          <w:sz w:val="24"/>
          <w:lang w:val="cs-CZ"/>
        </w:rPr>
        <w:t>věst</w:t>
      </w:r>
      <w:proofErr w:type="spellEnd"/>
      <w:proofErr w:type="gramEnd"/>
      <w:r w:rsidRPr="002641BC">
        <w:rPr>
          <w:sz w:val="24"/>
          <w:lang w:val="cs-CZ"/>
        </w:rPr>
        <w:t xml:space="preserve">. L 348, </w:t>
      </w:r>
      <w:proofErr w:type="gramStart"/>
      <w:r w:rsidRPr="002641BC">
        <w:rPr>
          <w:sz w:val="24"/>
          <w:lang w:val="cs-CZ"/>
        </w:rPr>
        <w:t>20.12.2013</w:t>
      </w:r>
      <w:proofErr w:type="gramEnd"/>
      <w:r w:rsidRPr="002641BC">
        <w:rPr>
          <w:sz w:val="24"/>
          <w:lang w:val="cs-CZ"/>
        </w:rPr>
        <w:t>, s. 1.</w:t>
      </w:r>
    </w:p>
  </w:footnote>
  <w:footnote w:id="9">
    <w:p w:rsidR="006A3ECA" w:rsidRPr="003E4953" w:rsidRDefault="006A3ECA" w:rsidP="002641BC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hyperlink r:id="rId1" w:history="1">
        <w:proofErr w:type="spellStart"/>
        <w:r w:rsidRPr="003E4953">
          <w:rPr>
            <w:sz w:val="24"/>
            <w:lang w:val="cs-CZ"/>
          </w:rPr>
          <w:t>Úř</w:t>
        </w:r>
        <w:proofErr w:type="spellEnd"/>
        <w:r w:rsidRPr="003E4953">
          <w:rPr>
            <w:sz w:val="24"/>
            <w:lang w:val="cs-CZ"/>
          </w:rPr>
          <w:t xml:space="preserve">. </w:t>
        </w:r>
        <w:proofErr w:type="spellStart"/>
        <w:proofErr w:type="gramStart"/>
        <w:r w:rsidRPr="003E4953">
          <w:rPr>
            <w:sz w:val="24"/>
            <w:lang w:val="cs-CZ"/>
          </w:rPr>
          <w:t>věst</w:t>
        </w:r>
        <w:proofErr w:type="spellEnd"/>
        <w:proofErr w:type="gramEnd"/>
        <w:r w:rsidRPr="003E4953">
          <w:rPr>
            <w:sz w:val="24"/>
            <w:lang w:val="cs-CZ"/>
          </w:rPr>
          <w:t xml:space="preserve">. C 117, </w:t>
        </w:r>
        <w:proofErr w:type="gramStart"/>
        <w:r w:rsidRPr="003E4953">
          <w:rPr>
            <w:sz w:val="24"/>
            <w:lang w:val="cs-CZ"/>
          </w:rPr>
          <w:t>11.3.2022</w:t>
        </w:r>
        <w:proofErr w:type="gramEnd"/>
        <w:r w:rsidRPr="003E4953">
          <w:rPr>
            <w:sz w:val="24"/>
            <w:lang w:val="cs-CZ"/>
          </w:rPr>
          <w:t>, s. 40.</w:t>
        </w:r>
      </w:hyperlink>
    </w:p>
  </w:footnote>
  <w:footnote w:id="10">
    <w:p w:rsidR="006A3ECA" w:rsidRPr="003E4953" w:rsidRDefault="006A3ECA" w:rsidP="002641BC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hyperlink r:id="rId2" w:history="1">
        <w:proofErr w:type="spellStart"/>
        <w:r w:rsidRPr="003E4953">
          <w:rPr>
            <w:sz w:val="24"/>
            <w:lang w:val="cs-CZ"/>
          </w:rPr>
          <w:t>Úř</w:t>
        </w:r>
        <w:proofErr w:type="spellEnd"/>
        <w:r w:rsidRPr="003E4953">
          <w:rPr>
            <w:sz w:val="24"/>
            <w:lang w:val="cs-CZ"/>
          </w:rPr>
          <w:t xml:space="preserve">. </w:t>
        </w:r>
        <w:proofErr w:type="spellStart"/>
        <w:proofErr w:type="gramStart"/>
        <w:r w:rsidRPr="003E4953">
          <w:rPr>
            <w:sz w:val="24"/>
            <w:lang w:val="cs-CZ"/>
          </w:rPr>
          <w:t>věst</w:t>
        </w:r>
        <w:proofErr w:type="spellEnd"/>
        <w:proofErr w:type="gramEnd"/>
        <w:r w:rsidRPr="003E4953">
          <w:rPr>
            <w:sz w:val="24"/>
            <w:lang w:val="cs-CZ"/>
          </w:rPr>
          <w:t xml:space="preserve">. C 506, </w:t>
        </w:r>
        <w:proofErr w:type="gramStart"/>
        <w:r w:rsidRPr="003E4953">
          <w:rPr>
            <w:sz w:val="24"/>
            <w:lang w:val="cs-CZ"/>
          </w:rPr>
          <w:t>15.12.2021</w:t>
        </w:r>
        <w:proofErr w:type="gramEnd"/>
        <w:r w:rsidRPr="003E4953">
          <w:rPr>
            <w:sz w:val="24"/>
            <w:lang w:val="cs-CZ"/>
          </w:rPr>
          <w:t>, s. 12.</w:t>
        </w:r>
      </w:hyperlink>
    </w:p>
  </w:footnote>
  <w:footnote w:id="11">
    <w:p w:rsidR="006A3ECA" w:rsidRPr="003E4953" w:rsidRDefault="006A3ECA" w:rsidP="002641BC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hyperlink r:id="rId3" w:history="1">
        <w:proofErr w:type="spellStart"/>
        <w:r w:rsidRPr="003E4953">
          <w:rPr>
            <w:sz w:val="24"/>
            <w:lang w:val="cs-CZ"/>
          </w:rPr>
          <w:t>Úř</w:t>
        </w:r>
        <w:proofErr w:type="spellEnd"/>
        <w:r w:rsidRPr="003E4953">
          <w:rPr>
            <w:sz w:val="24"/>
            <w:lang w:val="cs-CZ"/>
          </w:rPr>
          <w:t xml:space="preserve">. </w:t>
        </w:r>
        <w:proofErr w:type="spellStart"/>
        <w:proofErr w:type="gramStart"/>
        <w:r w:rsidRPr="003E4953">
          <w:rPr>
            <w:sz w:val="24"/>
            <w:lang w:val="cs-CZ"/>
          </w:rPr>
          <w:t>věst</w:t>
        </w:r>
        <w:proofErr w:type="spellEnd"/>
        <w:proofErr w:type="gramEnd"/>
        <w:r w:rsidRPr="003E4953">
          <w:rPr>
            <w:sz w:val="24"/>
            <w:lang w:val="cs-CZ"/>
          </w:rPr>
          <w:t xml:space="preserve">. C 23, </w:t>
        </w:r>
        <w:proofErr w:type="gramStart"/>
        <w:r w:rsidRPr="003E4953">
          <w:rPr>
            <w:sz w:val="24"/>
            <w:lang w:val="cs-CZ"/>
          </w:rPr>
          <w:t>21.1.2021</w:t>
        </w:r>
        <w:proofErr w:type="gramEnd"/>
        <w:r w:rsidRPr="003E4953">
          <w:rPr>
            <w:sz w:val="24"/>
            <w:lang w:val="cs-CZ"/>
          </w:rPr>
          <w:t>, s. 2.</w:t>
        </w:r>
      </w:hyperlink>
    </w:p>
  </w:footnote>
  <w:footnote w:id="12">
    <w:p w:rsidR="006A3ECA" w:rsidRPr="00897DCA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proofErr w:type="spellStart"/>
      <w:r w:rsidRPr="00897DCA">
        <w:rPr>
          <w:sz w:val="24"/>
          <w:u w:color="0000FF"/>
          <w:lang w:val="cs-CZ"/>
        </w:rPr>
        <w:t>Mercator</w:t>
      </w:r>
      <w:proofErr w:type="spellEnd"/>
      <w:r w:rsidRPr="00897DCA">
        <w:rPr>
          <w:sz w:val="24"/>
          <w:u w:color="0000FF"/>
          <w:lang w:val="cs-CZ"/>
        </w:rPr>
        <w:t xml:space="preserve"> Institute </w:t>
      </w:r>
      <w:proofErr w:type="spellStart"/>
      <w:r w:rsidRPr="00897DCA">
        <w:rPr>
          <w:sz w:val="24"/>
          <w:u w:color="0000FF"/>
          <w:lang w:val="cs-CZ"/>
        </w:rPr>
        <w:t>for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China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Studies</w:t>
      </w:r>
      <w:proofErr w:type="spellEnd"/>
      <w:r w:rsidRPr="00897DCA">
        <w:rPr>
          <w:sz w:val="24"/>
          <w:u w:color="0000FF"/>
          <w:lang w:val="cs-CZ"/>
        </w:rPr>
        <w:t xml:space="preserve">, </w:t>
      </w:r>
      <w:proofErr w:type="spellStart"/>
      <w:r w:rsidRPr="00897DCA">
        <w:rPr>
          <w:sz w:val="24"/>
          <w:u w:color="0000FF"/>
          <w:lang w:val="cs-CZ"/>
        </w:rPr>
        <w:t>The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Vienna</w:t>
      </w:r>
      <w:proofErr w:type="spellEnd"/>
      <w:r w:rsidRPr="00897DCA">
        <w:rPr>
          <w:sz w:val="24"/>
          <w:u w:color="0000FF"/>
          <w:lang w:val="cs-CZ"/>
        </w:rPr>
        <w:t xml:space="preserve"> Institute </w:t>
      </w:r>
      <w:proofErr w:type="spellStart"/>
      <w:r w:rsidRPr="00897DCA">
        <w:rPr>
          <w:sz w:val="24"/>
          <w:u w:color="0000FF"/>
          <w:lang w:val="cs-CZ"/>
        </w:rPr>
        <w:t>for</w:t>
      </w:r>
      <w:proofErr w:type="spellEnd"/>
      <w:r w:rsidRPr="00897DCA">
        <w:rPr>
          <w:sz w:val="24"/>
          <w:u w:color="0000FF"/>
          <w:lang w:val="cs-CZ"/>
        </w:rPr>
        <w:t xml:space="preserve"> International </w:t>
      </w:r>
      <w:proofErr w:type="spellStart"/>
      <w:r w:rsidRPr="00897DCA">
        <w:rPr>
          <w:sz w:val="24"/>
          <w:u w:color="0000FF"/>
          <w:lang w:val="cs-CZ"/>
        </w:rPr>
        <w:t>Economic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Studies</w:t>
      </w:r>
      <w:proofErr w:type="spellEnd"/>
      <w:r w:rsidRPr="00897DCA">
        <w:rPr>
          <w:sz w:val="24"/>
          <w:u w:color="0000FF"/>
          <w:lang w:val="cs-CZ"/>
        </w:rPr>
        <w:t xml:space="preserve">, Institute </w:t>
      </w:r>
      <w:proofErr w:type="spellStart"/>
      <w:r w:rsidRPr="00897DCA">
        <w:rPr>
          <w:sz w:val="24"/>
          <w:u w:color="0000FF"/>
          <w:lang w:val="cs-CZ"/>
        </w:rPr>
        <w:t>of</w:t>
      </w:r>
      <w:proofErr w:type="spellEnd"/>
      <w:r w:rsidRPr="00897DCA">
        <w:rPr>
          <w:sz w:val="24"/>
          <w:u w:color="0000FF"/>
          <w:lang w:val="cs-CZ"/>
        </w:rPr>
        <w:t xml:space="preserve"> International </w:t>
      </w:r>
      <w:proofErr w:type="spellStart"/>
      <w:r w:rsidRPr="00897DCA">
        <w:rPr>
          <w:sz w:val="24"/>
          <w:u w:color="0000FF"/>
          <w:lang w:val="cs-CZ"/>
        </w:rPr>
        <w:t>Economic</w:t>
      </w:r>
      <w:proofErr w:type="spellEnd"/>
      <w:r w:rsidRPr="00897DCA">
        <w:rPr>
          <w:sz w:val="24"/>
          <w:u w:color="0000FF"/>
          <w:lang w:val="cs-CZ"/>
        </w:rPr>
        <w:t xml:space="preserve"> Relations, </w:t>
      </w:r>
      <w:proofErr w:type="spellStart"/>
      <w:r w:rsidRPr="00897DCA">
        <w:rPr>
          <w:sz w:val="24"/>
          <w:u w:color="0000FF"/>
          <w:lang w:val="cs-CZ"/>
        </w:rPr>
        <w:t>Chinese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Investments</w:t>
      </w:r>
      <w:proofErr w:type="spellEnd"/>
      <w:r w:rsidRPr="00897DCA">
        <w:rPr>
          <w:sz w:val="24"/>
          <w:u w:color="0000FF"/>
          <w:lang w:val="cs-CZ"/>
        </w:rPr>
        <w:t xml:space="preserve"> in </w:t>
      </w:r>
      <w:proofErr w:type="spellStart"/>
      <w:r w:rsidRPr="00897DCA">
        <w:rPr>
          <w:sz w:val="24"/>
          <w:u w:color="0000FF"/>
          <w:lang w:val="cs-CZ"/>
        </w:rPr>
        <w:t>European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Maritime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Infrastructure</w:t>
      </w:r>
      <w:proofErr w:type="spellEnd"/>
      <w:r w:rsidRPr="00897DCA">
        <w:rPr>
          <w:sz w:val="24"/>
          <w:u w:color="0000FF"/>
          <w:lang w:val="cs-CZ"/>
        </w:rPr>
        <w:t>, říjen 2023.</w:t>
      </w:r>
    </w:p>
  </w:footnote>
  <w:footnote w:id="13">
    <w:p w:rsidR="006A3ECA" w:rsidRPr="00AC7746" w:rsidRDefault="006A3ECA" w:rsidP="002641BC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r w:rsidRPr="00897DCA">
        <w:rPr>
          <w:sz w:val="24"/>
          <w:u w:color="0000FF"/>
          <w:lang w:val="cs-CZ"/>
        </w:rPr>
        <w:t xml:space="preserve">AIVD, MIVD and NCTV, </w:t>
      </w:r>
      <w:proofErr w:type="spellStart"/>
      <w:r w:rsidRPr="00897DCA">
        <w:rPr>
          <w:sz w:val="24"/>
          <w:u w:color="0000FF"/>
          <w:lang w:val="cs-CZ"/>
        </w:rPr>
        <w:t>Dreigingsbeeld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Statelijke</w:t>
      </w:r>
      <w:proofErr w:type="spellEnd"/>
      <w:r w:rsidRPr="00897DCA">
        <w:rPr>
          <w:sz w:val="24"/>
          <w:u w:color="0000FF"/>
          <w:lang w:val="cs-CZ"/>
        </w:rPr>
        <w:t xml:space="preserve"> </w:t>
      </w:r>
      <w:proofErr w:type="spellStart"/>
      <w:r w:rsidRPr="00897DCA">
        <w:rPr>
          <w:sz w:val="24"/>
          <w:u w:color="0000FF"/>
          <w:lang w:val="cs-CZ"/>
        </w:rPr>
        <w:t>actoren</w:t>
      </w:r>
      <w:proofErr w:type="spellEnd"/>
      <w:r w:rsidRPr="00897DCA">
        <w:rPr>
          <w:sz w:val="24"/>
          <w:u w:color="0000FF"/>
          <w:lang w:val="cs-CZ"/>
        </w:rPr>
        <w:t xml:space="preserve"> 2, listopad 2022.</w:t>
      </w:r>
      <w:bookmarkStart w:id="8" w:name="_GoBack"/>
    </w:p>
    <w:bookmarkEnd w:id="8"/>
  </w:footnote>
  <w:footnote w:id="14">
    <w:p w:rsidR="006A3ECA" w:rsidRPr="00E34E0E" w:rsidRDefault="006A3ECA" w:rsidP="002641BC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r w:rsidRPr="00FC0E7F">
        <w:rPr>
          <w:sz w:val="24"/>
          <w:u w:color="0000FF"/>
          <w:lang w:val="cs-CZ"/>
        </w:rPr>
        <w:t>Nařízení Evropského parlamentu a Rady (EU) 2019/452 ze dne 19. března 2019, kterým se stanoví rámec pro prověřování přímých zahraničníc</w:t>
      </w:r>
      <w:r w:rsidR="00FC0E7F">
        <w:rPr>
          <w:sz w:val="24"/>
          <w:u w:color="0000FF"/>
          <w:lang w:val="cs-CZ"/>
        </w:rPr>
        <w:t>h investic směřujících do Unie (</w:t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>. L 79</w:t>
      </w:r>
      <w:r w:rsidR="00FC0E7F">
        <w:rPr>
          <w:sz w:val="24"/>
          <w:u w:color="0000FF"/>
          <w:lang w:val="cs-CZ"/>
        </w:rPr>
        <w:t xml:space="preserve"> </w:t>
      </w:r>
      <w:r w:rsidRPr="00FC0E7F">
        <w:rPr>
          <w:sz w:val="24"/>
          <w:u w:color="0000FF"/>
          <w:lang w:val="cs-CZ"/>
        </w:rPr>
        <w:t xml:space="preserve">I, </w:t>
      </w:r>
      <w:proofErr w:type="gramStart"/>
      <w:r w:rsidRPr="00FC0E7F">
        <w:rPr>
          <w:sz w:val="24"/>
          <w:u w:color="0000FF"/>
          <w:lang w:val="cs-CZ"/>
        </w:rPr>
        <w:t>21.3.2019</w:t>
      </w:r>
      <w:proofErr w:type="gramEnd"/>
      <w:r w:rsidRPr="00FC0E7F">
        <w:rPr>
          <w:sz w:val="24"/>
          <w:u w:color="0000FF"/>
          <w:lang w:val="cs-CZ"/>
        </w:rPr>
        <w:t>, s. 1</w:t>
      </w:r>
      <w:r w:rsidR="00FC0E7F">
        <w:rPr>
          <w:sz w:val="24"/>
          <w:u w:color="0000FF"/>
          <w:lang w:val="cs-CZ"/>
        </w:rPr>
        <w:t>)</w:t>
      </w:r>
      <w:r w:rsidRPr="00FC0E7F">
        <w:rPr>
          <w:sz w:val="24"/>
          <w:u w:color="0000FF"/>
          <w:lang w:val="cs-CZ"/>
        </w:rPr>
        <w:t>.</w:t>
      </w:r>
    </w:p>
  </w:footnote>
  <w:footnote w:id="15">
    <w:p w:rsidR="006A3ECA" w:rsidRPr="00FC0E7F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2641BC">
        <w:rPr>
          <w:rStyle w:val="FootnoteReference"/>
          <w:sz w:val="24"/>
          <w:lang w:val="cs-CZ"/>
        </w:rPr>
        <w:footnoteRef/>
      </w:r>
      <w:r w:rsidR="002641BC" w:rsidRPr="002641BC">
        <w:rPr>
          <w:sz w:val="24"/>
          <w:lang w:val="cs-CZ"/>
        </w:rPr>
        <w:t xml:space="preserve"> </w:t>
      </w:r>
      <w:r w:rsidR="002641BC" w:rsidRPr="002641BC">
        <w:rPr>
          <w:sz w:val="24"/>
          <w:lang w:val="cs-CZ"/>
        </w:rPr>
        <w:tab/>
      </w:r>
      <w:r w:rsidRPr="00FC0E7F">
        <w:rPr>
          <w:sz w:val="24"/>
          <w:u w:color="0000FF"/>
          <w:lang w:val="cs-CZ"/>
        </w:rPr>
        <w:t>Směrnice Evropského parlamentu a Rady 2003/87/ES ze dne 13. října 2003 o vytvoření systému pro obchodování s povolenkami na emise skleníkových plynů ve Společenství a o změ</w:t>
      </w:r>
      <w:r w:rsidR="00FC0E7F">
        <w:rPr>
          <w:sz w:val="24"/>
          <w:u w:color="0000FF"/>
          <w:lang w:val="cs-CZ"/>
        </w:rPr>
        <w:t>ně směrnice Rady 96/61/ES (</w:t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 xml:space="preserve">. L 275, </w:t>
      </w:r>
      <w:proofErr w:type="gramStart"/>
      <w:r w:rsidRPr="00FC0E7F">
        <w:rPr>
          <w:sz w:val="24"/>
          <w:u w:color="0000FF"/>
          <w:lang w:val="cs-CZ"/>
        </w:rPr>
        <w:t>25.10.2003</w:t>
      </w:r>
      <w:proofErr w:type="gramEnd"/>
      <w:r w:rsidRPr="00FC0E7F">
        <w:rPr>
          <w:sz w:val="24"/>
          <w:u w:color="0000FF"/>
          <w:lang w:val="cs-CZ"/>
        </w:rPr>
        <w:t>, s. 32</w:t>
      </w:r>
      <w:r w:rsidR="00FC0E7F">
        <w:rPr>
          <w:sz w:val="24"/>
          <w:u w:color="0000FF"/>
          <w:lang w:val="cs-CZ"/>
        </w:rPr>
        <w:t>)</w:t>
      </w:r>
      <w:r w:rsidRPr="00FC0E7F">
        <w:rPr>
          <w:sz w:val="24"/>
          <w:u w:color="0000FF"/>
          <w:lang w:val="cs-CZ"/>
        </w:rPr>
        <w:t>.</w:t>
      </w:r>
    </w:p>
  </w:footnote>
  <w:footnote w:id="16">
    <w:p w:rsidR="006A3ECA" w:rsidRPr="00FC0E7F" w:rsidRDefault="006A3ECA" w:rsidP="002641BC">
      <w:pPr>
        <w:pStyle w:val="FootnoteText"/>
        <w:ind w:left="567" w:hanging="567"/>
        <w:rPr>
          <w:sz w:val="24"/>
          <w:u w:color="0000FF"/>
          <w:lang w:val="cs-CZ"/>
        </w:rPr>
      </w:pPr>
      <w:r w:rsidRPr="00FC0E7F">
        <w:rPr>
          <w:rStyle w:val="FootnoteReference"/>
          <w:sz w:val="24"/>
          <w:lang w:val="cs-CZ"/>
        </w:rPr>
        <w:footnoteRef/>
      </w:r>
      <w:r w:rsidR="002641BC" w:rsidRPr="00FC0E7F">
        <w:rPr>
          <w:sz w:val="24"/>
          <w:lang w:val="cs-CZ"/>
        </w:rPr>
        <w:t xml:space="preserve"> </w:t>
      </w:r>
      <w:r w:rsidR="002641BC" w:rsidRPr="00FC0E7F">
        <w:rPr>
          <w:sz w:val="24"/>
          <w:lang w:val="cs-CZ"/>
        </w:rPr>
        <w:tab/>
      </w:r>
      <w:r w:rsidRPr="00FC0E7F">
        <w:rPr>
          <w:sz w:val="24"/>
          <w:u w:color="0000FF"/>
          <w:lang w:val="cs-CZ"/>
        </w:rPr>
        <w:t>Nařízení Evropského parlamentu a Rady (EU) 2023/1805 ze dne 13. září 2023 o využívání obnovitelných a nízkouhlíkových paliv v námořní dopravě</w:t>
      </w:r>
      <w:r w:rsidR="00FC0E7F">
        <w:rPr>
          <w:sz w:val="24"/>
          <w:u w:color="0000FF"/>
          <w:lang w:val="cs-CZ"/>
        </w:rPr>
        <w:t xml:space="preserve"> a o změně směrnice 2009/16/ES (</w:t>
      </w:r>
      <w:proofErr w:type="spellStart"/>
      <w:r w:rsidRPr="00FC0E7F">
        <w:rPr>
          <w:sz w:val="24"/>
          <w:u w:color="0000FF"/>
          <w:lang w:val="cs-CZ"/>
        </w:rPr>
        <w:t>Úř</w:t>
      </w:r>
      <w:proofErr w:type="spellEnd"/>
      <w:r w:rsidRPr="00FC0E7F">
        <w:rPr>
          <w:sz w:val="24"/>
          <w:u w:color="0000FF"/>
          <w:lang w:val="cs-CZ"/>
        </w:rPr>
        <w:t>. </w:t>
      </w:r>
      <w:proofErr w:type="spellStart"/>
      <w:proofErr w:type="gramStart"/>
      <w:r w:rsidRPr="00FC0E7F">
        <w:rPr>
          <w:sz w:val="24"/>
          <w:u w:color="0000FF"/>
          <w:lang w:val="cs-CZ"/>
        </w:rPr>
        <w:t>věst</w:t>
      </w:r>
      <w:proofErr w:type="spellEnd"/>
      <w:proofErr w:type="gramEnd"/>
      <w:r w:rsidRPr="00FC0E7F">
        <w:rPr>
          <w:sz w:val="24"/>
          <w:u w:color="0000FF"/>
          <w:lang w:val="cs-CZ"/>
        </w:rPr>
        <w:t xml:space="preserve">. L 234, </w:t>
      </w:r>
      <w:proofErr w:type="gramStart"/>
      <w:r w:rsidRPr="00FC0E7F">
        <w:rPr>
          <w:sz w:val="24"/>
          <w:u w:color="0000FF"/>
          <w:lang w:val="cs-CZ"/>
        </w:rPr>
        <w:t>22.9.2023</w:t>
      </w:r>
      <w:proofErr w:type="gramEnd"/>
      <w:r w:rsidRPr="00FC0E7F">
        <w:rPr>
          <w:sz w:val="24"/>
          <w:u w:color="0000FF"/>
          <w:lang w:val="cs-CZ"/>
        </w:rPr>
        <w:t>, s. 48</w:t>
      </w:r>
      <w:r w:rsidR="00FC0E7F">
        <w:rPr>
          <w:sz w:val="24"/>
          <w:u w:color="0000FF"/>
          <w:lang w:val="cs-CZ"/>
        </w:rPr>
        <w:t>)</w:t>
      </w:r>
      <w:r w:rsidRPr="00FC0E7F">
        <w:rPr>
          <w:sz w:val="24"/>
          <w:u w:color="0000FF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41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41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41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3/2023"/>
    <w:docVar w:name="dvlangue" w:val="CS"/>
    <w:docVar w:name="dvnumam" w:val="0"/>
    <w:docVar w:name="dvpe" w:val="750.225"/>
    <w:docVar w:name="dvrapporteur" w:val="Zpravodaj: "/>
    <w:docVar w:name="dvtitre" w:val="Usnesení Evropského parlamentu ze dne.... 2024 o vytvoření komplexní evropské strategie pro přístavy(2023/2059(INI))"/>
  </w:docVars>
  <w:rsids>
    <w:rsidRoot w:val="00A9225B"/>
    <w:rsid w:val="00002272"/>
    <w:rsid w:val="0003293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1BC"/>
    <w:rsid w:val="002767FF"/>
    <w:rsid w:val="002B18FE"/>
    <w:rsid w:val="002B5493"/>
    <w:rsid w:val="00343214"/>
    <w:rsid w:val="00361C00"/>
    <w:rsid w:val="00395FA1"/>
    <w:rsid w:val="003E15D4"/>
    <w:rsid w:val="003E495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3EC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DCA"/>
    <w:rsid w:val="008C2AC6"/>
    <w:rsid w:val="00930C23"/>
    <w:rsid w:val="0093193B"/>
    <w:rsid w:val="009509D8"/>
    <w:rsid w:val="00950B64"/>
    <w:rsid w:val="00981893"/>
    <w:rsid w:val="009A6330"/>
    <w:rsid w:val="00A1687D"/>
    <w:rsid w:val="00A43E52"/>
    <w:rsid w:val="00A4678D"/>
    <w:rsid w:val="00A778C7"/>
    <w:rsid w:val="00A9225B"/>
    <w:rsid w:val="00AB441E"/>
    <w:rsid w:val="00AB6293"/>
    <w:rsid w:val="00AC774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6C5"/>
    <w:rsid w:val="00E34E0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E7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455DF"/>
  <w15:chartTrackingRefBased/>
  <w15:docId w15:val="{F7767CB3-1480-4FC7-8BFC-16F87D6B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3ECA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6A3ECA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6A3ECA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6A3ECA"/>
    <w:rPr>
      <w:b/>
      <w:i/>
      <w:u w:val="none"/>
    </w:rPr>
  </w:style>
  <w:style w:type="character" w:customStyle="1" w:styleId="Italic">
    <w:name w:val="Italic"/>
    <w:uiPriority w:val="1"/>
    <w:rsid w:val="006A3ECA"/>
    <w:rPr>
      <w:i/>
    </w:rPr>
  </w:style>
  <w:style w:type="paragraph" w:customStyle="1" w:styleId="Normal12a24b">
    <w:name w:val="Normal12a24b"/>
    <w:basedOn w:val="Normal"/>
    <w:rsid w:val="006A3ECA"/>
    <w:pPr>
      <w:spacing w:before="360" w:after="240"/>
    </w:pPr>
    <w:rPr>
      <w:snapToGrid w:val="0"/>
      <w:lang w:val="en-GB" w:eastAsia="en-US"/>
    </w:rPr>
  </w:style>
  <w:style w:type="paragraph" w:styleId="BalloonText">
    <w:name w:val="Balloon Text"/>
    <w:basedOn w:val="Normal"/>
    <w:link w:val="BalloonTextChar"/>
    <w:rsid w:val="009A63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6330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EN/TXT/PDF/?uri=CELEX:52019IP0156" TargetMode="External"/><Relationship Id="rId2" Type="http://schemas.openxmlformats.org/officeDocument/2006/relationships/hyperlink" Target="https://eur-lex.europa.eu/legal-content/EN/TXT/PDF/?uri=CELEX:52021IP0131" TargetMode="External"/><Relationship Id="rId1" Type="http://schemas.openxmlformats.org/officeDocument/2006/relationships/hyperlink" Target="https://eur-lex.europa.eu/legal-content/EN/TXT/PDF/?uri=CELEX:52021IP03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BE2B6-949D-4FA5-BE16-6EB40313A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4556</Words>
  <Characters>27647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2024-02-24T11:10:00Z</dcterms:created>
  <dcterms:modified xsi:type="dcterms:W3CDTF">2024-02-24T11:10:00Z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A9-0443/2023</vt:lpwstr>
  </property>
  <property fmtid="{D5CDD505-2E9C-101B-9397-08002B2CF9AE}" pid="4" name="&lt;Type&gt;">
    <vt:lpwstr>RR</vt:lpwstr>
  </property>
</Properties>
</file>