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7F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7FEB" w:rsidRDefault="00383926" w:rsidP="0010095E">
            <w:pPr>
              <w:pStyle w:val="EPName"/>
            </w:pPr>
            <w:r w:rsidRPr="00007FEB">
              <w:t>Europski parlament</w:t>
            </w:r>
          </w:p>
          <w:p w:rsidR="00751A4A" w:rsidRPr="00007F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7F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7FEB" w:rsidRDefault="00187494" w:rsidP="0010095E">
            <w:pPr>
              <w:pStyle w:val="EPLogo"/>
            </w:pPr>
            <w:r w:rsidRPr="00007F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7FEB" w:rsidRDefault="00D058B8" w:rsidP="004C5D52">
      <w:pPr>
        <w:pStyle w:val="LineTop"/>
      </w:pPr>
    </w:p>
    <w:p w:rsidR="00680577" w:rsidRPr="00007FEB" w:rsidRDefault="00383926" w:rsidP="00680577">
      <w:pPr>
        <w:pStyle w:val="EPBodyTA1"/>
      </w:pPr>
      <w:r w:rsidRPr="00007FEB">
        <w:t>USVOJENI TEKSTOVI</w:t>
      </w:r>
    </w:p>
    <w:p w:rsidR="00D058B8" w:rsidRPr="00007FEB" w:rsidRDefault="00D058B8" w:rsidP="00D058B8">
      <w:pPr>
        <w:pStyle w:val="LineBottom"/>
      </w:pPr>
    </w:p>
    <w:p w:rsidR="00383926" w:rsidRPr="00007FEB" w:rsidRDefault="00383926" w:rsidP="00383926">
      <w:pPr>
        <w:pStyle w:val="ATHeading1"/>
      </w:pPr>
      <w:bookmarkStart w:id="0" w:name="TANumber"/>
      <w:r w:rsidRPr="00007FEB">
        <w:t>P9_TA(2024)00</w:t>
      </w:r>
      <w:r w:rsidR="00D77221">
        <w:t>25</w:t>
      </w:r>
      <w:bookmarkEnd w:id="0"/>
    </w:p>
    <w:p w:rsidR="00383926" w:rsidRPr="00007FEB" w:rsidRDefault="00383926" w:rsidP="00383926">
      <w:pPr>
        <w:pStyle w:val="ATHeading2"/>
      </w:pPr>
      <w:bookmarkStart w:id="1" w:name="title"/>
      <w:r w:rsidRPr="00007FEB">
        <w:t>Izrada sveobuhvatne europske strategije za luke</w:t>
      </w:r>
      <w:bookmarkEnd w:id="1"/>
    </w:p>
    <w:p w:rsidR="00383926" w:rsidRPr="00007FEB" w:rsidRDefault="00383926" w:rsidP="00383926">
      <w:pPr>
        <w:rPr>
          <w:i/>
          <w:vanish/>
        </w:rPr>
      </w:pPr>
      <w:r w:rsidRPr="00007FEB">
        <w:rPr>
          <w:i/>
        </w:rPr>
        <w:fldChar w:fldCharType="begin"/>
      </w:r>
      <w:r w:rsidRPr="00007FEB">
        <w:rPr>
          <w:i/>
        </w:rPr>
        <w:instrText xml:space="preserve"> TC"(</w:instrText>
      </w:r>
      <w:bookmarkStart w:id="2" w:name="DocNumber"/>
      <w:r w:rsidRPr="00007FEB">
        <w:rPr>
          <w:i/>
        </w:rPr>
        <w:instrText>A9-0443/2023</w:instrText>
      </w:r>
      <w:bookmarkEnd w:id="2"/>
      <w:r w:rsidRPr="00007FEB">
        <w:rPr>
          <w:i/>
        </w:rPr>
        <w:instrText xml:space="preserve"> - Izvjestitelj: Tom </w:instrText>
      </w:r>
      <w:proofErr w:type="spellStart"/>
      <w:r w:rsidRPr="00007FEB">
        <w:rPr>
          <w:i/>
        </w:rPr>
        <w:instrText>Berendsen</w:instrText>
      </w:r>
      <w:proofErr w:type="spellEnd"/>
      <w:r w:rsidRPr="00007FEB">
        <w:rPr>
          <w:i/>
        </w:rPr>
        <w:instrText xml:space="preserve">)"\l3 \n&gt; \* MERGEFORMAT </w:instrText>
      </w:r>
      <w:r w:rsidRPr="00007FEB">
        <w:rPr>
          <w:i/>
        </w:rPr>
        <w:fldChar w:fldCharType="end"/>
      </w:r>
    </w:p>
    <w:p w:rsidR="00383926" w:rsidRPr="00007FEB" w:rsidRDefault="00383926" w:rsidP="00383926">
      <w:pPr>
        <w:rPr>
          <w:vanish/>
        </w:rPr>
      </w:pPr>
      <w:bookmarkStart w:id="3" w:name="Commission"/>
      <w:r w:rsidRPr="00007FEB">
        <w:rPr>
          <w:vanish/>
        </w:rPr>
        <w:t>Odbor za promet i turizam</w:t>
      </w:r>
      <w:bookmarkEnd w:id="3"/>
    </w:p>
    <w:p w:rsidR="00383926" w:rsidRPr="00007FEB" w:rsidRDefault="00383926" w:rsidP="00383926">
      <w:pPr>
        <w:rPr>
          <w:vanish/>
        </w:rPr>
      </w:pPr>
      <w:bookmarkStart w:id="4" w:name="PE"/>
      <w:r w:rsidRPr="00007FEB">
        <w:rPr>
          <w:vanish/>
        </w:rPr>
        <w:t>PE750.225</w:t>
      </w:r>
      <w:bookmarkEnd w:id="4"/>
    </w:p>
    <w:p w:rsidR="00383926" w:rsidRPr="00007FEB" w:rsidRDefault="00383926" w:rsidP="00383926">
      <w:pPr>
        <w:pStyle w:val="ATHeading3"/>
      </w:pPr>
      <w:bookmarkStart w:id="5" w:name="Sujet"/>
      <w:r w:rsidRPr="00007FEB">
        <w:t>Rezolu</w:t>
      </w:r>
      <w:r w:rsidR="00007FEB">
        <w:t>cija Europskog parlamenta od 17</w:t>
      </w:r>
      <w:r w:rsidRPr="00007FEB">
        <w:t xml:space="preserve">. </w:t>
      </w:r>
      <w:r w:rsidR="00007FEB">
        <w:t xml:space="preserve">siječnja </w:t>
      </w:r>
      <w:r w:rsidRPr="00007FEB">
        <w:t>2024. o izradi sveobuhvatne europske strategije za luke</w:t>
      </w:r>
      <w:bookmarkEnd w:id="5"/>
      <w:r w:rsidRPr="00007FEB">
        <w:t xml:space="preserve"> </w:t>
      </w:r>
      <w:bookmarkStart w:id="6" w:name="References"/>
      <w:r w:rsidRPr="00007FEB">
        <w:t>(2023/2059(INI))</w:t>
      </w:r>
      <w:bookmarkEnd w:id="6"/>
    </w:p>
    <w:p w:rsidR="00AE0442" w:rsidRPr="00007FEB" w:rsidRDefault="00AE0442" w:rsidP="00AE0442">
      <w:pPr>
        <w:pStyle w:val="EPComma"/>
        <w:rPr>
          <w:lang w:val="hr-HR"/>
        </w:rPr>
      </w:pPr>
      <w:bookmarkStart w:id="7" w:name="TextBodyBegin"/>
      <w:bookmarkEnd w:id="7"/>
      <w:r w:rsidRPr="00007FEB">
        <w:rPr>
          <w:rStyle w:val="Italic"/>
          <w:lang w:val="hr-HR"/>
        </w:rPr>
        <w:t>Europski parlament</w:t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Ugovor o funkcioniranju Europske unije, a posebno njegovu glavu XVIII.,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komunikaciju Komisije od 1. lipnja 2023. naslovljenu „Pomorska sigurnost: u središtu čistog i modernog pomorskog prometa” (COM(2023)0268),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zajedničku komunikaciju Komisije i Visokog predstavnika Unije za vanjske poslove i sigurnosnu politiku od 10. ožujka 2023. o ažuriranju Strategije pomorske sigurnosti EU-a i njezina akcijskog plana naslovljenu „Poboljšana strategija pomorske sigurnosti EU-a za suočavanje s promjenjivim pomorskim prijetnjama” (JOIN(2023)0008),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Akcijski plan strategije pomorske sigurnosti, koji je Europsko vijeće usvojilo 24. lipnja 2014.,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zaključke Vijeća o reviziji Akcijskog plana strategije pomorske sigurnosti EU-a, koji je Europsko vijeće usvojilo 26. lipnja 2018.,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 xml:space="preserve">uzimajući u obzir zajedničku komunikaciju Komisije i Visokog predstavnika Unije za vanjske poslove i sigurnosnu politiku od 1. prosinca 2021. naslovljenu „Global </w:t>
      </w:r>
      <w:proofErr w:type="spellStart"/>
      <w:r w:rsidRPr="00007FEB">
        <w:rPr>
          <w:lang w:val="hr-HR"/>
        </w:rPr>
        <w:t>Gateway</w:t>
      </w:r>
      <w:proofErr w:type="spellEnd"/>
      <w:r w:rsidRPr="00007FEB">
        <w:rPr>
          <w:lang w:val="hr-HR"/>
        </w:rPr>
        <w:t>” (JOIN(2021)0030),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zajedničku komunikaciju Komisije i Visokog predstavnika Unije za vanjske poslove i sigurnosnu politiku od 12. ožujka 2019. naslovljenu „EU i Kina – strateški pregled” (JOIN(2019)0005),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zajedničku komunikaciju Europskom parlamentu, Europskom vijeću i Vijeću od 20. lipnja 2023. naslovljenu „Europska strategija gosp</w:t>
      </w:r>
      <w:r w:rsidR="00694319">
        <w:rPr>
          <w:lang w:val="hr-HR"/>
        </w:rPr>
        <w:t>odarske sigurnosti” (JOIN(2023)</w:t>
      </w:r>
      <w:r w:rsidRPr="00007FEB">
        <w:rPr>
          <w:lang w:val="hr-HR"/>
        </w:rPr>
        <w:t>0020),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–</w:t>
      </w:r>
      <w:r w:rsidRPr="00007FEB">
        <w:rPr>
          <w:lang w:val="hr-HR"/>
        </w:rPr>
        <w:tab/>
        <w:t>uzimajući u obzir paket Komisije „Spremni za 55 %” od 14. srpnja 2021. o provedbi europskog zelenog plana,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sporazum postignut 12. prosinca 2015. u Parizu na 21. zasjedanju Konferencije stranaka (COP 21) Okvirne konvencije Ujedinjenih naroda o klimatskim promjenama (Pariški sporazum),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 xml:space="preserve">uzimajući u obzir komunikaciju Komisije od 20. svibnja 2020. naslovljenu „Strategija EU-a za </w:t>
      </w:r>
      <w:proofErr w:type="spellStart"/>
      <w:r w:rsidRPr="00007FEB">
        <w:rPr>
          <w:lang w:val="hr-HR"/>
        </w:rPr>
        <w:t>bioraznolikost</w:t>
      </w:r>
      <w:proofErr w:type="spellEnd"/>
      <w:r w:rsidRPr="00007FEB">
        <w:rPr>
          <w:lang w:val="hr-HR"/>
        </w:rPr>
        <w:t xml:space="preserve"> do 2030.: Vraćanje prirode u naše živote” (COM(2020)0380),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Direktivu 2007/60/EZ od 23. listopada 2007. o procjeni i upravljanju rizicima od poplava,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Direktivu (EU) 2018/2001 od 11. prosinca 2018. o promicanju uporabe energije iz obnovljivih izvora,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komunikaciju Komisije od 23. svibnja 2013. naslovljenu „Luke: pokretač rasta” (COM(2013)0295),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Komunikaciju Komisije od 18. listopada 2023. o EU-ovom planu za borbu protiv organiziranog kriminala i trgovine drogom,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akcijski plan EU-a „Prema postizanju nulte stope onečišćenja zraka, vode i tla”,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Direktivu o kvaliteti zraka (2022/0347(COD)) [pregovori u tijeku],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(EU) 2023/1804 Europskog parlamenta i Vijeća od 13. rujna 2023. o uvođenju infrastrukture za alternativna goriva i stavljanju izvan snage Direktive 2014/94/EU</w:t>
      </w:r>
      <w:r w:rsidRPr="00007FEB">
        <w:rPr>
          <w:rStyle w:val="FootnoteReference"/>
          <w:lang w:val="hr-HR"/>
        </w:rPr>
        <w:footnoteReference w:id="1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 xml:space="preserve">uzimajući u obzir Uredbu (EU) 2023/1805 Europskog parlamenta i Vijeća od 13. rujna 2023. o uporabi obnovljivih i </w:t>
      </w:r>
      <w:proofErr w:type="spellStart"/>
      <w:r w:rsidRPr="00007FEB">
        <w:rPr>
          <w:lang w:val="hr-HR"/>
        </w:rPr>
        <w:t>niskougljičnih</w:t>
      </w:r>
      <w:proofErr w:type="spellEnd"/>
      <w:r w:rsidRPr="00007FEB">
        <w:rPr>
          <w:lang w:val="hr-HR"/>
        </w:rPr>
        <w:t xml:space="preserve"> goriva u pomorskom prometu i izmjeni Direktive 2009/16/EZ</w:t>
      </w:r>
      <w:r w:rsidRPr="00007FEB">
        <w:rPr>
          <w:rStyle w:val="FootnoteReference"/>
          <w:lang w:val="hr-HR"/>
        </w:rPr>
        <w:footnoteReference w:id="2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Direktivu (EU) 2022/2557 Europskog parlamenta i Vijeća od 14. prosinca 2022. o otpornosti kritičnih subjekata i stavljanju izvan snage Direktive Vijeća 2008/114/EZ</w:t>
      </w:r>
      <w:r w:rsidRPr="00007FEB">
        <w:rPr>
          <w:rStyle w:val="FootnoteReference"/>
          <w:lang w:val="hr-HR"/>
        </w:rPr>
        <w:footnoteReference w:id="3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(EU) 2021/1153 Europskog parlamenta i Vijeća od 7. srpnja 2021. o uspostavi Instrumenta za povezivanje Europe i stavljanju izvan snage uredbi (EU) br. 1316/2013 i (EU) br. 283/2014</w:t>
      </w:r>
      <w:r w:rsidRPr="00007FEB">
        <w:rPr>
          <w:rStyle w:val="FootnoteReference"/>
          <w:lang w:val="hr-HR"/>
        </w:rPr>
        <w:footnoteReference w:id="4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(EU) 2019/452 Europskog parlamenta i Vijeća od 19. ožujka 2019. o uspostavi okvira za provjeru izravnih stranih ulaganja u Uniji</w:t>
      </w:r>
      <w:r w:rsidRPr="00007FEB">
        <w:rPr>
          <w:rStyle w:val="FootnoteReference"/>
          <w:lang w:val="hr-HR"/>
        </w:rPr>
        <w:footnoteReference w:id="5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–</w:t>
      </w:r>
      <w:r w:rsidRPr="00007FEB">
        <w:rPr>
          <w:lang w:val="hr-HR"/>
        </w:rPr>
        <w:tab/>
        <w:t>uzimajući u obzir Uredbu (EU) 2022/2560 Europskog parlamenta i Vijeća od 14. prosinca 2022. o stranim subvencijama kojima se narušava unutarnje tržište</w:t>
      </w:r>
      <w:r w:rsidRPr="00007FEB">
        <w:rPr>
          <w:rStyle w:val="FootnoteReference"/>
          <w:lang w:val="hr-HR"/>
        </w:rPr>
        <w:footnoteReference w:id="6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(EU) 2017/352 Europskog parlamenta i Vijeća od 15. veljače 2017. o uspostavi okvira za pružanje lučkih usluga i zajedničkih pravila o financijskoj transparentnosti luka</w:t>
      </w:r>
      <w:r w:rsidRPr="00007FEB">
        <w:rPr>
          <w:rStyle w:val="FootnoteReference"/>
          <w:lang w:val="hr-HR"/>
        </w:rPr>
        <w:footnoteReference w:id="7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(EU) br. 1315/2013 Europskog parlamenta i Vijeća od 11. prosinca 2013. o smjernicama Unije za razvoj transeuropske prometne mreže i stavljanju izvan snage Odluke br. 661/2010/EU</w:t>
      </w:r>
      <w:r w:rsidRPr="00007FEB">
        <w:rPr>
          <w:rStyle w:val="FootnoteReference"/>
          <w:lang w:val="hr-HR"/>
        </w:rPr>
        <w:footnoteReference w:id="8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Uredbu Komisije (EZ) br. 906/2009 od 28. rujna 2009. o primjeni članka 81. stavka 3. Ugovora na određene kategorije sporazuma, odluka i usklađenih djelovanja između brodara u linijskom pomorskom prometu (konzorciji) te Komunikaciju Komisiji od 10. listopada 2023. o njezinu isteku 25. travnja 2024.,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Prijedlog uredbe Europskog parlamenta i Vijeća o smjernicama Unije za razvoj transeuropske prometne mreže, izmjeni Uredbe (EU) 2021/1153 i Uredbe (EU) br. 913/2010 te stavlj</w:t>
      </w:r>
      <w:r w:rsidR="00694319">
        <w:rPr>
          <w:lang w:val="hr-HR"/>
        </w:rPr>
        <w:t>anju izvan snage Uredbe (EU) </w:t>
      </w:r>
      <w:r w:rsidRPr="00007FEB">
        <w:rPr>
          <w:lang w:val="hr-HR"/>
        </w:rPr>
        <w:t>1315/2013 (COM(2021)0812),</w:t>
      </w:r>
      <w:bookmarkStart w:id="8" w:name="_GoBack"/>
      <w:bookmarkEnd w:id="8"/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svoju Rezoluciju od 16. rujna 2021. o novoj strategiji EU-a za Kinu</w:t>
      </w:r>
      <w:r w:rsidRPr="00007FEB">
        <w:rPr>
          <w:rStyle w:val="FootnoteReference"/>
          <w:lang w:val="hr-HR"/>
        </w:rPr>
        <w:footnoteReference w:id="9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svoju Rezoluciju od 27. travnja 2021. o tehničkim i operativnim mjerama za učinkovitiji i čišći pomorski promet</w:t>
      </w:r>
      <w:r w:rsidRPr="00007FEB">
        <w:rPr>
          <w:rStyle w:val="FootnoteReference"/>
          <w:lang w:val="hr-HR"/>
        </w:rPr>
        <w:footnoteReference w:id="10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svoju Rezoluciju od 12. ožujka 2019. o sigurnosnim prijetnjama povezanim sa sve većom tehnološkom prisutnošću Kine u EU-u i mogućim mjerama na razini EU-a za njihovo smanjenje</w:t>
      </w:r>
      <w:r w:rsidRPr="00007FEB">
        <w:rPr>
          <w:rStyle w:val="FootnoteReference"/>
          <w:lang w:val="hr-HR"/>
        </w:rPr>
        <w:footnoteReference w:id="11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studiju iz rujna 2023. naslovljenu „</w:t>
      </w:r>
      <w:proofErr w:type="spellStart"/>
      <w:r w:rsidRPr="00007FEB">
        <w:rPr>
          <w:lang w:val="hr-HR"/>
        </w:rPr>
        <w:t>Chinese</w:t>
      </w:r>
      <w:proofErr w:type="spellEnd"/>
      <w:r w:rsidRPr="00007FEB">
        <w:rPr>
          <w:lang w:val="hr-HR"/>
        </w:rPr>
        <w:t xml:space="preserve"> </w:t>
      </w:r>
      <w:proofErr w:type="spellStart"/>
      <w:r w:rsidRPr="00007FEB">
        <w:rPr>
          <w:lang w:val="hr-HR"/>
        </w:rPr>
        <w:t>Investments</w:t>
      </w:r>
      <w:proofErr w:type="spellEnd"/>
      <w:r w:rsidRPr="00007FEB">
        <w:rPr>
          <w:lang w:val="hr-HR"/>
        </w:rPr>
        <w:t xml:space="preserve"> </w:t>
      </w:r>
      <w:proofErr w:type="spellStart"/>
      <w:r w:rsidRPr="00007FEB">
        <w:rPr>
          <w:lang w:val="hr-HR"/>
        </w:rPr>
        <w:t>in</w:t>
      </w:r>
      <w:proofErr w:type="spellEnd"/>
      <w:r w:rsidRPr="00007FEB">
        <w:rPr>
          <w:lang w:val="hr-HR"/>
        </w:rPr>
        <w:t xml:space="preserve"> European </w:t>
      </w:r>
      <w:proofErr w:type="spellStart"/>
      <w:r w:rsidRPr="00007FEB">
        <w:rPr>
          <w:lang w:val="hr-HR"/>
        </w:rPr>
        <w:t>Maritime</w:t>
      </w:r>
      <w:proofErr w:type="spellEnd"/>
      <w:r w:rsidRPr="00007FEB">
        <w:rPr>
          <w:lang w:val="hr-HR"/>
        </w:rPr>
        <w:t xml:space="preserve"> </w:t>
      </w:r>
      <w:proofErr w:type="spellStart"/>
      <w:r w:rsidRPr="00007FEB">
        <w:rPr>
          <w:lang w:val="hr-HR"/>
        </w:rPr>
        <w:t>Infrastructure</w:t>
      </w:r>
      <w:proofErr w:type="spellEnd"/>
      <w:r w:rsidRPr="00007FEB">
        <w:rPr>
          <w:lang w:val="hr-HR"/>
        </w:rPr>
        <w:t xml:space="preserve"> („Kineska ulaganja u europsku pomorsku infrastrukturu”), koju je zatražio Odbor za promet i turizam</w:t>
      </w:r>
      <w:r w:rsidRPr="00007FEB">
        <w:rPr>
          <w:rStyle w:val="FootnoteReference"/>
          <w:lang w:val="hr-HR"/>
        </w:rPr>
        <w:footnoteReference w:id="12"/>
      </w:r>
      <w:r w:rsidRPr="00007FEB">
        <w:rPr>
          <w:lang w:val="hr-HR"/>
        </w:rPr>
        <w:t>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članak 54. Poslovnika,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mišljenje Odbora za međunarodnu trgovinu,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–</w:t>
      </w:r>
      <w:r w:rsidRPr="00007FEB">
        <w:rPr>
          <w:lang w:val="hr-HR"/>
        </w:rPr>
        <w:tab/>
        <w:t>uzimajući u obzir izvješće Odbora za promet i turizam (A9-0443/2023),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A.</w:t>
      </w:r>
      <w:r w:rsidRPr="00007FEB">
        <w:rPr>
          <w:lang w:val="hr-HR"/>
        </w:rPr>
        <w:tab/>
        <w:t xml:space="preserve">budući da su naše luke pristupne točke EU-a prema svijetu i da kao takve imaju ključnu ulogu u njegovu gospodarstvu jer olakšavaju vanjsku trgovinu, povezuju sa zaleđem, </w:t>
      </w:r>
      <w:r w:rsidRPr="00007FEB">
        <w:rPr>
          <w:lang w:val="hr-HR"/>
        </w:rPr>
        <w:lastRenderedPageBreak/>
        <w:t>osiguravaju rast plavoga gospodarstva i industrijske proizvodnje, energetsku tranziciju i sigurnost opskrbe energijom, kao i stratešku autonomiju EU-a;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B.</w:t>
      </w:r>
      <w:r w:rsidRPr="00007FEB">
        <w:rPr>
          <w:lang w:val="hr-HR"/>
        </w:rPr>
        <w:tab/>
        <w:t>budući da luke pružaju ključnu javnu uslugu zbog čega bi ih trebalo uvažiti i cijeniti;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C.</w:t>
      </w:r>
      <w:r w:rsidRPr="00007FEB">
        <w:rPr>
          <w:lang w:val="hr-HR"/>
        </w:rPr>
        <w:tab/>
        <w:t>budući da, iako je tržišno natjecanje među lukama korisno, trebalo bi izbjegavati njihovu međusobnu utrku u snižavanju standarda jer bi u suprotnom to naštetilo sigurnosti ili povećalo politički utjecaj ili stranu kontrolu putem ulaganja subjekata iz trećih zemalja, posebno poduzeća koja su u državnom vlasništvu i pod kontrolom ili utjecajem države;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D.</w:t>
      </w:r>
      <w:r w:rsidRPr="00007FEB">
        <w:rPr>
          <w:lang w:val="hr-HR"/>
        </w:rPr>
        <w:tab/>
        <w:t>budući da su poduzeća u državnom vlasništvu trećih zemalja ili poduzeća koja su pod izravnom ili neizravnom kontrolom stranih država strateški povećala svoje financijske i operativne udjele u europskim lukama, terminalima, poduzećima i lučkoj infrastrukturi;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E.</w:t>
      </w:r>
      <w:r w:rsidRPr="00007FEB">
        <w:rPr>
          <w:lang w:val="hr-HR"/>
        </w:rPr>
        <w:tab/>
        <w:t>budući da je Europska unija istaknula svoju želju za većom autonomijom u strateškim sektorima, ali nije učinila mnogo kako bi odgovorila na rast Kine u pomorskom sektoru i povezane sigurnosne posljedice;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F.</w:t>
      </w:r>
      <w:r w:rsidRPr="00007FEB">
        <w:rPr>
          <w:lang w:val="hr-HR"/>
        </w:rPr>
        <w:tab/>
        <w:t>budući da su luke vrlo složeno okruženje s brojnim različitim dionicima i interesima zbog čega je zahtjevno ali i ključno prepoznati i procijeniti rizike od stranog utjecaja;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G.</w:t>
      </w:r>
      <w:r w:rsidRPr="00007FEB">
        <w:rPr>
          <w:lang w:val="hr-HR"/>
        </w:rPr>
        <w:tab/>
        <w:t>budući da je ruska ratna agresija na Ukrajinu pokazala da postoje neprihvatljivi rizici ovisnosti o pojedinačnim trećim zemljama u strateškim sektorima i da je prijeko potrebno ojačati sigurnost i otpornost pomorske infrastrukture i lanaca vrijednosti kako bi se osigurao protok ključne robe;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H.</w:t>
      </w:r>
      <w:r w:rsidRPr="00007FEB">
        <w:rPr>
          <w:lang w:val="hr-HR"/>
        </w:rPr>
        <w:tab/>
        <w:t>budući da su luke ponovno postale važne s vojnog i obrambenog stajališta, među ostalim u pogledu dvojne namjene lučke infrastrukture;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I.</w:t>
      </w:r>
      <w:r w:rsidRPr="00007FEB">
        <w:rPr>
          <w:lang w:val="hr-HR"/>
        </w:rPr>
        <w:tab/>
        <w:t>budući da se europske luke često natječu s lukama trećih zemalja u kojima strana ulaganja trećih zemalja dodatno pogoršavaju nedostatak jednakih uvjeta u pogledu konkurencije i poštovanja standarda održivosti, prava radnika i fiskalnog opterećenja;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J.</w:t>
      </w:r>
      <w:r w:rsidRPr="00007FEB">
        <w:rPr>
          <w:lang w:val="hr-HR"/>
        </w:rPr>
        <w:tab/>
        <w:t xml:space="preserve">budući da bi posebnu pozornost trebalo posvetiti negativnim učincima praksi izbjegavanja zbog premještanja aktivnosti pretovara u luke trećih zemalja, kako u smislu narušavanja konkurentnosti luka EU-a tako i povećanja </w:t>
      </w:r>
      <w:proofErr w:type="spellStart"/>
      <w:r w:rsidRPr="00007FEB">
        <w:rPr>
          <w:lang w:val="hr-HR"/>
        </w:rPr>
        <w:t>izmještanja</w:t>
      </w:r>
      <w:proofErr w:type="spellEnd"/>
      <w:r w:rsidRPr="00007FEB">
        <w:rPr>
          <w:lang w:val="hr-HR"/>
        </w:rPr>
        <w:t xml:space="preserve"> emisija ugljika;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K.</w:t>
      </w:r>
      <w:r w:rsidRPr="00007FEB">
        <w:rPr>
          <w:lang w:val="hr-HR"/>
        </w:rPr>
        <w:tab/>
        <w:t>budući da luke imaju nezamjenjivu ulogu u EU-ovom upravljanju krizama jer osiguravaju kontinuitet lanaca opskrbe i uspostavljaju alternativne rute, među ostalim uspostavom alternativnih ruta za opskrbu ukapljenim prirodnim plinom (UPP) u kratkom vremenu i povećanjem skladištenja plina u Europi;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L.</w:t>
      </w:r>
      <w:r w:rsidRPr="00007FEB">
        <w:rPr>
          <w:lang w:val="hr-HR"/>
        </w:rPr>
        <w:tab/>
        <w:t>budući da najudaljenijim regijama i otocima luke često služe kao glavna društvena i gospodarska veza s ostatkom EU-a;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M.</w:t>
      </w:r>
      <w:r w:rsidRPr="00007FEB">
        <w:rPr>
          <w:lang w:val="hr-HR"/>
        </w:rPr>
        <w:tab/>
        <w:t xml:space="preserve">budući da su luke ključne za </w:t>
      </w:r>
      <w:proofErr w:type="spellStart"/>
      <w:r w:rsidRPr="00007FEB">
        <w:rPr>
          <w:lang w:val="hr-HR"/>
        </w:rPr>
        <w:t>dekarbonizaciju</w:t>
      </w:r>
      <w:proofErr w:type="spellEnd"/>
      <w:r w:rsidRPr="00007FEB">
        <w:rPr>
          <w:lang w:val="hr-HR"/>
        </w:rPr>
        <w:t xml:space="preserve"> vodnog prometa, uzimajući u obzir zeleni plan i ciljeve smanjenja onečišćenja te ključnu ulogu energije iz obnovljivih izvora na moru; budući da je važno smanjiti onečišćenje zraka koje uzrokuju brodovi u lučkim područjima, među ostalim emisije crnog ugljika;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N.</w:t>
      </w:r>
      <w:r w:rsidRPr="00007FEB">
        <w:rPr>
          <w:lang w:val="hr-HR"/>
        </w:rPr>
        <w:tab/>
        <w:t>budući da će na lučka područja i lučke djelatnosti diljem EU-a utjecati podizanje razine mora;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O.</w:t>
      </w:r>
      <w:r w:rsidRPr="00007FEB">
        <w:rPr>
          <w:lang w:val="hr-HR"/>
        </w:rPr>
        <w:tab/>
        <w:t>budući da luke kombiniraju i štite niz različitih obalnih aktivnosti u korist građana, obalnih zajednica i morskog okoliša tako što pružaju pomoć u održavanju obalnih staništa i poboljšanju kvalitete zraka u aglomeracijama oko luka;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P.</w:t>
      </w:r>
      <w:r w:rsidRPr="00007FEB">
        <w:rPr>
          <w:lang w:val="hr-HR"/>
        </w:rPr>
        <w:tab/>
        <w:t>budući da bi se boljim logističkim planiranjem između luka i korisnika, uključujući brodare, mogao izbjeći nepotreban cestovni prijevoz diljem Europe; budući da bi uža suradnja među lukama radi jačanja međuregionalnih veza i skraćivanja veza mogla dovesti do učinkovitijih ulaganja u lučku infrastrukturu, otpornijih uvoznih/izvoznih ruta i učinkovitijeg korištenja resursa, javnih i privatnih sredstava te nedovoljno iskorištenih kapaciteta;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Q.</w:t>
      </w:r>
      <w:r w:rsidRPr="00007FEB">
        <w:rPr>
          <w:lang w:val="hr-HR"/>
        </w:rPr>
        <w:tab/>
        <w:t>budući da su luke dio šireg vodnog ekosustava koji obuhvaća širok raspon aktivnosti, uključujući pomorski promet, brodogradnju, proizvodnju pomorske opreme, unutarnju plovidbu i logistiku;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R.</w:t>
      </w:r>
      <w:r w:rsidRPr="00007FEB">
        <w:rPr>
          <w:lang w:val="hr-HR"/>
        </w:rPr>
        <w:tab/>
        <w:t>budući da Komisija nije pretočila jasnu potrebu za multidisciplinarnim i integriranim pristupom europskim lukama u konkretne mjere, što je tijekom vremena dovelo do neujednačenosti propisa o lukama;</w:t>
      </w:r>
    </w:p>
    <w:p w:rsidR="00AE0442" w:rsidRPr="00007FEB" w:rsidRDefault="00AE0442" w:rsidP="00AE0442">
      <w:pPr>
        <w:pStyle w:val="Normal12a24b"/>
        <w:rPr>
          <w:lang w:val="hr-HR"/>
        </w:rPr>
      </w:pPr>
      <w:r w:rsidRPr="00007FEB">
        <w:rPr>
          <w:rStyle w:val="BoldItalic"/>
          <w:lang w:val="hr-HR"/>
        </w:rPr>
        <w:t>Strani utjecaj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1.</w:t>
      </w:r>
      <w:r w:rsidRPr="00007FEB">
        <w:rPr>
          <w:lang w:val="hr-HR"/>
        </w:rPr>
        <w:tab/>
        <w:t>ističe opetovana upozorenja obavještajnih agencija na rizik od gospodarske ovisnosti, špijunaže i sabotaže uzrokovane gospodarskom prisutnošću i operativnom uključenošću subjekata iz trećih zemalja u našoj kritičnoj infrastrukturi i strateškim sektorima, na primjer u lučkom sektoru</w:t>
      </w:r>
      <w:r w:rsidRPr="00007FEB">
        <w:rPr>
          <w:rStyle w:val="FootnoteReference"/>
          <w:lang w:val="hr-HR"/>
        </w:rPr>
        <w:footnoteReference w:id="13"/>
      </w:r>
      <w:r w:rsidRPr="00007FEB">
        <w:rPr>
          <w:lang w:val="hr-HR"/>
        </w:rPr>
        <w:t>, među ostalim aktivnosti stranih plovila;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2.</w:t>
      </w:r>
      <w:r w:rsidRPr="00007FEB">
        <w:rPr>
          <w:lang w:val="hr-HR"/>
        </w:rPr>
        <w:tab/>
        <w:t>poziva Komisiju da predstavi strateški okvir politika EU-a kako bi se smanjio i ograničio utjecaj i financijski i operativni nadzor koji se provodi nad lukama EU-a, njihovim procesima i operacijama u zaleđu od strane trećih zemalja, među ostalim sudjelovanje i nadzor u upravljanju lučkim upravama, u duhu postizanja ravnoteže između održavanja otvorenog ulagačkog okruženja i ublažavanja rizika; poziva Komisiju i države članice da također prate uključenost trećih zemalja u luke susjednih zemalja obuhvaćene europskom politikom susjedstva i politikom proširenja;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3.</w:t>
      </w:r>
      <w:r w:rsidRPr="00007FEB">
        <w:rPr>
          <w:lang w:val="hr-HR"/>
        </w:rPr>
        <w:tab/>
        <w:t>poziva Komisiju da u suradnji s državama članicama predloži okvir za neprekidno praćenje utjecaja trećih zemalja u lukama EU-a, posebno lukama TEN-T mreže, upravljanju terminalima EU-a i svjetskom kontejnerskom prijevozu te za izvješćivanje o tome i da procijeni moguće veze između djelovanja određene treće zemlje u tim sektorima;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4.</w:t>
      </w:r>
      <w:r w:rsidRPr="00007FEB">
        <w:rPr>
          <w:lang w:val="hr-HR"/>
        </w:rPr>
        <w:tab/>
        <w:t xml:space="preserve">naglašava da ograničavanje stranih ulaganja u pojedinačnu luku u državi članici, posebno poduzeća koja su u državnom vlasništvu i pod kontrolom ili utjecajem države, može negativno utjecati na konkurentski položaj te luke u usporedbi sa susjednim lukama koje nemaju ta ograničenja, što naglašava potrebu za izradom zajedničke europske strategije; smatra da asimetrično širenje stranih ulaganja među zemljama EU-a može ugroziti jedinstvo, kapacitete za upravljanje krizama i otpornost EU-a; traži od </w:t>
      </w:r>
      <w:r w:rsidRPr="00007FEB">
        <w:rPr>
          <w:lang w:val="hr-HR"/>
        </w:rPr>
        <w:lastRenderedPageBreak/>
        <w:t>Komisije da analizira mogući učinak na zapošljavanje i trgovinu na lokalnoj razini i razini EU-a koji bi mogao imati ograničavanje ulaganja trećih zemalja u europske luke;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5.</w:t>
      </w:r>
      <w:r w:rsidRPr="00007FEB">
        <w:rPr>
          <w:lang w:val="hr-HR"/>
        </w:rPr>
        <w:tab/>
        <w:t>potiče nacionalne lučke uprave, države članice i Komisiju da razviju odgovarajući format za stratešku suradnju među europskim lukama kako bi se smanjio rizik od toga da ih vanjski akteri okrenu jedne protiv drugih;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6.</w:t>
      </w:r>
      <w:r w:rsidRPr="00007FEB">
        <w:rPr>
          <w:lang w:val="hr-HR"/>
        </w:rPr>
        <w:tab/>
        <w:t>naglašava da, unatoč tome što na razini EU-a postoje zaštitni mehanizmi, kao što su provjera izravnih stranih ulaganja i pravila tržišnog natjecanja, ti instrumenti nisu dovoljni za rješavanje pitanja sve veće gospodarske snage vanjskih sila putem pojedinačnih poduzeća, među ostalim poduzeća koja su u državnom vlasništvu i pod kontrolom ili utjecajem države, i uvelike ovise o provedbi u pojedinačnim državama članicama;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7.</w:t>
      </w:r>
      <w:r w:rsidRPr="00007FEB">
        <w:rPr>
          <w:lang w:val="hr-HR"/>
        </w:rPr>
        <w:tab/>
        <w:t>naglašava važnost povećanja suradnje EU-a u provjeri i blokiranju ulaznih ulaganja u kritičnu infrastrukturu, pri čemu se ne može isključiti snažan negativni učinak na druge države članice ili na EU u cjelini i da bi ta suradnja trebala uključivati razmjenu informacija o prijetnjama i prilikama;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8.</w:t>
      </w:r>
      <w:r w:rsidRPr="00007FEB">
        <w:rPr>
          <w:lang w:val="hr-HR"/>
        </w:rPr>
        <w:tab/>
        <w:t>snažno potiče Komisiju da ojača ulogu zaštitnih mjera za luke ambicioznom revizijom Uredbe o izravnim stranim ulaganjima</w:t>
      </w:r>
      <w:r w:rsidRPr="00007FEB">
        <w:rPr>
          <w:rStyle w:val="FootnoteReference"/>
          <w:lang w:val="hr-HR"/>
        </w:rPr>
        <w:footnoteReference w:id="14"/>
      </w:r>
      <w:r w:rsidRPr="00007FEB">
        <w:rPr>
          <w:lang w:val="hr-HR"/>
        </w:rPr>
        <w:t xml:space="preserve">, među ostalim uvođenjem obveznog sustava za provjeru izravnih stranih ulaganja u svim državama članicama, osiguravanjem da su postupci provjere jasni i objektivni te da su definicije, područje primjene i </w:t>
      </w:r>
      <w:proofErr w:type="spellStart"/>
      <w:r w:rsidRPr="00007FEB">
        <w:rPr>
          <w:lang w:val="hr-HR"/>
        </w:rPr>
        <w:t>postupovni</w:t>
      </w:r>
      <w:proofErr w:type="spellEnd"/>
      <w:r w:rsidRPr="00007FEB">
        <w:rPr>
          <w:lang w:val="hr-HR"/>
        </w:rPr>
        <w:t xml:space="preserve"> aspekti dosljedni u svim državama članicama kako bi se osigurali jednaki uvjeti na razini EU-a;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9.</w:t>
      </w:r>
      <w:r w:rsidRPr="00007FEB">
        <w:rPr>
          <w:lang w:val="hr-HR"/>
        </w:rPr>
        <w:tab/>
        <w:t xml:space="preserve">naglašava i ključnu važnost mehanizma iz članka [47.] revidirane Uredbe o mreži TEN-T [xxx/2024], kojim se državama članicama nalaže da provjeravaju ulaganja trećih zemalja u infrastrukturu mreže TEN-T s obzirom na njihove potencijalne rizike za sigurnost </w:t>
      </w:r>
      <w:r w:rsidR="00B624D4">
        <w:rPr>
          <w:lang w:val="hr-HR"/>
        </w:rPr>
        <w:t xml:space="preserve">ili </w:t>
      </w:r>
      <w:r w:rsidRPr="00007FEB">
        <w:rPr>
          <w:lang w:val="hr-HR"/>
        </w:rPr>
        <w:t xml:space="preserve">javni poredak, što se mora smatrati dopunom odredbama Uredbe o izravnim stranim ulaganjima jer se taj mehanizam primjenjuje i na ulaganja u infrastrukturu (npr. stjecanje udjela u terminalu) i na infrastrukturne radove koje u EU-u obavlja poduzeće iz treće zemlje (npr. u javnoj nabavi za izgradnju terminala u europskoj luci) </w:t>
      </w:r>
      <w:r w:rsidR="00B624D4">
        <w:rPr>
          <w:lang w:val="hr-HR"/>
        </w:rPr>
        <w:t>te naglašava</w:t>
      </w:r>
      <w:r w:rsidRPr="00007FEB">
        <w:rPr>
          <w:lang w:val="hr-HR"/>
        </w:rPr>
        <w:t xml:space="preserve"> da </w:t>
      </w:r>
      <w:r w:rsidR="00B624D4">
        <w:rPr>
          <w:lang w:val="hr-HR"/>
        </w:rPr>
        <w:t xml:space="preserve">bi </w:t>
      </w:r>
      <w:r w:rsidRPr="00007FEB">
        <w:rPr>
          <w:lang w:val="hr-HR"/>
        </w:rPr>
        <w:t>njezina učinkovita primjena za dotičnu lučku infrastrukturu trebala biti temelj europske strategije za luke;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10.</w:t>
      </w:r>
      <w:r w:rsidRPr="00007FEB">
        <w:rPr>
          <w:lang w:val="hr-HR"/>
        </w:rPr>
        <w:tab/>
        <w:t>naglašava važnost praćenja provedbe Uredbe (EU) 2022/2560 o stranim subvencijama kojima se narušava unutarnje tržište; poziva Komisiju da pomno prati tržište lučkog sektora i, prema potrebi, intervenira po službenoj dužnosti kako je predviđeno člankom 9. ove Uredbe;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11.</w:t>
      </w:r>
      <w:r w:rsidRPr="00007FEB">
        <w:rPr>
          <w:lang w:val="hr-HR"/>
        </w:rPr>
        <w:tab/>
        <w:t xml:space="preserve">poziva Komisiju da istraži i procijeni učinak vertikalne integracije u pomorskoj </w:t>
      </w:r>
      <w:proofErr w:type="spellStart"/>
      <w:r w:rsidRPr="00007FEB">
        <w:rPr>
          <w:lang w:val="hr-HR"/>
        </w:rPr>
        <w:t>logistici</w:t>
      </w:r>
      <w:proofErr w:type="spellEnd"/>
      <w:r w:rsidRPr="00007FEB">
        <w:rPr>
          <w:lang w:val="hr-HR"/>
        </w:rPr>
        <w:t xml:space="preserve"> te učinak Uredbe o skupnom izuzeću konzorcija, koja ističe 2024., i stvaranja saveza kontejnerskog prijevoza na utjecaj trećih zemalja u lukama EU-a; poziva Komisiju da po potrebi intervenira kako bi se osiguralo pošteno tržišno natjecanje, pravedna ravnoteža moći i jednaki uvjeti za sve aktere u lučkom ekosustavu;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12.</w:t>
      </w:r>
      <w:r w:rsidRPr="00007FEB">
        <w:rPr>
          <w:lang w:val="hr-HR"/>
        </w:rPr>
        <w:tab/>
        <w:t xml:space="preserve">posebno ističe da ukupna prisutnost poduzeća pod </w:t>
      </w:r>
      <w:proofErr w:type="spellStart"/>
      <w:r w:rsidRPr="00007FEB">
        <w:rPr>
          <w:lang w:val="hr-HR"/>
        </w:rPr>
        <w:t>kontorolom</w:t>
      </w:r>
      <w:proofErr w:type="spellEnd"/>
      <w:r w:rsidRPr="00007FEB">
        <w:rPr>
          <w:lang w:val="hr-HR"/>
        </w:rPr>
        <w:t xml:space="preserve"> i/ili utjecajem kineske države u lukama osnovne mreže i čvorištima transeuropske prometne mreže ima važne posljedice za otpornost i sigurnost pojedinačnih čvorišta i mreže u cjelini; podsjeća da prisutnost ulagača iz trećih zemalja u lukama može državama članicama otežati njihovu ulogu dvojne namjene;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13.</w:t>
      </w:r>
      <w:r w:rsidRPr="00007FEB">
        <w:rPr>
          <w:lang w:val="hr-HR"/>
        </w:rPr>
        <w:tab/>
        <w:t>poziva Komisiju i države članice da hitno provedu procjenu rizika sudjelovanja Kine u pomorskoj infrastrukturi koja uključuje njezin utjecaj na rad i okoliš, ovisnosti i procjenu uskih grla u prijevozu robe iz Kine u EU i pretovar te da bi tom procjenom trebalo obuhvatiti i druge treće zemlje;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14.</w:t>
      </w:r>
      <w:r w:rsidRPr="00007FEB">
        <w:rPr>
          <w:lang w:val="hr-HR"/>
        </w:rPr>
        <w:tab/>
        <w:t>podsjeća da je za pomorski i lučki europski sektor karakteristično mnoštvo različitih struktura upravljanja te različiti načini za omogućavanje ulaganja, od sustava izdavanja dozvola i koncesija, preko dodjele vlasništva nad lučkom infrastrukturom, do potpunih operativnih ovlasti nad lučkim upravama; u tom pogledu ističe važnost mjera upravljačkih tijela luka za ublažavanje rizika kako bi se zaštitio nadzor postavljanjem višestrukih uvjeta (operativnih, socijalnih, ekoloških itd.) za upravljanje terminalom; ističe, međutim, ograničenja pristupa koji se temelji isključivo na koncesijama za luke i/ili ugovorima o zakupu;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15.</w:t>
      </w:r>
      <w:r w:rsidRPr="00007FEB">
        <w:rPr>
          <w:lang w:val="hr-HR"/>
        </w:rPr>
        <w:tab/>
        <w:t>predlaže da sve države članice uvedu zakone i razviju planove za nepredvidive situacije u slučaju velikih sukoba ili drugih izvanrednih stanja ili za slučajeve očite zlouporabe ili dvojne namjene kritične infrastrukture s negativnim posljedicama za sigurnost ili javni poredak, kako bi mogle ponovno preuzeti kontrolu nad lukama, terminalima i drugom pomorskom infrastrukturom, uključujući ukidanje prava na koncesiju i/ili obustavu prava na posjedovanje u slučaju vlasništva i sudjelovanja;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16.</w:t>
      </w:r>
      <w:r w:rsidRPr="00007FEB">
        <w:rPr>
          <w:lang w:val="hr-HR"/>
        </w:rPr>
        <w:tab/>
        <w:t xml:space="preserve">traži znatna javna i privatna ulaganja u luke koje se nalaze u prekomorskim područjima i najudaljenijim regijama kako bi ih se pretvorilo u strateške </w:t>
      </w:r>
      <w:proofErr w:type="spellStart"/>
      <w:r w:rsidRPr="00007FEB">
        <w:rPr>
          <w:lang w:val="hr-HR"/>
        </w:rPr>
        <w:t>klastere</w:t>
      </w:r>
      <w:proofErr w:type="spellEnd"/>
      <w:r w:rsidRPr="00007FEB">
        <w:rPr>
          <w:lang w:val="hr-HR"/>
        </w:rPr>
        <w:t xml:space="preserve"> za </w:t>
      </w:r>
      <w:proofErr w:type="spellStart"/>
      <w:r w:rsidRPr="00007FEB">
        <w:rPr>
          <w:lang w:val="hr-HR"/>
        </w:rPr>
        <w:t>multimodalni</w:t>
      </w:r>
      <w:proofErr w:type="spellEnd"/>
      <w:r w:rsidRPr="00007FEB">
        <w:rPr>
          <w:lang w:val="hr-HR"/>
        </w:rPr>
        <w:t xml:space="preserve"> prijevoz, proizvodnju, skladištenje i distribuciju energije te obranu; poziva Komisiju da u svoj prijedlog uvrsti odredbe kojima se ograničava utjecaj i operativna kontrola trećih zemalja u tim lukama;</w:t>
      </w:r>
    </w:p>
    <w:p w:rsidR="00AE0442" w:rsidRPr="00007FEB" w:rsidRDefault="00AE0442" w:rsidP="00AE0442">
      <w:pPr>
        <w:pStyle w:val="Normal12a24b"/>
        <w:rPr>
          <w:lang w:val="hr-HR"/>
        </w:rPr>
      </w:pPr>
      <w:r w:rsidRPr="00007FEB">
        <w:rPr>
          <w:rStyle w:val="BoldItalic"/>
          <w:lang w:val="hr-HR"/>
        </w:rPr>
        <w:t>Sigurnost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17.</w:t>
      </w:r>
      <w:r w:rsidRPr="00007FEB">
        <w:rPr>
          <w:lang w:val="hr-HR"/>
        </w:rPr>
        <w:tab/>
        <w:t>poziva Komisiju i države članice da se posebno pozabave potrebom za sprečavanjem i smanjenjem rizika od špijunaže i sabotaže u lukama koje imaju dvojnu namjenu i vojnu funkciju, kao što su luke kojima se koristi NATO, među ostalim putem stranih plovila;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18.</w:t>
      </w:r>
      <w:r w:rsidRPr="00007FEB">
        <w:rPr>
          <w:lang w:val="hr-HR"/>
        </w:rPr>
        <w:tab/>
        <w:t xml:space="preserve">poziva Komisiju i države članice da se pozabave pitanjem upotrebe pouzdane tehnologije u pomorskoj </w:t>
      </w:r>
      <w:proofErr w:type="spellStart"/>
      <w:r w:rsidRPr="00007FEB">
        <w:rPr>
          <w:lang w:val="hr-HR"/>
        </w:rPr>
        <w:t>logistici</w:t>
      </w:r>
      <w:proofErr w:type="spellEnd"/>
      <w:r w:rsidRPr="00007FEB">
        <w:rPr>
          <w:lang w:val="hr-HR"/>
        </w:rPr>
        <w:t xml:space="preserve"> i funkcioniranju kontejnerskih terminala; izražava zabrinutost zbog sve veće ovisnosti o proizvođačima iz trećih zemalja za (graničnu) sigurnosnu opremu u lukama, kao i za kontejnerske dizalice koje mogu prikupljati podatke o podrijetlu i odredištu kontejnera; potiče ulaganja u istraživanje i razvoj u tim područjima kako bi poduzeća iz EU-a mogla preuzeti vodeću ulogu u proizvodnji i prodaji tih tehnologija;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19.</w:t>
      </w:r>
      <w:r w:rsidRPr="00007FEB">
        <w:rPr>
          <w:lang w:val="hr-HR"/>
        </w:rPr>
        <w:tab/>
        <w:t>smatra da složene i izrazito digitalne logističke operacije čine cijele logističke lance osjetljivijima na prekide; stoga traži da se ograniči i prati pristup stranih subjekata koji su u državnom vlasništvu i pod kontrolom ili utjecajem države lučkim operacijama i informacijama;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20.</w:t>
      </w:r>
      <w:r w:rsidRPr="00007FEB">
        <w:rPr>
          <w:lang w:val="hr-HR"/>
        </w:rPr>
        <w:tab/>
        <w:t>poziva Komisiju da posebnu pozornost obrati na prijetnju koju strana ulaganja mogu predstavljati za intelektualno vlasništvo, posebno prisilnim prijenosom tehnologije;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21.</w:t>
      </w:r>
      <w:r w:rsidRPr="00007FEB">
        <w:rPr>
          <w:lang w:val="hr-HR"/>
        </w:rPr>
        <w:tab/>
        <w:t xml:space="preserve">naglašava da je visoka razina </w:t>
      </w:r>
      <w:proofErr w:type="spellStart"/>
      <w:r w:rsidRPr="00007FEB">
        <w:rPr>
          <w:lang w:val="hr-HR"/>
        </w:rPr>
        <w:t>kibernetičke</w:t>
      </w:r>
      <w:proofErr w:type="spellEnd"/>
      <w:r w:rsidRPr="00007FEB">
        <w:rPr>
          <w:lang w:val="hr-HR"/>
        </w:rPr>
        <w:t xml:space="preserve"> sigurnosti i </w:t>
      </w:r>
      <w:proofErr w:type="spellStart"/>
      <w:r w:rsidRPr="00007FEB">
        <w:rPr>
          <w:lang w:val="hr-HR"/>
        </w:rPr>
        <w:t>kibernetičke</w:t>
      </w:r>
      <w:proofErr w:type="spellEnd"/>
      <w:r w:rsidRPr="00007FEB">
        <w:rPr>
          <w:lang w:val="hr-HR"/>
        </w:rPr>
        <w:t xml:space="preserve"> otpornosti svih aktera u našim lukama ključna za sprečavanje špijunaže i ozbiljnih poremećaja u lučkim sustavima i operacijama jer se rizik od </w:t>
      </w:r>
      <w:proofErr w:type="spellStart"/>
      <w:r w:rsidRPr="00007FEB">
        <w:rPr>
          <w:lang w:val="hr-HR"/>
        </w:rPr>
        <w:t>kibernetičkih</w:t>
      </w:r>
      <w:proofErr w:type="spellEnd"/>
      <w:r w:rsidRPr="00007FEB">
        <w:rPr>
          <w:lang w:val="hr-HR"/>
        </w:rPr>
        <w:t xml:space="preserve"> prijetnji znatno povećao posljednjih godina; traži od Komisije da provede daljnja istraživanja i prikupi podatke o pokrivenosti i rizicima uključivanja poduzeća iz trećih zemalja u </w:t>
      </w:r>
      <w:proofErr w:type="spellStart"/>
      <w:r w:rsidRPr="00007FEB">
        <w:rPr>
          <w:lang w:val="hr-HR"/>
        </w:rPr>
        <w:t>kibernetičku</w:t>
      </w:r>
      <w:proofErr w:type="spellEnd"/>
      <w:r w:rsidRPr="00007FEB">
        <w:rPr>
          <w:lang w:val="hr-HR"/>
        </w:rPr>
        <w:t xml:space="preserve"> sigurnost i sigurnost podataka u kritičnoj infrastrukturi te da podrži razvoj sveobuhvatnih planova za nepredvidive situacije za luke uz tehničku i operativnu potporu Europske agencije za pomorsku sigurnost; smatra da je rizik da se zbog nedostatka </w:t>
      </w:r>
      <w:proofErr w:type="spellStart"/>
      <w:r w:rsidRPr="00007FEB">
        <w:rPr>
          <w:lang w:val="hr-HR"/>
        </w:rPr>
        <w:t>kibernetičke</w:t>
      </w:r>
      <w:proofErr w:type="spellEnd"/>
      <w:r w:rsidRPr="00007FEB">
        <w:rPr>
          <w:lang w:val="hr-HR"/>
        </w:rPr>
        <w:t xml:space="preserve"> sigurnosti negativni učinci preliju iz jedne luke u drugu visok i da bi stoga sve države članice trebale zadržati visoke standarde te da treba preporučiti razmjenu najboljih praksi i iskustava;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22.</w:t>
      </w:r>
      <w:r w:rsidRPr="00007FEB">
        <w:rPr>
          <w:lang w:val="hr-HR"/>
        </w:rPr>
        <w:tab/>
        <w:t>ističe sve veću važnost zaštite kritične infrastrukture na moru i pod vodom (uključujući energetske cjevovode, komunikacijske mreže i objekte za proizvodnju energije iz obnovljivih izvora na moru) za sigurnost i zaštitu voda i operacija EU-a u njima;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23.</w:t>
      </w:r>
      <w:r w:rsidRPr="00007FEB">
        <w:rPr>
          <w:lang w:val="hr-HR"/>
        </w:rPr>
        <w:tab/>
        <w:t xml:space="preserve">naglašava da, iako razmjena podataka u </w:t>
      </w:r>
      <w:proofErr w:type="spellStart"/>
      <w:r w:rsidRPr="00007FEB">
        <w:rPr>
          <w:lang w:val="hr-HR"/>
        </w:rPr>
        <w:t>logistici</w:t>
      </w:r>
      <w:proofErr w:type="spellEnd"/>
      <w:r w:rsidRPr="00007FEB">
        <w:rPr>
          <w:lang w:val="hr-HR"/>
        </w:rPr>
        <w:t xml:space="preserve"> doprinosi učinkovitosti, prilagodljivosti i otpornosti lanaca opskrbe, upotreba platformi koje su u državnom vlasništvu trećih zemalja i pod njihovom kontrolom ili utjecajem u lukama predstavlja gospodarske i strateške rizike za EU te bi je trebalo spriječiti;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24.</w:t>
      </w:r>
      <w:r w:rsidRPr="00007FEB">
        <w:rPr>
          <w:lang w:val="hr-HR"/>
        </w:rPr>
        <w:tab/>
        <w:t>žali zbog činjenice da kriminalne organizacije zloupotrebljavaju luke u EU-u kao ključne točke za ulazak nedopuštenih droga, što utječe na društvo u cjelini i ugrožava sigurnost luka, obližnjih gradova i njihovih stanovnika; poziva Komisiju da predstavi mjere za učinkovitu europsku suradnju u borbi protiv trgovine drogom, proizvodnje droga i subverzivnog kriminala; u tom pogledu pozdravlja plan Komisije od 18. listopada 2023. za borbu protiv trgovine drogom i organiziranog kriminala te naglašava potrebu za koordiniranim pristupom EU-a borbi protiv svih vrsta transnacionalnog organiziranog kriminala;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25.</w:t>
      </w:r>
      <w:r w:rsidRPr="00007FEB">
        <w:rPr>
          <w:lang w:val="hr-HR"/>
        </w:rPr>
        <w:tab/>
        <w:t>naglašava da su europske luke posebno izložene krijumčarenju nezakonitih proizvoda, primjerice oružja ili krivotvorenih predmeta, te carinskim prijevarama i prijevarama u pogledu PDV-a te da je potrebno pojačati borbu protiv tih aktivnosti; u tom pogledu ističe važnost suradnje između tijela za upravljanje lukama i tijela kaznenog progona, među ostalim u upotrebi digitalnih alata i podataka kako bi se osigurale sigurne i zaštićene lučke operacije; smatra da bi luke, ako postoji dostatna pravna opravdanost, trebale imati pristup svim alatima kojima mogu doprinijeti svojoj sigurnosti;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26.</w:t>
      </w:r>
      <w:r w:rsidRPr="00007FEB">
        <w:rPr>
          <w:lang w:val="hr-HR"/>
        </w:rPr>
        <w:tab/>
        <w:t>ističe da sigurnost luka ovisi o njihovoj otpornosti na klimatske i okolišne promjene; stoga poziva Komisiju da provede studiju za analizu klimatskih rizika za europske luke i povezanu prometnu infrastrukturu, utvrđujući pritom kategorije rizika, npr. podizanje razine mora, poplave, ekstremne vrućine, da analizira rizike po regijama i utvrdi mjere za rješavanje tih rizika, među ostalim troškove tih mjera i potrebna ulaganja; poziva države članice da provedu dugoročnu procjenu rizika svojih kritičnih lučkih infrastruktura za okoliš i da pravodobno poduzmu mjere prilagodbe;</w:t>
      </w:r>
    </w:p>
    <w:p w:rsidR="00AE0442" w:rsidRPr="00007FEB" w:rsidRDefault="00AE0442" w:rsidP="00AE0442">
      <w:pPr>
        <w:pStyle w:val="Normal12a24b"/>
        <w:rPr>
          <w:lang w:val="hr-HR"/>
        </w:rPr>
      </w:pPr>
      <w:r w:rsidRPr="00007FEB">
        <w:rPr>
          <w:rStyle w:val="BoldItalic"/>
          <w:lang w:val="hr-HR"/>
        </w:rPr>
        <w:t>Uloga luka u energetskoj tranziciji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lastRenderedPageBreak/>
        <w:t>27.</w:t>
      </w:r>
      <w:r w:rsidRPr="00007FEB">
        <w:rPr>
          <w:lang w:val="hr-HR"/>
        </w:rPr>
        <w:tab/>
        <w:t xml:space="preserve">naglašava ključnu ulogu luka u energetskoj tranziciji kako je navedeno u zelenom planu EU-a kao energetskih čvorišta za pretvorbu, </w:t>
      </w:r>
      <w:proofErr w:type="spellStart"/>
      <w:r w:rsidRPr="00007FEB">
        <w:rPr>
          <w:lang w:val="hr-HR"/>
        </w:rPr>
        <w:t>kondicioniranje</w:t>
      </w:r>
      <w:proofErr w:type="spellEnd"/>
      <w:r w:rsidRPr="00007FEB">
        <w:rPr>
          <w:lang w:val="hr-HR"/>
        </w:rPr>
        <w:t xml:space="preserve"> i skladištenje nositelja energije, za proizvodnju energije, uvoz kritičnih sirovina, kao čvorišta za hvatanje i skladištenje ugljika, servisnih stanica i čvorišta za proizvodnju za </w:t>
      </w:r>
      <w:proofErr w:type="spellStart"/>
      <w:r w:rsidRPr="00007FEB">
        <w:rPr>
          <w:lang w:val="hr-HR"/>
        </w:rPr>
        <w:t>odobalne</w:t>
      </w:r>
      <w:proofErr w:type="spellEnd"/>
      <w:r w:rsidRPr="00007FEB">
        <w:rPr>
          <w:lang w:val="hr-HR"/>
        </w:rPr>
        <w:t xml:space="preserve"> energetske objekte i čvorišta u prometnim sustavima kojima se podupire energetska tranzicija;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28.</w:t>
      </w:r>
      <w:r w:rsidRPr="00007FEB">
        <w:rPr>
          <w:lang w:val="hr-HR"/>
        </w:rPr>
        <w:tab/>
        <w:t>podsjeća da EU do 2030. namjerava uvesti 10 milijuna tona zelenog vodika te da je za ostvarenje tog cilja i za europsku lučku strategiju od ključne važnosti sveobuhvatna strategija za uvoz, koordinaciju i razvoj infrastrukture i da bi je trebalo brzo uspostaviti;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29.</w:t>
      </w:r>
      <w:r w:rsidRPr="00007FEB">
        <w:rPr>
          <w:lang w:val="hr-HR"/>
        </w:rPr>
        <w:tab/>
        <w:t xml:space="preserve">poziva Komisiju i države članice da se pozabave sve većom potrebom za ulaganjima u luke i terminale te njihovu infrastrukturu kako bi mogle odigrati svoju ulogu u energetskoj tranziciji; poziva Komisiju da analizira i razmotri potrebu za brzim izdavanjem dozvola za proširenje luka u okviru energetske tranzicije, primjerice uvođenjem energije vjetra na moru, kako luke ne bi postale usko grlo u energetskoj tranziciji; ističe potrebu za održivijim upravljanjem pomorskim prostorom i obalama kako bi se oslobodio potencijal energije iz obnovljivih izvora na moru; potiče korištenje lučkih područja za uvođenje </w:t>
      </w:r>
      <w:proofErr w:type="spellStart"/>
      <w:r w:rsidRPr="00007FEB">
        <w:rPr>
          <w:lang w:val="hr-HR"/>
        </w:rPr>
        <w:t>fotonaponske</w:t>
      </w:r>
      <w:proofErr w:type="spellEnd"/>
      <w:r w:rsidRPr="00007FEB">
        <w:rPr>
          <w:lang w:val="hr-HR"/>
        </w:rPr>
        <w:t xml:space="preserve"> energije i energije vjetra;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30.</w:t>
      </w:r>
      <w:r w:rsidRPr="00007FEB">
        <w:rPr>
          <w:lang w:val="hr-HR"/>
        </w:rPr>
        <w:tab/>
        <w:t>naglašava važnost povećanja sinergija između transeuropske prometne mreže i transeuropske energetske mreže;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31.</w:t>
      </w:r>
      <w:r w:rsidRPr="00007FEB">
        <w:rPr>
          <w:lang w:val="hr-HR"/>
        </w:rPr>
        <w:tab/>
        <w:t>traži od Komisije da u svoju strategu kružnoga gospodarstva uvrsti luke te da pomogne državama članicama i lokalnim lučkim upravama pružanjem smjernica za provedbu projekata povezanih s kružnošću; poziva Komisiju da riješi sve veći problem izljeva nafte u lukama i pomorskim kanalima;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32.</w:t>
      </w:r>
      <w:r w:rsidRPr="00007FEB">
        <w:rPr>
          <w:lang w:val="hr-HR"/>
        </w:rPr>
        <w:tab/>
        <w:t>traži od Komisije da ostvari svoju ambiciju u pogledu modalnog prelaska, kako je predloženo u zelenom planu, te da se pozabavi preostalim izazovima u pogledu unutarnjih plovnih putova, a posebno željezničkog prijevoza tereta, kako bi se povećala njihova upotreba u lukama i njihova povezanost sa zaleđem;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33.</w:t>
      </w:r>
      <w:r w:rsidRPr="00007FEB">
        <w:rPr>
          <w:lang w:val="hr-HR"/>
        </w:rPr>
        <w:tab/>
        <w:t>ističe da energetska tranzicija u lukama, brodograditeljskoj industriji i pomorskom sektoru neće biti moguća bez kvalificirane radne snage i odgovarajućeg javnog i privatnog financiranja; apelira na Komisiju da osigura mogućnosti osposobljavanja, obrazovanja i cjeloživotnog učenja otporne na promjene u budućnosti te da promiče socijalni dijalog kako bi lučke radnike stavila u središte digitalne i zelene tranzicije te kako bi industrija postala privlačnija ženama; ponavlja važnu društvenu ulogu luka u osiguravanju mnogih izravnih i neizravnih radnih mjesta te naglašava potrebu za očuvanjem pravednih i sigurnih radnih uvjeta za sve lučke i pomorske radnike; ističe da su nedavne krize pokazale da su pomorci, članovi posade, ribari i lučki radnici ključni radnici na prvoj liniji i da je njihova dobrobit ključna kako bi se posao i dalje odvijao;</w:t>
      </w:r>
    </w:p>
    <w:p w:rsidR="00AE0442" w:rsidRPr="00007FEB" w:rsidRDefault="00AE0442" w:rsidP="00AE0442">
      <w:pPr>
        <w:pStyle w:val="Normal12a24b"/>
        <w:rPr>
          <w:lang w:val="hr-HR"/>
        </w:rPr>
      </w:pPr>
      <w:r w:rsidRPr="00007FEB">
        <w:rPr>
          <w:rStyle w:val="BoldItalic"/>
          <w:lang w:val="hr-HR"/>
        </w:rPr>
        <w:t>Konkurentnost luka i poduzeća u EU-u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34.</w:t>
      </w:r>
      <w:r w:rsidRPr="00007FEB">
        <w:rPr>
          <w:lang w:val="hr-HR"/>
        </w:rPr>
        <w:tab/>
        <w:t>naglašava da bi konkurentnost luka trebala biti jedan od glavnih prioriteta europske strategije za luke;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35.</w:t>
      </w:r>
      <w:r w:rsidRPr="00007FEB">
        <w:rPr>
          <w:lang w:val="hr-HR"/>
        </w:rPr>
        <w:tab/>
        <w:t xml:space="preserve">naglašava da su jačanje gospodarskog položaja luka EU-a i poboljšanje njihove konkurentnosti u svjetskom gospodarstvu ključni za ograničavanje stranog utjecaja i sigurnosnih rizika te za suverenost europskog lanca opskrbe; smatra da europsko </w:t>
      </w:r>
      <w:r w:rsidRPr="00007FEB">
        <w:rPr>
          <w:lang w:val="hr-HR"/>
        </w:rPr>
        <w:lastRenderedPageBreak/>
        <w:t xml:space="preserve">zakonodavstvo ne bi smjelo ugroziti konkurentnost luka EU-a i dovesti do </w:t>
      </w:r>
      <w:proofErr w:type="spellStart"/>
      <w:r w:rsidRPr="00007FEB">
        <w:rPr>
          <w:lang w:val="hr-HR"/>
        </w:rPr>
        <w:t>izmještanja</w:t>
      </w:r>
      <w:proofErr w:type="spellEnd"/>
      <w:r w:rsidRPr="00007FEB">
        <w:rPr>
          <w:lang w:val="hr-HR"/>
        </w:rPr>
        <w:t xml:space="preserve"> emisija ugljika i premještanja poslovanja u luke izvan EU-a;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36.</w:t>
      </w:r>
      <w:r w:rsidRPr="00007FEB">
        <w:rPr>
          <w:lang w:val="hr-HR"/>
        </w:rPr>
        <w:tab/>
        <w:t>ističe rizike premještanja aktivnosti pretovara kontejnera u luke trećih zemalja kako bi se izbjegli zahtjevi Direktive EU-a o sustavu trgovanja emisijama</w:t>
      </w:r>
      <w:r w:rsidRPr="00007FEB">
        <w:rPr>
          <w:rStyle w:val="FootnoteReference"/>
          <w:lang w:val="hr-HR"/>
        </w:rPr>
        <w:footnoteReference w:id="15"/>
      </w:r>
      <w:r w:rsidRPr="00007FEB">
        <w:rPr>
          <w:lang w:val="hr-HR"/>
        </w:rPr>
        <w:t xml:space="preserve"> i Uredbe </w:t>
      </w:r>
      <w:proofErr w:type="spellStart"/>
      <w:r w:rsidRPr="00007FEB">
        <w:rPr>
          <w:lang w:val="hr-HR"/>
        </w:rPr>
        <w:t>FuelEU</w:t>
      </w:r>
      <w:proofErr w:type="spellEnd"/>
      <w:r w:rsidRPr="00007FEB">
        <w:rPr>
          <w:lang w:val="hr-HR"/>
        </w:rPr>
        <w:t xml:space="preserve"> </w:t>
      </w:r>
      <w:proofErr w:type="spellStart"/>
      <w:r w:rsidRPr="00007FEB">
        <w:rPr>
          <w:lang w:val="hr-HR"/>
        </w:rPr>
        <w:t>Maritime</w:t>
      </w:r>
      <w:proofErr w:type="spellEnd"/>
      <w:r w:rsidRPr="00007FEB">
        <w:rPr>
          <w:rStyle w:val="FootnoteReference"/>
          <w:lang w:val="hr-HR"/>
        </w:rPr>
        <w:footnoteReference w:id="16"/>
      </w:r>
      <w:r w:rsidRPr="00007FEB">
        <w:rPr>
          <w:lang w:val="hr-HR"/>
        </w:rPr>
        <w:t>; traži strogu primjenu odredbi o praćenju pretovara iz ta dva zakonodavna akta kako bi se otkrilo i zabranilo takvo ponašanje, kao i procjenu jesu li te odredbe dovoljne za učinkovito odvraćanje od izbjegavanja na štetu okoliša, rasta i radnih mjesta u Europi te jesu li potrebne dodatne mjere;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37.</w:t>
      </w:r>
      <w:r w:rsidRPr="00007FEB">
        <w:rPr>
          <w:lang w:val="hr-HR"/>
        </w:rPr>
        <w:tab/>
        <w:t>poziva Komisiju da analizira i odgovori na potrebe europskih luka za ulaganjima kako bi one ostale konkurentne u budućnosti i da radi na stabilnijoj ulagačkoj klimi, uključujući transparentnost i predvidljivost u procjenama ulaganja, i javnih i privatnih;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38.</w:t>
      </w:r>
      <w:r w:rsidRPr="00007FEB">
        <w:rPr>
          <w:lang w:val="hr-HR"/>
        </w:rPr>
        <w:tab/>
        <w:t>naglašava da bi, kako bi se održala konkurentnost luka EU-a i funkcioniranje moguće europske strategije za luke, trebalo izbjeći prekomjerno administrativno opterećenje koje bi moglo ugroziti funkcioniranje takve strategije;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39.</w:t>
      </w:r>
      <w:r w:rsidRPr="00007FEB">
        <w:rPr>
          <w:lang w:val="hr-HR"/>
        </w:rPr>
        <w:tab/>
        <w:t>naglašava da je dosljedna europska strategija za luke ključna za osiguravanje poštenog tržišnog natjecanja; potiče pojačanu suradnju među europskim lukama i uklanjanje štetnih praksi kao što je narušavanje konkurencije preniskim cijenama;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40.</w:t>
      </w:r>
      <w:r w:rsidRPr="00007FEB">
        <w:rPr>
          <w:lang w:val="hr-HR"/>
        </w:rPr>
        <w:tab/>
        <w:t>smatra da je carinska unija koja dobro funkcionira ključna za konkurentnost, održivost i otpornost EU-a; smatra da će se reformiranom i ojačanom carinskom unijom sa zajedničkim carinskim zakonikom očuvati cjelovitost jedinstvenog tržišta, pomoći održati konkurentnost EU-a u dvostrukoj zelenoj i digitalnoj tranziciji te izbjeći nepošteno tržišno natjecanje među europskim lukama;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41.</w:t>
      </w:r>
      <w:r w:rsidRPr="00007FEB">
        <w:rPr>
          <w:lang w:val="hr-HR"/>
        </w:rPr>
        <w:tab/>
        <w:t>naglašava da razlike u politikama carinskih postupaka na točkama ulaska EU-a u carinsku uniju često narušavaju trgovinske tokove i ugrožavaju cjelovitost europskog jedinstvenog tržišta;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42.</w:t>
      </w:r>
      <w:r w:rsidRPr="00007FEB">
        <w:rPr>
          <w:lang w:val="hr-HR"/>
        </w:rPr>
        <w:tab/>
        <w:t>podsjeća na važnost uspostave usklađenih carinskih provjera u svim europskim lukama kako bi se izbjegla različita primjena sanitarnih standarda ili standarda dužne pažnje; inzistira na tome da Komisija osigura da se carinske kontrole diljem EU-a provode slijedeći iste standarde, korištenjem izravnog jedinstvenog mehanizma carinske kontrole, u suradnji s državama članicama i uz potpuno poštovanje načela supsidijarnosti;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43.</w:t>
      </w:r>
      <w:r w:rsidRPr="00007FEB">
        <w:rPr>
          <w:lang w:val="hr-HR"/>
        </w:rPr>
        <w:tab/>
        <w:t>podsjeća da luke nisu samostalna imovina jer su dio širokog vodnog ekosustava pomorske logistike, industrije i lanaca opskrbe vođenih potražnjom europskih uvoznika i izvoznika;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44.</w:t>
      </w:r>
      <w:r w:rsidRPr="00007FEB">
        <w:rPr>
          <w:lang w:val="hr-HR"/>
        </w:rPr>
        <w:tab/>
        <w:t xml:space="preserve">zabrinut je zbog toga što su brodarska poduzeća iz EU-a suočena s restriktivnim zakonodavstvom o pomorskoj kabotaži u Kini, kojim im se u stvarnosti zabranjuje </w:t>
      </w:r>
      <w:r w:rsidRPr="00007FEB">
        <w:rPr>
          <w:lang w:val="hr-HR"/>
        </w:rPr>
        <w:lastRenderedPageBreak/>
        <w:t>kabotaža između kineskih luka, a kabotaža je ključni element poslovnog modela kineskih brodarskih poduzeća u određenim lukama EU-a i među njima; poziva Komisiju da istraži mogućnost uvođenja recipročnog zakona EU-a o pomorskoj kabotaži koji bi se mogao primjenjivati na određene otpremnike iz trećih zemalja, na primjer Kinu; podsjeća da nedostatak ulagačkog reciprociteta u lukama šteti interesima EU-a;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45.</w:t>
      </w:r>
      <w:r w:rsidRPr="00007FEB">
        <w:rPr>
          <w:lang w:val="hr-HR"/>
        </w:rPr>
        <w:tab/>
        <w:t xml:space="preserve">naglašava važnost inicijative EU-a naslovljene „Global </w:t>
      </w:r>
      <w:proofErr w:type="spellStart"/>
      <w:r w:rsidRPr="00007FEB">
        <w:rPr>
          <w:lang w:val="hr-HR"/>
        </w:rPr>
        <w:t>Gateway</w:t>
      </w:r>
      <w:proofErr w:type="spellEnd"/>
      <w:r w:rsidRPr="00007FEB">
        <w:rPr>
          <w:lang w:val="hr-HR"/>
        </w:rPr>
        <w:t xml:space="preserve">” kao strateške svjetske alternative kineskoj inicijativi „Jedan pojas, jedan put”; naglašava potencijal projekata Global </w:t>
      </w:r>
      <w:proofErr w:type="spellStart"/>
      <w:r w:rsidRPr="00007FEB">
        <w:rPr>
          <w:lang w:val="hr-HR"/>
        </w:rPr>
        <w:t>Gateway</w:t>
      </w:r>
      <w:proofErr w:type="spellEnd"/>
      <w:r w:rsidRPr="00007FEB">
        <w:rPr>
          <w:lang w:val="hr-HR"/>
        </w:rPr>
        <w:t xml:space="preserve"> u pomorskoj industriji (npr. lučke infrastrukture, cestovne i željezničke veze u zaleđu, zelenog vodika) za stvaranje mreže luka koja olakšava trgovinu, ulaganja i uzajamno korisna partnerstva;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46.</w:t>
      </w:r>
      <w:r w:rsidRPr="00007FEB">
        <w:rPr>
          <w:lang w:val="hr-HR"/>
        </w:rPr>
        <w:tab/>
        <w:t>naglašava hitnu potrebu za poboljšanjem snage, kapaciteta i otpornosti veza europskih luka u zaleđu, posebno onih koje su dio mreže TEN-T, pri čemu bi se trebale uzeti u obzir potrebe za smanjenjem emisija i energetskom učinkovitošću te trebalo nastojati da se unutarnji prijevoz u što većoj mjeri preusmjeri na željeznički prijevoz i unutarnje plovne putove, uz istodobnu pripremu za učinke klimatskih promjena kao što su ekstremni vremenski uvjeti i niske razine vode unutarnjih plovnih putova;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47.</w:t>
      </w:r>
      <w:r w:rsidRPr="00007FEB">
        <w:rPr>
          <w:lang w:val="hr-HR"/>
        </w:rPr>
        <w:tab/>
        <w:t xml:space="preserve">predlaže da Komisija uspostavi tzv. atlas europskih luka u kojem će se, među ostalim, prikupljati dostupnost europskih komercijalnih luka u pogledu opskrbe električnom energijom s kopna i alternativnih goriva, infrastrukture u zaleđu (posebno željeznice) i plovnih putova, koji bi se mogao temeljiti na interaktivnim kartama </w:t>
      </w:r>
      <w:proofErr w:type="spellStart"/>
      <w:r w:rsidRPr="00007FEB">
        <w:rPr>
          <w:lang w:val="hr-HR"/>
        </w:rPr>
        <w:t>TENtec</w:t>
      </w:r>
      <w:proofErr w:type="spellEnd"/>
      <w:r w:rsidRPr="00007FEB">
        <w:rPr>
          <w:lang w:val="hr-HR"/>
        </w:rPr>
        <w:t xml:space="preserve">-a i Europskom informativnom portalu za alternativna goriva, ali bi također trebao uključivati manje luke i dodatne informacije; smatra da bi takvo </w:t>
      </w:r>
      <w:proofErr w:type="spellStart"/>
      <w:r w:rsidRPr="00007FEB">
        <w:rPr>
          <w:lang w:val="hr-HR"/>
        </w:rPr>
        <w:t>mapiranje</w:t>
      </w:r>
      <w:proofErr w:type="spellEnd"/>
      <w:r w:rsidRPr="00007FEB">
        <w:rPr>
          <w:lang w:val="hr-HR"/>
        </w:rPr>
        <w:t xml:space="preserve"> moglo pomoći u stvaranju opće činjenične osnove za kontinuirani razvoj luka EU-a i povezanih industrija, kao što su prijevoz tereta i putnika, brodovi za kružna putovanja, ribolov, energija vjetra na moru, opskrba gorivom i proizvodnja goriva;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48.</w:t>
      </w:r>
      <w:r w:rsidRPr="00007FEB">
        <w:rPr>
          <w:lang w:val="hr-HR"/>
        </w:rPr>
        <w:tab/>
        <w:t>naglašava važnost pomorske proizvodnje, na primjer brodogradnje i njezina lanca opskrbe, u EU-u kao temelja za održavanje uspješnog vodnog sektora; poziva Komisiju da istraži i procijeni učinak ovisnosti Europe o stranoj pomorskoj proizvodnji, da hitno utvrdi ambicioznu europsku industrijsku pomorsku strategiju i poduzme odgovarajuće mjere za povećanje konkurentnosti i otpornosti europskih brodogradilišta i njihovih cijelih lanaca opskrbe;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49.</w:t>
      </w:r>
      <w:r w:rsidRPr="00007FEB">
        <w:rPr>
          <w:lang w:val="hr-HR"/>
        </w:rPr>
        <w:tab/>
        <w:t>poziva Komisiju da uvede poticajni digitalni okvir za poticanje programa za inovacije i daljnju digitalizaciju luka, kao što su programi tzv. pametnih luka, kako bi se poboljšala učinkovitost, produktivnost i održivost luka; posebno ističe potencijal digitalizacije za optimizaciju pristajanja u lukama (kako bi se skratilo vrijeme čekanja u obalnim vodama i lukama), dolazaka na vrijeme, naprednih navigacijskih sustava (za uštedu goriva i smanjenje emisija), sustava automatske identifikacije (za veću sigurnost na moru i bolju provedbu odredbi o okolišu), kao i za bespilotne letjelice i rješenja umjetne inteligencije koja vode do boljih odluka o lučkoj infrastrukturi;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50.</w:t>
      </w:r>
      <w:r w:rsidRPr="00007FEB">
        <w:rPr>
          <w:lang w:val="hr-HR"/>
        </w:rPr>
        <w:tab/>
        <w:t xml:space="preserve">naglašava da će se lukama morati dodijeliti odgovarajuća financijska sredstva i instrumenti financiranja kako bi ostale konkurentne, imale poticajnu ulogu u zelenoj tranziciji i kako bi ograničile rizike od stranog utjecaja; traži da se povećaju financijska sredstva namijenjena lukama u okviru Instrumenta za povezivanje Europe; naglašava </w:t>
      </w:r>
      <w:r w:rsidRPr="00007FEB">
        <w:rPr>
          <w:lang w:val="hr-HR"/>
        </w:rPr>
        <w:lastRenderedPageBreak/>
        <w:t>važnost privatnih ulaganja u luke i činjenicu da poduzeća osiguravaju radna mjesta i inovacije u lukama i oko njih;</w:t>
      </w:r>
    </w:p>
    <w:p w:rsidR="00AE0442" w:rsidRPr="00007FEB" w:rsidRDefault="00AE0442" w:rsidP="00AE0442">
      <w:pPr>
        <w:pStyle w:val="Normal12a24b"/>
        <w:rPr>
          <w:lang w:val="hr-HR"/>
        </w:rPr>
      </w:pPr>
      <w:r w:rsidRPr="00007FEB">
        <w:rPr>
          <w:rStyle w:val="BoldItalic"/>
          <w:lang w:val="hr-HR"/>
        </w:rPr>
        <w:t>Zaključak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51.</w:t>
      </w:r>
      <w:r w:rsidRPr="00007FEB">
        <w:rPr>
          <w:lang w:val="hr-HR"/>
        </w:rPr>
        <w:tab/>
        <w:t>traži da se održi europski sastanak na vrhu o lukama kako bi se dodatno razradila navedena pitanja i istražile mogućnosti jačanja suradnje među europskim lukama u tu svrhu;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52.</w:t>
      </w:r>
      <w:r w:rsidRPr="00007FEB">
        <w:rPr>
          <w:lang w:val="hr-HR"/>
        </w:rPr>
        <w:tab/>
        <w:t>poziva Komisiju da do kraja 2024. predstavi sveobuhvatnu europsku strategiju za luke kako bi se navedena pitanja riješila;</w:t>
      </w:r>
    </w:p>
    <w:p w:rsidR="00AE0442" w:rsidRPr="00007FEB" w:rsidRDefault="00AE0442" w:rsidP="00AE0442">
      <w:pPr>
        <w:pStyle w:val="NormalCenter12a"/>
        <w:rPr>
          <w:lang w:val="hr-HR"/>
        </w:rPr>
      </w:pPr>
      <w:r w:rsidRPr="00007FEB">
        <w:rPr>
          <w:lang w:val="hr-HR"/>
        </w:rPr>
        <w:t>°</w:t>
      </w:r>
    </w:p>
    <w:p w:rsidR="00AE0442" w:rsidRPr="00007FEB" w:rsidRDefault="00AE0442" w:rsidP="00AE0442">
      <w:pPr>
        <w:pStyle w:val="NormalCenter12a"/>
        <w:rPr>
          <w:lang w:val="hr-HR"/>
        </w:rPr>
      </w:pPr>
      <w:r w:rsidRPr="00007FEB">
        <w:rPr>
          <w:lang w:val="hr-HR"/>
        </w:rPr>
        <w:t>°</w:t>
      </w:r>
      <w:r w:rsidRPr="00007FEB">
        <w:rPr>
          <w:lang w:val="hr-HR"/>
        </w:rPr>
        <w:tab/>
        <w:t>°</w:t>
      </w:r>
    </w:p>
    <w:p w:rsidR="00AE0442" w:rsidRPr="00007FEB" w:rsidRDefault="00AE0442" w:rsidP="00AE0442">
      <w:pPr>
        <w:pStyle w:val="NormalHanging12a"/>
        <w:rPr>
          <w:lang w:val="hr-HR"/>
        </w:rPr>
      </w:pPr>
      <w:r w:rsidRPr="00007FEB">
        <w:rPr>
          <w:lang w:val="hr-HR"/>
        </w:rPr>
        <w:t>53.</w:t>
      </w:r>
      <w:r w:rsidRPr="00007FEB">
        <w:rPr>
          <w:lang w:val="hr-HR"/>
        </w:rPr>
        <w:tab/>
        <w:t>nalaže svojoj predsjednici da ovu Rezoluciju proslijedi Vijeću i Komisiji.</w:t>
      </w:r>
    </w:p>
    <w:p w:rsidR="00AE0442" w:rsidRPr="00007FEB" w:rsidRDefault="00AE0442" w:rsidP="00AE0442"/>
    <w:sectPr w:rsidR="00AE0442" w:rsidRPr="00007FEB" w:rsidSect="00C046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926" w:rsidRPr="00C04606" w:rsidRDefault="00383926">
      <w:r w:rsidRPr="00C04606">
        <w:separator/>
      </w:r>
    </w:p>
  </w:endnote>
  <w:endnote w:type="continuationSeparator" w:id="0">
    <w:p w:rsidR="00383926" w:rsidRPr="00C04606" w:rsidRDefault="00383926">
      <w:r w:rsidRPr="00C04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926" w:rsidRPr="00C04606" w:rsidRDefault="00383926">
      <w:r w:rsidRPr="00C04606">
        <w:separator/>
      </w:r>
    </w:p>
  </w:footnote>
  <w:footnote w:type="continuationSeparator" w:id="0">
    <w:p w:rsidR="00383926" w:rsidRPr="00C04606" w:rsidRDefault="00383926">
      <w:r w:rsidRPr="00C04606">
        <w:continuationSeparator/>
      </w:r>
    </w:p>
  </w:footnote>
  <w:footnote w:id="1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234, 22.9.2023., str. 1.</w:t>
      </w:r>
    </w:p>
  </w:footnote>
  <w:footnote w:id="2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234, 22.9.2023., str. 48.</w:t>
      </w:r>
    </w:p>
  </w:footnote>
  <w:footnote w:id="3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333, 27.12.2022., str. 164.</w:t>
      </w:r>
    </w:p>
  </w:footnote>
  <w:footnote w:id="4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249, 14.7.2021., str. 38.</w:t>
      </w:r>
    </w:p>
  </w:footnote>
  <w:footnote w:id="5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79</w:t>
      </w:r>
      <w:r w:rsidR="00694319">
        <w:rPr>
          <w:sz w:val="24"/>
          <w:u w:color="0000FF"/>
          <w:lang w:val="hr-HR"/>
        </w:rPr>
        <w:t> </w:t>
      </w:r>
      <w:r w:rsidRPr="00007FEB">
        <w:rPr>
          <w:sz w:val="24"/>
          <w:u w:color="0000FF"/>
          <w:lang w:val="hr-HR"/>
        </w:rPr>
        <w:t>I, 21.3.2019., str. 1.</w:t>
      </w:r>
    </w:p>
  </w:footnote>
  <w:footnote w:id="6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L 330, 23.12.2022., str. 1.</w:t>
      </w:r>
    </w:p>
  </w:footnote>
  <w:footnote w:id="7">
    <w:p w:rsidR="00AE0442" w:rsidRPr="00007FEB" w:rsidRDefault="00AE0442" w:rsidP="00C04606">
      <w:pPr>
        <w:pStyle w:val="FootnoteText"/>
        <w:ind w:left="567" w:hanging="567"/>
        <w:rPr>
          <w:sz w:val="24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lang w:val="hr-HR"/>
        </w:rPr>
        <w:t>SL L 57, 3.3.2017., str. 1.</w:t>
      </w:r>
    </w:p>
  </w:footnote>
  <w:footnote w:id="8">
    <w:p w:rsidR="00AE0442" w:rsidRPr="00007FEB" w:rsidRDefault="00AE0442" w:rsidP="00C04606">
      <w:pPr>
        <w:pStyle w:val="FootnoteText"/>
        <w:ind w:left="567" w:hanging="567"/>
        <w:rPr>
          <w:sz w:val="24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lang w:val="hr-HR"/>
        </w:rPr>
        <w:t>SL L 348, 20.12.2013., str. 1.</w:t>
      </w:r>
    </w:p>
  </w:footnote>
  <w:footnote w:id="9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C 117, 11.3.2022., str. 40.</w:t>
      </w:r>
    </w:p>
  </w:footnote>
  <w:footnote w:id="10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C 506, 15.12.2021., str. 12.</w:t>
      </w:r>
    </w:p>
  </w:footnote>
  <w:footnote w:id="11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>SL C 23, 21.1.2021</w:t>
      </w:r>
      <w:r w:rsidR="00007FEB">
        <w:rPr>
          <w:sz w:val="24"/>
          <w:u w:color="0000FF"/>
          <w:lang w:val="hr-HR"/>
        </w:rPr>
        <w:t>.</w:t>
      </w:r>
      <w:r w:rsidRPr="00007FEB">
        <w:rPr>
          <w:sz w:val="24"/>
          <w:u w:color="0000FF"/>
          <w:lang w:val="hr-HR"/>
        </w:rPr>
        <w:t>, str. 2.</w:t>
      </w:r>
    </w:p>
  </w:footnote>
  <w:footnote w:id="12">
    <w:p w:rsidR="00AE0442" w:rsidRPr="001B65AF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1B65AF">
        <w:rPr>
          <w:sz w:val="24"/>
          <w:u w:color="0000FF"/>
          <w:lang w:val="hr-HR"/>
        </w:rPr>
        <w:t>Institut Mercator za kineske studije, Bečki institut za međunarodne ekonomske studije, Institut za međunarodne gospodarske odnose, Kineska ulaganja u europsku pomorsku infrastrukturu, listopad 2023.</w:t>
      </w:r>
    </w:p>
  </w:footnote>
  <w:footnote w:id="13">
    <w:p w:rsidR="00AE0442" w:rsidRPr="001B65AF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1B65AF">
        <w:rPr>
          <w:sz w:val="24"/>
          <w:u w:color="0000FF"/>
          <w:lang w:val="hr-HR"/>
        </w:rPr>
        <w:t xml:space="preserve">AIVD, MIVD i NCTV, </w:t>
      </w:r>
      <w:proofErr w:type="spellStart"/>
      <w:r w:rsidRPr="001B65AF">
        <w:rPr>
          <w:sz w:val="24"/>
          <w:u w:color="0000FF"/>
          <w:lang w:val="hr-HR"/>
        </w:rPr>
        <w:t>Dreigingsbeeld</w:t>
      </w:r>
      <w:proofErr w:type="spellEnd"/>
      <w:r w:rsidRPr="001B65AF">
        <w:rPr>
          <w:sz w:val="24"/>
          <w:u w:color="0000FF"/>
          <w:lang w:val="hr-HR"/>
        </w:rPr>
        <w:t xml:space="preserve"> </w:t>
      </w:r>
      <w:proofErr w:type="spellStart"/>
      <w:r w:rsidRPr="001B65AF">
        <w:rPr>
          <w:sz w:val="24"/>
          <w:u w:color="0000FF"/>
          <w:lang w:val="hr-HR"/>
        </w:rPr>
        <w:t>Statelijke</w:t>
      </w:r>
      <w:proofErr w:type="spellEnd"/>
      <w:r w:rsidRPr="001B65AF">
        <w:rPr>
          <w:sz w:val="24"/>
          <w:u w:color="0000FF"/>
          <w:lang w:val="hr-HR"/>
        </w:rPr>
        <w:t xml:space="preserve"> </w:t>
      </w:r>
      <w:proofErr w:type="spellStart"/>
      <w:r w:rsidRPr="001B65AF">
        <w:rPr>
          <w:sz w:val="24"/>
          <w:u w:color="0000FF"/>
          <w:lang w:val="hr-HR"/>
        </w:rPr>
        <w:t>actoren</w:t>
      </w:r>
      <w:proofErr w:type="spellEnd"/>
      <w:r w:rsidRPr="001B65AF">
        <w:rPr>
          <w:sz w:val="24"/>
          <w:u w:color="0000FF"/>
          <w:lang w:val="hr-HR"/>
        </w:rPr>
        <w:t> 2, studeni 2022.</w:t>
      </w:r>
    </w:p>
  </w:footnote>
  <w:footnote w:id="14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 xml:space="preserve">Uredba (EU) 2019/452 Europskog parlamenta i Vijeća od 19. ožujka 2019. o uspostavi okvira za provjeru izravnih stranih ulaganja u Uniji </w:t>
      </w:r>
      <w:r w:rsidR="00007FEB">
        <w:rPr>
          <w:sz w:val="24"/>
          <w:u w:color="0000FF"/>
          <w:lang w:val="hr-HR"/>
        </w:rPr>
        <w:t>(</w:t>
      </w:r>
      <w:r w:rsidRPr="00007FEB">
        <w:rPr>
          <w:sz w:val="24"/>
          <w:u w:color="0000FF"/>
          <w:lang w:val="hr-HR"/>
        </w:rPr>
        <w:t>SL L 79</w:t>
      </w:r>
      <w:r w:rsidR="00007FEB">
        <w:rPr>
          <w:sz w:val="24"/>
          <w:u w:color="0000FF"/>
          <w:lang w:val="hr-HR"/>
        </w:rPr>
        <w:t xml:space="preserve"> </w:t>
      </w:r>
      <w:r w:rsidRPr="00007FEB">
        <w:rPr>
          <w:sz w:val="24"/>
          <w:u w:color="0000FF"/>
          <w:lang w:val="hr-HR"/>
        </w:rPr>
        <w:t>I, 21.3.2019., str. 1.</w:t>
      </w:r>
      <w:r w:rsidR="00007FEB">
        <w:rPr>
          <w:sz w:val="24"/>
          <w:u w:color="0000FF"/>
          <w:lang w:val="hr-HR"/>
        </w:rPr>
        <w:t>).</w:t>
      </w:r>
    </w:p>
  </w:footnote>
  <w:footnote w:id="15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C04606">
        <w:rPr>
          <w:rStyle w:val="FootnoteReference"/>
          <w:sz w:val="24"/>
          <w:lang w:val="hr-HR"/>
        </w:rPr>
        <w:footnoteRef/>
      </w:r>
      <w:r w:rsidR="00C04606" w:rsidRPr="00C04606">
        <w:rPr>
          <w:sz w:val="24"/>
          <w:lang w:val="hr-HR"/>
        </w:rPr>
        <w:t xml:space="preserve"> </w:t>
      </w:r>
      <w:r w:rsidR="00C04606" w:rsidRPr="00C04606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 xml:space="preserve">Direktiva 2003/87/EZ Europskog parlamenta i Vijeća od 13. listopada 2003. o uspostavi sustava trgovanja emisijskim jedinicama stakleničkih plinova unutar Unije i o izmjeni Direktive Vijeća 96/61/EZ </w:t>
      </w:r>
      <w:r w:rsidR="00007FEB">
        <w:rPr>
          <w:sz w:val="24"/>
          <w:u w:color="0000FF"/>
          <w:lang w:val="hr-HR"/>
        </w:rPr>
        <w:t>(</w:t>
      </w:r>
      <w:r w:rsidRPr="00007FEB">
        <w:rPr>
          <w:sz w:val="24"/>
          <w:u w:color="0000FF"/>
          <w:lang w:val="hr-HR"/>
        </w:rPr>
        <w:t>SL L 275, 25.10.2003., str. 32.</w:t>
      </w:r>
      <w:r w:rsidR="00007FEB">
        <w:rPr>
          <w:sz w:val="24"/>
          <w:u w:color="0000FF"/>
          <w:lang w:val="hr-HR"/>
        </w:rPr>
        <w:t>).</w:t>
      </w:r>
    </w:p>
  </w:footnote>
  <w:footnote w:id="16">
    <w:p w:rsidR="00AE0442" w:rsidRPr="00007FEB" w:rsidRDefault="00AE0442" w:rsidP="00C04606">
      <w:pPr>
        <w:pStyle w:val="FootnoteText"/>
        <w:ind w:left="567" w:hanging="567"/>
        <w:rPr>
          <w:sz w:val="24"/>
          <w:u w:color="0000FF"/>
          <w:lang w:val="hr-HR"/>
        </w:rPr>
      </w:pPr>
      <w:r w:rsidRPr="00007FEB">
        <w:rPr>
          <w:rStyle w:val="FootnoteReference"/>
          <w:sz w:val="24"/>
          <w:lang w:val="hr-HR"/>
        </w:rPr>
        <w:footnoteRef/>
      </w:r>
      <w:r w:rsidR="00C04606" w:rsidRPr="00007FEB">
        <w:rPr>
          <w:sz w:val="24"/>
          <w:lang w:val="hr-HR"/>
        </w:rPr>
        <w:t xml:space="preserve"> </w:t>
      </w:r>
      <w:r w:rsidR="00C04606" w:rsidRPr="00007FEB">
        <w:rPr>
          <w:sz w:val="24"/>
          <w:lang w:val="hr-HR"/>
        </w:rPr>
        <w:tab/>
      </w:r>
      <w:r w:rsidRPr="00007FEB">
        <w:rPr>
          <w:sz w:val="24"/>
          <w:u w:color="0000FF"/>
          <w:lang w:val="hr-HR"/>
        </w:rPr>
        <w:t xml:space="preserve">Uredba (EU) 2023/1805 Europskog parlamenta i Vijeća od 13. rujna 2023. o upotrebi obnovljivih i </w:t>
      </w:r>
      <w:proofErr w:type="spellStart"/>
      <w:r w:rsidRPr="00007FEB">
        <w:rPr>
          <w:sz w:val="24"/>
          <w:u w:color="0000FF"/>
          <w:lang w:val="hr-HR"/>
        </w:rPr>
        <w:t>niskougljičnih</w:t>
      </w:r>
      <w:proofErr w:type="spellEnd"/>
      <w:r w:rsidRPr="00007FEB">
        <w:rPr>
          <w:sz w:val="24"/>
          <w:u w:color="0000FF"/>
          <w:lang w:val="hr-HR"/>
        </w:rPr>
        <w:t xml:space="preserve"> goriva u pomorskom prometu i izmjeni Direktive 2009/16/EZ </w:t>
      </w:r>
      <w:r w:rsidR="00007FEB">
        <w:rPr>
          <w:sz w:val="24"/>
          <w:u w:color="0000FF"/>
          <w:lang w:val="hr-HR"/>
        </w:rPr>
        <w:t>(</w:t>
      </w:r>
      <w:r w:rsidRPr="00007FEB">
        <w:rPr>
          <w:sz w:val="24"/>
          <w:u w:color="0000FF"/>
          <w:lang w:val="hr-HR"/>
        </w:rPr>
        <w:t>SL L 234, 22.9.2023., str. 48.</w:t>
      </w:r>
      <w:r w:rsidR="00007FEB">
        <w:rPr>
          <w:sz w:val="24"/>
          <w:u w:color="0000FF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46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3/2023"/>
    <w:docVar w:name="dvlangue" w:val="HR"/>
    <w:docVar w:name="dvnumam" w:val="0"/>
    <w:docVar w:name="dvpe" w:val="750.225"/>
    <w:docVar w:name="dvrapporteur" w:val="Izvjestitelj: "/>
    <w:docVar w:name="dvtitre" w:val="Rezolucija Europskog parlamenta od .... 2024. o izradi sveobuhvatne europske strategije za luke(2023/2059(INI))"/>
  </w:docVars>
  <w:rsids>
    <w:rsidRoot w:val="00383926"/>
    <w:rsid w:val="00002272"/>
    <w:rsid w:val="00007FEB"/>
    <w:rsid w:val="00064002"/>
    <w:rsid w:val="000677B9"/>
    <w:rsid w:val="000831BA"/>
    <w:rsid w:val="000A42CC"/>
    <w:rsid w:val="000E7DD9"/>
    <w:rsid w:val="0010095E"/>
    <w:rsid w:val="00125B37"/>
    <w:rsid w:val="00187494"/>
    <w:rsid w:val="001B65AF"/>
    <w:rsid w:val="001F32AE"/>
    <w:rsid w:val="002767FF"/>
    <w:rsid w:val="002B18FE"/>
    <w:rsid w:val="002B5493"/>
    <w:rsid w:val="00343214"/>
    <w:rsid w:val="00361C00"/>
    <w:rsid w:val="0038392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43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9E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442"/>
    <w:rsid w:val="00AE0928"/>
    <w:rsid w:val="00AF3B82"/>
    <w:rsid w:val="00B12E95"/>
    <w:rsid w:val="00B22876"/>
    <w:rsid w:val="00B558F0"/>
    <w:rsid w:val="00B624D4"/>
    <w:rsid w:val="00BD48FE"/>
    <w:rsid w:val="00BD7BD8"/>
    <w:rsid w:val="00BE6ADC"/>
    <w:rsid w:val="00C04606"/>
    <w:rsid w:val="00C05BFE"/>
    <w:rsid w:val="00C23CD4"/>
    <w:rsid w:val="00C61C0C"/>
    <w:rsid w:val="00C941CB"/>
    <w:rsid w:val="00CC2357"/>
    <w:rsid w:val="00CF071A"/>
    <w:rsid w:val="00D058B8"/>
    <w:rsid w:val="00D56C11"/>
    <w:rsid w:val="00D77221"/>
    <w:rsid w:val="00D834A0"/>
    <w:rsid w:val="00D872DF"/>
    <w:rsid w:val="00D91E21"/>
    <w:rsid w:val="00DA7FCD"/>
    <w:rsid w:val="00E1423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F70B7"/>
  <w15:chartTrackingRefBased/>
  <w15:docId w15:val="{89B2D574-33EA-475E-8637-6A80B9BC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0442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AE0442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AE0442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AE0442"/>
    <w:rPr>
      <w:b/>
      <w:i/>
      <w:u w:val="none"/>
    </w:rPr>
  </w:style>
  <w:style w:type="character" w:customStyle="1" w:styleId="Italic">
    <w:name w:val="Italic"/>
    <w:uiPriority w:val="1"/>
    <w:rsid w:val="00AE0442"/>
    <w:rPr>
      <w:i/>
    </w:rPr>
  </w:style>
  <w:style w:type="paragraph" w:customStyle="1" w:styleId="Normal12a24b">
    <w:name w:val="Normal12a24b"/>
    <w:basedOn w:val="Normal"/>
    <w:rsid w:val="00AE0442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16012-2FE8-4DA1-9215-2A2284C94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4467</Words>
  <Characters>27072</Characters>
  <Application>Microsoft Office Word</Application>
  <DocSecurity>0</DocSecurity>
  <Lines>225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RAONIĆ Ena</cp:lastModifiedBy>
  <cp:revision>2</cp:revision>
  <cp:lastPrinted>2004-11-19T15:42:00Z</cp:lastPrinted>
  <dcterms:created xsi:type="dcterms:W3CDTF">2024-02-19T09:13:00Z</dcterms:created>
  <dcterms:modified xsi:type="dcterms:W3CDTF">2024-02-19T09:13:00Z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A9-0443/2023</vt:lpwstr>
  </property>
  <property fmtid="{D5CDD505-2E9C-101B-9397-08002B2CF9AE}" pid="4" name="&lt;Type&gt;">
    <vt:lpwstr>RR</vt:lpwstr>
  </property>
</Properties>
</file>