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10989" w:rsidRPr="00C87D1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10989" w:rsidRPr="00C87D17" w:rsidRDefault="006318DF">
            <w:pPr>
              <w:pStyle w:val="EPName"/>
            </w:pPr>
            <w:r w:rsidRPr="00C87D17">
              <w:t>Európsky parlament</w:t>
            </w:r>
          </w:p>
          <w:p w:rsidR="00610989" w:rsidRPr="00C87D17" w:rsidRDefault="006318DF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7D1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610989" w:rsidRPr="00C87D17" w:rsidRDefault="006318DF">
            <w:pPr>
              <w:pStyle w:val="EPLogo"/>
            </w:pPr>
            <w:r w:rsidRPr="00C87D1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0989" w:rsidRPr="00C87D17" w:rsidRDefault="00610989">
      <w:pPr>
        <w:pStyle w:val="LineTop"/>
      </w:pPr>
    </w:p>
    <w:p w:rsidR="00610989" w:rsidRPr="00C87D17" w:rsidRDefault="006318DF">
      <w:pPr>
        <w:pStyle w:val="EPBodyTA1"/>
      </w:pPr>
      <w:r w:rsidRPr="00C87D17">
        <w:t>PRIJATÉ TEXTY</w:t>
      </w:r>
    </w:p>
    <w:p w:rsidR="00610989" w:rsidRPr="00C87D17" w:rsidRDefault="00610989">
      <w:pPr>
        <w:pStyle w:val="LineBottom"/>
      </w:pPr>
    </w:p>
    <w:p w:rsidR="00610989" w:rsidRPr="00C87D17" w:rsidRDefault="006318DF">
      <w:pPr>
        <w:pStyle w:val="ATHeading1"/>
      </w:pPr>
      <w:bookmarkStart w:id="0" w:name="TANumber"/>
      <w:r w:rsidRPr="00C87D17">
        <w:t>P9_TA(2024)00</w:t>
      </w:r>
      <w:r w:rsidR="005E7F3B" w:rsidRPr="00C87D17">
        <w:t>25</w:t>
      </w:r>
      <w:bookmarkEnd w:id="0"/>
    </w:p>
    <w:p w:rsidR="00610989" w:rsidRPr="00C87D17" w:rsidRDefault="006318DF">
      <w:pPr>
        <w:pStyle w:val="ATHeading2"/>
      </w:pPr>
      <w:bookmarkStart w:id="1" w:name="title"/>
      <w:r w:rsidRPr="00C87D17">
        <w:t>Vypracovanie komplexnej európskej stratégie pre prístavy</w:t>
      </w:r>
      <w:bookmarkEnd w:id="1"/>
    </w:p>
    <w:p w:rsidR="00610989" w:rsidRPr="00C87D17" w:rsidRDefault="006318DF">
      <w:pPr>
        <w:rPr>
          <w:i/>
          <w:vanish/>
        </w:rPr>
      </w:pPr>
      <w:r w:rsidRPr="00C87D17">
        <w:rPr>
          <w:i/>
        </w:rPr>
        <w:fldChar w:fldCharType="begin"/>
      </w:r>
      <w:r w:rsidRPr="00C87D17">
        <w:rPr>
          <w:i/>
        </w:rPr>
        <w:instrText xml:space="preserve"> TC"(</w:instrText>
      </w:r>
      <w:bookmarkStart w:id="2" w:name="DocNumber"/>
      <w:r w:rsidRPr="00C87D17">
        <w:rPr>
          <w:i/>
        </w:rPr>
        <w:instrText>A9-0443/2023</w:instrText>
      </w:r>
      <w:bookmarkEnd w:id="2"/>
      <w:r w:rsidRPr="00C87D17">
        <w:rPr>
          <w:i/>
        </w:rPr>
        <w:instrText xml:space="preserve"> - Spravodajca: Tom </w:instrText>
      </w:r>
      <w:proofErr w:type="spellStart"/>
      <w:r w:rsidRPr="00C87D17">
        <w:rPr>
          <w:i/>
        </w:rPr>
        <w:instrText>Berendsen</w:instrText>
      </w:r>
      <w:proofErr w:type="spellEnd"/>
      <w:r w:rsidRPr="00C87D17">
        <w:rPr>
          <w:i/>
        </w:rPr>
        <w:instrText xml:space="preserve">)"\l3 \n&gt; \* MERGEFORMAT </w:instrText>
      </w:r>
      <w:r w:rsidRPr="00C87D17">
        <w:rPr>
          <w:i/>
        </w:rPr>
        <w:fldChar w:fldCharType="end"/>
      </w:r>
    </w:p>
    <w:p w:rsidR="00610989" w:rsidRPr="00C87D17" w:rsidRDefault="006318DF">
      <w:pPr>
        <w:rPr>
          <w:vanish/>
        </w:rPr>
      </w:pPr>
      <w:bookmarkStart w:id="3" w:name="Commission"/>
      <w:r w:rsidRPr="00C87D17">
        <w:rPr>
          <w:vanish/>
        </w:rPr>
        <w:t>Výbor pre dopravu a cestovný ruch</w:t>
      </w:r>
      <w:bookmarkEnd w:id="3"/>
    </w:p>
    <w:p w:rsidR="00610989" w:rsidRPr="00C87D17" w:rsidRDefault="006318DF">
      <w:pPr>
        <w:rPr>
          <w:vanish/>
        </w:rPr>
      </w:pPr>
      <w:bookmarkStart w:id="4" w:name="PE"/>
      <w:r w:rsidRPr="00C87D17">
        <w:rPr>
          <w:vanish/>
        </w:rPr>
        <w:t>PE750.225</w:t>
      </w:r>
      <w:bookmarkEnd w:id="4"/>
    </w:p>
    <w:p w:rsidR="00610989" w:rsidRPr="00C87D17" w:rsidRDefault="006318DF">
      <w:pPr>
        <w:pStyle w:val="ATHeading3"/>
      </w:pPr>
      <w:bookmarkStart w:id="5" w:name="Sujet"/>
      <w:r w:rsidRPr="00C87D17">
        <w:t>Uznesenie Európskeho parlamentu zo 17. januára 2024 o vypracovaní komplexnej európskej stratégie pre prístavy</w:t>
      </w:r>
      <w:bookmarkEnd w:id="5"/>
      <w:r w:rsidRPr="00C87D17">
        <w:t xml:space="preserve"> </w:t>
      </w:r>
      <w:bookmarkStart w:id="6" w:name="References"/>
      <w:r w:rsidRPr="00C87D17">
        <w:t>(2023/2059(INI))</w:t>
      </w:r>
      <w:bookmarkEnd w:id="6"/>
    </w:p>
    <w:p w:rsidR="00610989" w:rsidRPr="00C87D17" w:rsidRDefault="006318DF">
      <w:pPr>
        <w:pStyle w:val="EPComma"/>
        <w:rPr>
          <w:lang w:val="sk-SK"/>
        </w:rPr>
      </w:pPr>
      <w:bookmarkStart w:id="7" w:name="TextBodyBegin"/>
      <w:bookmarkEnd w:id="7"/>
      <w:r w:rsidRPr="00C87D17">
        <w:rPr>
          <w:rStyle w:val="Italic"/>
          <w:lang w:val="sk-SK"/>
        </w:rPr>
        <w:t>Európsky parlament</w:t>
      </w:r>
      <w:r w:rsidRPr="00C87D17">
        <w:rPr>
          <w:lang w:val="sk-SK"/>
        </w:rPr>
        <w:t>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Zmluvu o fungovaní Európskej únie, najmä na jej hlavu XVIII,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oznámenie Komisie z 1. júna 2023 s názvom Námorná bezpečnosť: v centre čistej a modernej lodnej dopravy (COM(2023)0268),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spoločné oznámenie Komisie a vysokého predstaviteľa Únie pre zahraničné veci a bezpečnostnú politiku z 10. marca 2023 o aktualizácii stratégie námornej bezpečnosti EÚ a jej akčného plánu s názvom Posilnená stratégia námornej bezpečnosti EÚ pre vyvíjajúce sa námorné hrozby (JOIN(2023)0008),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akčný plán stratégie námornej bezpečnosti, ktorý prijala Európska rada 24. júna 2014,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závery Rady o revízii akčného plánu stratégie námornej bezpečnosti EÚ, ktoré prijala Európska rada 26. júna 2018,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 xml:space="preserve">so zreteľom na spoločné oznámenie Komisie a vysokého predstaviteľa Únie pre zahraničné veci a bezpečnostnú politiku z 1. decembra 2021 s názvom </w:t>
      </w:r>
      <w:proofErr w:type="spellStart"/>
      <w:r w:rsidRPr="00C87D17">
        <w:rPr>
          <w:lang w:val="sk-SK"/>
        </w:rPr>
        <w:t>Global</w:t>
      </w:r>
      <w:proofErr w:type="spellEnd"/>
      <w:r w:rsidRPr="00C87D17">
        <w:rPr>
          <w:lang w:val="sk-SK"/>
        </w:rPr>
        <w:t xml:space="preserve"> </w:t>
      </w:r>
      <w:proofErr w:type="spellStart"/>
      <w:r w:rsidRPr="00C87D17">
        <w:rPr>
          <w:lang w:val="sk-SK"/>
        </w:rPr>
        <w:t>Gateway</w:t>
      </w:r>
      <w:proofErr w:type="spellEnd"/>
      <w:r w:rsidRPr="00C87D17">
        <w:rPr>
          <w:lang w:val="sk-SK"/>
        </w:rPr>
        <w:t xml:space="preserve"> (JOIN(2021)0030),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spoločné oznámenie Komisie a vysokej predstaviteľky Únie pre zahraničné veci a bezpečnostnú politiku z 12. marca 2019 s názvom EÚ – Čína: strategická vízia (JOIN(2019)0005),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spoločné oznámenie Európskemu parlamentu, Európskej rade a Rade o Európskej stratégii hospodárskej bezpečnosti z 20. júna 2023 (JOIN(2023)0020),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 xml:space="preserve">so zreteľom na balík Komisie Fit </w:t>
      </w:r>
      <w:proofErr w:type="spellStart"/>
      <w:r w:rsidRPr="00C87D17">
        <w:rPr>
          <w:lang w:val="sk-SK"/>
        </w:rPr>
        <w:t>for</w:t>
      </w:r>
      <w:proofErr w:type="spellEnd"/>
      <w:r w:rsidRPr="00C87D17">
        <w:rPr>
          <w:lang w:val="sk-SK"/>
        </w:rPr>
        <w:t xml:space="preserve"> 55 zo 14. júla 2021 o plnení Európskej zelenej dohody,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lastRenderedPageBreak/>
        <w:t>–</w:t>
      </w:r>
      <w:r w:rsidRPr="00C87D17">
        <w:rPr>
          <w:lang w:val="sk-SK"/>
        </w:rPr>
        <w:tab/>
        <w:t>so zreteľom na dohodu prijatú 12. decembra 2015 na 21. konferencii zmluvných strán Rámcového dohovoru Organizácie Spojených národov o zmene klímy (COP 21) v Paríži (Parížska dohoda),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oznámenie Komisie z 20. mája 2020 s názvom Stratégia EÚ v oblasti biodiverzity do roku 2030: prinavrátenie prírody do našich životov (COM(2020)0380),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smernicu 2007/60/ES z 23. októbra 2007 o hodnotení a manažmente povodňových rizík,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smernicu (EÚ) 2018/2001 z 11. decembra 2018 o podpore využívania energie z obnoviteľných zdrojov,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oznámenie Komisie z 23. mája 2013 s názvom Prístavy: motor rastu (COM(2013)0295),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oznámenie Komisie z 18. októbra 2023 o pláne EÚ na boj proti obchodovaniu s drogami a organizovanej trestnej činnosti,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akčný plán EÚ: Dosahovanie nulového znečisťovania ovzdušia, vody a pôdy;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smernicu o kvalite okolitého ovzdušia (2022/0347(COD) [o ktorej sa rokuje],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nariadenie Európskeho parlamentu a Rady (EÚ) 2023/1804 z 13. septembra 2023 o zavádzaní infraštruktúry pre alternatívne palivá a o zrušení smernice 2014/94/EÚ</w:t>
      </w:r>
      <w:r w:rsidRPr="00C87D17">
        <w:rPr>
          <w:rStyle w:val="FootnoteReference"/>
          <w:lang w:val="sk-SK"/>
        </w:rPr>
        <w:footnoteReference w:id="1"/>
      </w:r>
      <w:r w:rsidRPr="00C87D17">
        <w:rPr>
          <w:lang w:val="sk-SK"/>
        </w:rPr>
        <w:t>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 xml:space="preserve">so zreteľom na nariadenie Európskeho parlamentu a Rady (EÚ) 2023/1805 z 13. septembra 2023 o využívaní palív z obnoviteľných zdrojov a </w:t>
      </w:r>
      <w:proofErr w:type="spellStart"/>
      <w:r w:rsidRPr="00C87D17">
        <w:rPr>
          <w:lang w:val="sk-SK"/>
        </w:rPr>
        <w:t>nízkouhlíkových</w:t>
      </w:r>
      <w:proofErr w:type="spellEnd"/>
      <w:r w:rsidRPr="00C87D17">
        <w:rPr>
          <w:lang w:val="sk-SK"/>
        </w:rPr>
        <w:t xml:space="preserve"> palív v námornej doprave a o zmene smernice 2009/16/ES</w:t>
      </w:r>
      <w:r w:rsidRPr="00C87D17">
        <w:rPr>
          <w:rStyle w:val="FootnoteReference"/>
          <w:lang w:val="sk-SK"/>
        </w:rPr>
        <w:footnoteReference w:id="2"/>
      </w:r>
      <w:r w:rsidRPr="00C87D17">
        <w:rPr>
          <w:lang w:val="sk-SK"/>
        </w:rPr>
        <w:t>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smernicu Európskeho parlamentu a Rady (EÚ) 2022/2557 zo 14. decembra 2022 o odolnosti kritických subjektov a o zrušení smernice Rady 2008/114/ES</w:t>
      </w:r>
      <w:r w:rsidRPr="00C87D17">
        <w:rPr>
          <w:rStyle w:val="FootnoteReference"/>
          <w:lang w:val="sk-SK"/>
        </w:rPr>
        <w:footnoteReference w:id="3"/>
      </w:r>
      <w:r w:rsidRPr="00C87D17">
        <w:rPr>
          <w:lang w:val="sk-SK"/>
        </w:rPr>
        <w:t>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nariadenie Európskeho parlamentu a Rady (EÚ) 2021/1153 zo 7. júla 2021, ktorým sa zriaďuje Nástroj na prepájanie Európy a zrušujú nariadenia (EÚ) č. 1316/2013 a (EÚ) č. 283/2014</w:t>
      </w:r>
      <w:r w:rsidRPr="00C87D17">
        <w:rPr>
          <w:rStyle w:val="FootnoteReference"/>
          <w:lang w:val="sk-SK"/>
        </w:rPr>
        <w:footnoteReference w:id="4"/>
      </w:r>
      <w:r w:rsidRPr="00C87D17">
        <w:rPr>
          <w:lang w:val="sk-SK"/>
        </w:rPr>
        <w:t>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nariadenie Európskeho parlamentu a Rady (EÚ) 2019/452 z 19. marca 2019, ktorým sa ustanovuje rámec na preverovanie priamych zahraničných investícií do Únie</w:t>
      </w:r>
      <w:r w:rsidRPr="00C87D17">
        <w:rPr>
          <w:rStyle w:val="FootnoteReference"/>
          <w:lang w:val="sk-SK"/>
        </w:rPr>
        <w:footnoteReference w:id="5"/>
      </w:r>
      <w:r w:rsidRPr="00C87D17">
        <w:rPr>
          <w:lang w:val="sk-SK"/>
        </w:rPr>
        <w:t>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lastRenderedPageBreak/>
        <w:t>–</w:t>
      </w:r>
      <w:r w:rsidRPr="00C87D17">
        <w:rPr>
          <w:lang w:val="sk-SK"/>
        </w:rPr>
        <w:tab/>
        <w:t>so zreteľom na nariadenie Európskeho parlamentu a Rady (EÚ) 2022/2560 zo 14. decembra 2022 o zahraničných subvenciách narúšajúcich vnútorný trh</w:t>
      </w:r>
      <w:r w:rsidRPr="00C87D17">
        <w:rPr>
          <w:rStyle w:val="FootnoteReference"/>
          <w:lang w:val="sk-SK"/>
        </w:rPr>
        <w:footnoteReference w:id="6"/>
      </w:r>
      <w:r w:rsidRPr="00C87D17">
        <w:rPr>
          <w:lang w:val="sk-SK"/>
        </w:rPr>
        <w:t>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nariadenie Európskeho parlamentu a Rady (EÚ) 2017/352 z 15. februára 2017, ktorým sa stanovuje rámec pre poskytovanie prístavných služieb a spoločné pravidlá o finančnej transparentnosti prístavov</w:t>
      </w:r>
      <w:r w:rsidRPr="00C87D17">
        <w:rPr>
          <w:rStyle w:val="FootnoteReference"/>
          <w:lang w:val="sk-SK"/>
        </w:rPr>
        <w:footnoteReference w:id="7"/>
      </w:r>
      <w:r w:rsidRPr="00C87D17">
        <w:rPr>
          <w:lang w:val="sk-SK"/>
        </w:rPr>
        <w:t>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 xml:space="preserve">so zreteľom na nariadenie Európskeho parlamentu a Rady (EÚ) č. 1315/2013 z 11. decembra 2013 o usmerneniach Únie pre rozvoj </w:t>
      </w:r>
      <w:proofErr w:type="spellStart"/>
      <w:r w:rsidRPr="00C87D17">
        <w:rPr>
          <w:lang w:val="sk-SK"/>
        </w:rPr>
        <w:t>transeurópskej</w:t>
      </w:r>
      <w:proofErr w:type="spellEnd"/>
      <w:r w:rsidRPr="00C87D17">
        <w:rPr>
          <w:lang w:val="sk-SK"/>
        </w:rPr>
        <w:t xml:space="preserve"> dopravnej siete a o zrušení rozhodnutia č. 661/2010/EÚ</w:t>
      </w:r>
      <w:r w:rsidRPr="00C87D17">
        <w:rPr>
          <w:rStyle w:val="FootnoteReference"/>
          <w:lang w:val="sk-SK"/>
        </w:rPr>
        <w:footnoteReference w:id="8"/>
      </w:r>
      <w:r w:rsidRPr="00C87D17">
        <w:rPr>
          <w:lang w:val="sk-SK"/>
        </w:rPr>
        <w:t>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nariadenie Komisie (ES) č. 906/2009 z 28. septembra 2009 o uplatňovaní článku 81 ods. 3 zmluvy na určité kategórie dohôd, rozhodnutí a zosúladených postupov medzi spoločnosťami linkovej námornej dopravy (konzorciá) a na oznámenie Komisii z 10. októbra 2023 o uplynutí jeho platnosti 25. apríla 2024,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 xml:space="preserve">so zreteľom na návrh nariadenia Európskeho parlamentu a Rady o usmerneniach Únie pre rozvoj </w:t>
      </w:r>
      <w:proofErr w:type="spellStart"/>
      <w:r w:rsidRPr="00C87D17">
        <w:rPr>
          <w:lang w:val="sk-SK"/>
        </w:rPr>
        <w:t>transeurópskej</w:t>
      </w:r>
      <w:proofErr w:type="spellEnd"/>
      <w:r w:rsidRPr="00C87D17">
        <w:rPr>
          <w:lang w:val="sk-SK"/>
        </w:rPr>
        <w:t xml:space="preserve"> dopravnej siete, ktorým sa mení nariadenie (EÚ) 2021/1153 a nariadenie (EÚ) č. 913/2010 a zrušuje nariadenie (EÚ) 1315/2013 (COM(2021)0812),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svoje uznesenie zo 16. septembra 2021 o novej stratégii EÚ – Čína</w:t>
      </w:r>
      <w:r w:rsidRPr="00C87D17">
        <w:rPr>
          <w:rStyle w:val="FootnoteReference"/>
          <w:lang w:val="sk-SK"/>
        </w:rPr>
        <w:footnoteReference w:id="9"/>
      </w:r>
      <w:r w:rsidRPr="00C87D17">
        <w:rPr>
          <w:lang w:val="sk-SK"/>
        </w:rPr>
        <w:t>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svoje uznesenie z 27. apríla 2021 o technických a prevádzkových opatreniach pre efektívnejšiu a ekologickejšiu námornú dopravu</w:t>
      </w:r>
      <w:r w:rsidRPr="00C87D17">
        <w:rPr>
          <w:rStyle w:val="FootnoteReference"/>
          <w:lang w:val="sk-SK"/>
        </w:rPr>
        <w:footnoteReference w:id="10"/>
      </w:r>
      <w:r w:rsidRPr="00C87D17">
        <w:rPr>
          <w:lang w:val="sk-SK"/>
        </w:rPr>
        <w:t>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svoje uznesenie z 12. marca 2019 o bezpečnostných hrozbách súvisiacich so zvyšujúcou sa čínskou technologickou prítomnosťou v EÚ a možných opatreniach na úrovni EÚ na ich zníženie</w:t>
      </w:r>
      <w:r w:rsidRPr="00C87D17">
        <w:rPr>
          <w:rStyle w:val="FootnoteReference"/>
          <w:lang w:val="sk-SK"/>
        </w:rPr>
        <w:footnoteReference w:id="11"/>
      </w:r>
      <w:r w:rsidRPr="00C87D17">
        <w:rPr>
          <w:lang w:val="sk-SK"/>
        </w:rPr>
        <w:t>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štúdiu zo septembra 2023 s názvom Investície Číny do infraštruktúry v európskej námornej doprave, o ktorej vypracovanie požiadal Výbor pre dopravu a cestovný ruch</w:t>
      </w:r>
      <w:r w:rsidRPr="00C87D17">
        <w:rPr>
          <w:rStyle w:val="FootnoteReference"/>
          <w:lang w:val="sk-SK"/>
        </w:rPr>
        <w:footnoteReference w:id="12"/>
      </w:r>
      <w:r w:rsidRPr="00C87D17">
        <w:rPr>
          <w:lang w:val="sk-SK"/>
        </w:rPr>
        <w:t>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článok 54 rokovacieho poriadku,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stanovisko Výboru pre medzinárodný obchod,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–</w:t>
      </w:r>
      <w:r w:rsidRPr="00C87D17">
        <w:rPr>
          <w:lang w:val="sk-SK"/>
        </w:rPr>
        <w:tab/>
        <w:t>so zreteľom na správu Výboru pre dopravu a cestovný ruch (A9-0443/2023),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A.</w:t>
      </w:r>
      <w:r w:rsidRPr="00C87D17">
        <w:rPr>
          <w:lang w:val="sk-SK"/>
        </w:rPr>
        <w:tab/>
        <w:t xml:space="preserve">keďže naše prístavy sú vstupnou bránou EÚ do sveta a ako také zohrávajú kľúčovú úlohu v jej hospodárstve, pretože poskytujú bohatstvo a pracovné miesta tým, že uľahčujú zahraničný obchod, zabezpečujú spojenie s vnútrozemím, rast modrého </w:t>
      </w:r>
      <w:r w:rsidRPr="00C87D17">
        <w:rPr>
          <w:lang w:val="sk-SK"/>
        </w:rPr>
        <w:lastRenderedPageBreak/>
        <w:t>hospodárstva a priemyselnej výroby, energetickú transformáciu a bezpečnosť dodávok energie, ako aj strategickú autonómiu EÚ;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B.</w:t>
      </w:r>
      <w:r w:rsidRPr="00C87D17">
        <w:rPr>
          <w:lang w:val="sk-SK"/>
        </w:rPr>
        <w:tab/>
        <w:t>keďže prístavy poskytujú životne dôležitú verejnú službu, za čo si zaslúžia uznanie a ocenenie;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C.</w:t>
      </w:r>
      <w:r w:rsidRPr="00C87D17">
        <w:rPr>
          <w:lang w:val="sk-SK"/>
        </w:rPr>
        <w:tab/>
        <w:t>keďže hoci je hospodárska súťaž medzi prístavmi prospešná, malo by sa zabrániť tomu, aby sa medzi sebou pretekali o dosiahnutie najnižšej úrovne za cenu bezpečnosti alebo zvýšeného politického vplyvu či zvýšenej zahraničnej kontroly prostredníctvom investícií subjektov z krajín mimo EÚ, najmä podnikov, ktoré sú vlastnené, kontrolované alebo ovplyvňované štátom;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D.</w:t>
      </w:r>
      <w:r w:rsidRPr="00C87D17">
        <w:rPr>
          <w:lang w:val="sk-SK"/>
        </w:rPr>
        <w:tab/>
        <w:t>keďže štátom vlastnené podniky z krajín mimo EÚ alebo podniky priamo alebo nepriamo kontrolované zahraničnými štátmi strategicky zvýšili svoje finančné a prevádzkové podiely v európskych prístavoch, termináloch, spoločnostiach a prístavnej infraštruktúre;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E.</w:t>
      </w:r>
      <w:r w:rsidRPr="00C87D17">
        <w:rPr>
          <w:lang w:val="sk-SK"/>
        </w:rPr>
        <w:tab/>
        <w:t>keďže Európska únia zdôraznila svoju túžbu po väčšej autonómii v strategických odvetviach, ale urobila len málo, aby reagovala na rast Číny v námornom odvetví a jeho bezpečnostné dôsledky;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F.</w:t>
      </w:r>
      <w:r w:rsidRPr="00C87D17">
        <w:rPr>
          <w:lang w:val="sk-SK"/>
        </w:rPr>
        <w:tab/>
        <w:t>keďže prístavy sú veľmi zložitým prostredím s množstvom rôznych zainteresovaných strán a záujmov, v dôsledku čoho je rozpoznanie a posúdenie rizík zahraničného vplyvu náročné, zároveň však mimoriadne dôležité;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G.</w:t>
      </w:r>
      <w:r w:rsidRPr="00C87D17">
        <w:rPr>
          <w:lang w:val="sk-SK"/>
        </w:rPr>
        <w:tab/>
        <w:t>keďže ruská útočná vojna proti Ukrajine preukázala neprijateľné riziká závislosti od jednotlivých krajín mimo EÚ v strategických odvetviach, ako aj kľúčovú potrebu posilniť bezpečnosť a odolnosť námornej infraštruktúry a hodnotových reťazcov s cieľom zabezpečiť tok životne dôležitého tovaru;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H.</w:t>
      </w:r>
      <w:r w:rsidRPr="00C87D17">
        <w:rPr>
          <w:lang w:val="sk-SK"/>
        </w:rPr>
        <w:tab/>
        <w:t>keďže prístavy nadobudli nový význam z vojenského a obranného hľadiska vrátane dvojakého využívania prístavných infraštruktúr;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I.</w:t>
      </w:r>
      <w:r w:rsidRPr="00C87D17">
        <w:rPr>
          <w:lang w:val="sk-SK"/>
        </w:rPr>
        <w:tab/>
        <w:t>keďže európske prístavy často konkurujú prístavom tretích krajín, v ktorých zahraničné investície tretích krajín ešte viac zhoršujú nedostatok rovnakých podmienok, pokiaľ ide o konkurencieschopnosť a dodržiavanie noriem udržateľnosti, práv pracovníkov a fiškálnej záťaže;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J.</w:t>
      </w:r>
      <w:r w:rsidRPr="00C87D17">
        <w:rPr>
          <w:lang w:val="sk-SK"/>
        </w:rPr>
        <w:tab/>
        <w:t>keďže osobitná pozornosť by sa mala venovať negatívnym účinkom vyhýbania sa povinnostiam spočívajúcemu v tom, že sa činnosti prekládky premiestňujú do prístavov mimo EÚ, a to tak z hľadiska oslabenia konkurencieschopnosti prístavov EÚ, ako aj zvýšenia úniku uhlíka;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K.</w:t>
      </w:r>
      <w:r w:rsidRPr="00C87D17">
        <w:rPr>
          <w:lang w:val="sk-SK"/>
        </w:rPr>
        <w:tab/>
        <w:t>keďže prístavy zohrávajú nenahraditeľnú úlohu v krízovom riadení EÚ tým, že zabezpečujú kontinuitu dodávateľských reťazcov a umožňujú vytvorenie alternatívnych trás, a to aj zavedením alternatívnych trás na dodávanie skvapalneného zemného plynu (LNG) v krátkom čase a zvýšením objemu plynu uskladneného v Európe;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L.</w:t>
      </w:r>
      <w:r w:rsidRPr="00C87D17">
        <w:rPr>
          <w:lang w:val="sk-SK"/>
        </w:rPr>
        <w:tab/>
        <w:t>keďže prístavy v najvzdialenejších regiónoch a ostrovné prístavy majú často životne dôležitú funkciu, pretože slúžia ako hlavné sociálne a hospodárske prepojenie so zvyškom EÚ;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lastRenderedPageBreak/>
        <w:t>M.</w:t>
      </w:r>
      <w:r w:rsidRPr="00C87D17">
        <w:rPr>
          <w:lang w:val="sk-SK"/>
        </w:rPr>
        <w:tab/>
        <w:t>keďže prístavy sú nevyhnutné pre dekarbonizáciu vodnej dopravy so zreteľom na ciele Zelenej dohody a zníženia znečistenia a zásadnú úlohu energie z obnoviteľných zdrojov na mori; keďže je dôležité znížiť znečistenie ovzdušia z lodí v prístavných oblastiach vrátane emisií čierneho uhlíka;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N.</w:t>
      </w:r>
      <w:r w:rsidRPr="00C87D17">
        <w:rPr>
          <w:lang w:val="sk-SK"/>
        </w:rPr>
        <w:tab/>
        <w:t>keďže prístavné oblasti a prístavné operácie v celej EÚ budú zraniteľné voči stúpaniu hladiny morí;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O.</w:t>
      </w:r>
      <w:r w:rsidRPr="00C87D17">
        <w:rPr>
          <w:lang w:val="sk-SK"/>
        </w:rPr>
        <w:tab/>
        <w:t>keďže prístavy kombinujú a chránia rôzne pobrežné činnosti v prospech občanov, pobrežných komunít a morského prostredia tým, že pomáhajú udržiavať pobrežné biotopy a zlepšovať kvalitu ovzdušia v mestských aglomeráciách v okolí prístavov;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P.</w:t>
      </w:r>
      <w:r w:rsidRPr="00C87D17">
        <w:rPr>
          <w:lang w:val="sk-SK"/>
        </w:rPr>
        <w:tab/>
        <w:t>keďže lepšie logistické plánovanie medzi prístavmi a zákazníkmi vrátane liniek lodnej dopravy by mohlo zabrániť zbytočnej cestnej doprave v Európe; keďže intenzívnejšia spolupráca medzi prístavmi s cieľom posilniť vnútroregionálne väzby a skrátiť spojenia by mohla viesť k efektívnejším investíciám do prístavnej infraštruktúry, odolnejším dovozným/vývozným trasám a efektívnejšiemu využívaniu zdrojov, verejných a súkromných peňazí a nedostatočne využívaných kapacít;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Q.</w:t>
      </w:r>
      <w:r w:rsidRPr="00C87D17">
        <w:rPr>
          <w:lang w:val="sk-SK"/>
        </w:rPr>
        <w:tab/>
        <w:t>keďže prístavy sú súčasťou širšieho vodného ekosystému, ktorý zahŕňa širokú škálu činností vrátane lodnej dopravy, stavby lodí, výroby námorného vybavenia, vnútrozemskej plavby a logistiky;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R.</w:t>
      </w:r>
      <w:r w:rsidRPr="00C87D17">
        <w:rPr>
          <w:lang w:val="sk-SK"/>
        </w:rPr>
        <w:tab/>
        <w:t>keďže Komisia nepremietla zjavnú potrebu multidisciplinárneho a holistického prístupu k európskym prístavom do konkrétnych opatrení, v dôsledku čoho časom vzniklo množstvo rôznorodých nariadení týkajúcich sa prístavov;</w:t>
      </w:r>
    </w:p>
    <w:p w:rsidR="00610989" w:rsidRPr="00C87D17" w:rsidRDefault="006318DF">
      <w:pPr>
        <w:pStyle w:val="Normal12a24b"/>
        <w:rPr>
          <w:lang w:val="sk-SK"/>
        </w:rPr>
      </w:pPr>
      <w:r w:rsidRPr="00C87D17">
        <w:rPr>
          <w:rStyle w:val="BoldItalic"/>
          <w:lang w:val="sk-SK"/>
        </w:rPr>
        <w:t>Zahraničný vplyv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1.</w:t>
      </w:r>
      <w:r w:rsidRPr="00C87D17">
        <w:rPr>
          <w:lang w:val="sk-SK"/>
        </w:rPr>
        <w:tab/>
        <w:t>zdôrazňuje opakované varovania spravodajských agentúr pred rizikami hospodárskej závislosti, špionáže a sabotáže, ktoré spôsobuje hospodárska prítomnosť a účasť subjektov z krajín mimo EÚ na prevádzke našej kritickej infraštruktúry a strategických odvetví, ako sú prístavy</w:t>
      </w:r>
      <w:r w:rsidRPr="00C87D17">
        <w:rPr>
          <w:rStyle w:val="FootnoteReference"/>
          <w:lang w:val="sk-SK"/>
        </w:rPr>
        <w:footnoteReference w:id="13"/>
      </w:r>
      <w:r w:rsidRPr="00C87D17">
        <w:rPr>
          <w:lang w:val="sk-SK"/>
        </w:rPr>
        <w:t>, vrátane činností zahraničných plavidiel;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2.</w:t>
      </w:r>
      <w:r w:rsidRPr="00C87D17">
        <w:rPr>
          <w:lang w:val="sk-SK"/>
        </w:rPr>
        <w:tab/>
        <w:t>vyzýva Komisiu, aby predložila strategický politický rámec EÚ na zníženie a obmedzenie vplyvu a finančnej a operačnej kontroly prístavov EÚ a ich procesov a operácií vo vnútrozemí, ktoré vykonávajú krajiny mimo EÚ, vrátane prípadov účasti a kontroly pri riadení prístavného orgánu, s cieľom nájsť rovnováhu medzi zachovaním otvoreného investičného prostredia a zmierňovaním rizík; vyzýva Komisiu a členské štáty, aby monitorovali takisto účasť tretích krajín na činnostiach prístavov susedných krajín v rámci európskej susedskej politiky a politiky rozširovania;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3.</w:t>
      </w:r>
      <w:r w:rsidRPr="00C87D17">
        <w:rPr>
          <w:lang w:val="sk-SK"/>
        </w:rPr>
        <w:tab/>
        <w:t>vyzýva Komisiu, aby navrhla rámec, na základe ktorého sa bude spoločne s členskými štátmi nepretržite monitorovať vplyv krajín mimo EÚ v prístavoch EÚ, najmä v prístavoch TEN-T, v rámci riadenia terminálov EÚ a globálnej kontajnerovej dopravy a informovať o tomto vplyve, a aby posúdila možné prepojenia medzi činnosťami danej krajiny mimo EÚ v týchto odvetviach;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lastRenderedPageBreak/>
        <w:t>4.</w:t>
      </w:r>
      <w:r w:rsidRPr="00C87D17">
        <w:rPr>
          <w:lang w:val="sk-SK"/>
        </w:rPr>
        <w:tab/>
        <w:t>zdôrazňuje, že obmedzenie zahraničných investícií, najmä zo strany podnikov, ktoré sú vlastnené, kontrolované alebo ovplyvňované štátom, v jednom prístave v jednom členskom štáte môže negatívne ovplyvniť konkurenčné postavenie tohto prístavu v porovnaní so susednými prístavmi, na ktoré sa takého obmedzenie nevzťahuje, čo zdôrazňuje potrebu spoločnej európskej stratégie pre prístavy; domnieva sa, že asymetrické rozloženie zahraničných investícií medzi krajinami EÚ môže ohroziť jednotu, spôsobilosti krízového riadenia a odolnosť EÚ; žiada Komisiu, aby zanalyzovala potenciálny vplyv, ktorý by mohol vzniknúť v dôsledku obmedzenia investícií z krajín mimo EÚ do európskych prístavov na zamestnanosť a obchod na miestnej úrovni a na úrovni EÚ;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5.</w:t>
      </w:r>
      <w:r w:rsidRPr="00C87D17">
        <w:rPr>
          <w:lang w:val="sk-SK"/>
        </w:rPr>
        <w:tab/>
        <w:t>nabáda vnútroštátne prístavné orgány, členské štáty a Komisiu, aby vytvorili primeraný formát strategickej spolupráce medzi európskymi prístavmi s cieľom minimalizovať riziko, že ich budú externí aktéri stavať do vzájomne konkurenčného postavenia;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6.</w:t>
      </w:r>
      <w:r w:rsidRPr="00C87D17">
        <w:rPr>
          <w:lang w:val="sk-SK"/>
        </w:rPr>
        <w:tab/>
        <w:t>zdôrazňuje, že hoci existujú ochranné mechanizmy na úrovni EÚ, ako je preverovanie priamych zahraničných investícií a pravidlá hospodárskej súťaže, tieto nástroje nepostačujú na riešenie rastúceho hospodárskeho vplyvu vonkajších mocností vyvíjaného prostredníctvom jednotlivých spoločností vrátane podnikov, ktoré sú vlastnené, kontrolované alebo ovplyvňované štátom, a vo veľkej miere závisia od vykonávania jednotlivými členskými štátmi;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7.</w:t>
      </w:r>
      <w:r w:rsidRPr="00C87D17">
        <w:rPr>
          <w:lang w:val="sk-SK"/>
        </w:rPr>
        <w:tab/>
        <w:t>zdôrazňuje, že je dôležité zintenzívniť spoluprácu EÚ pri preverovaní a blokovaní prichádzajúcich investícií do kritickej infraštruktúry, kde nemožno vylúčiť závažné negatívne vplyvy na iné členské štáty alebo EÚ ako celok, a že táto spolupráca by mala zahŕňať zdieľanie informácií o hrozbách a príležitostiach;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8.</w:t>
      </w:r>
      <w:r w:rsidRPr="00C87D17">
        <w:rPr>
          <w:lang w:val="sk-SK"/>
        </w:rPr>
        <w:tab/>
        <w:t>dôrazne nabáda Komisiu, aby posilnila úlohu opatrení na ochranu prístavov prostredníctvom ambicióznej revízie nariadenia o priamych zahraničných investíciách</w:t>
      </w:r>
      <w:r w:rsidRPr="00C87D17">
        <w:rPr>
          <w:rStyle w:val="FootnoteReference"/>
          <w:lang w:val="sk-SK"/>
        </w:rPr>
        <w:footnoteReference w:id="14"/>
      </w:r>
      <w:r w:rsidRPr="00C87D17">
        <w:rPr>
          <w:lang w:val="sk-SK"/>
        </w:rPr>
        <w:t xml:space="preserve"> (nariadenie o PZI), a to aj zavedením povinného systému preverovania priamych zahraničných investícií vo všetkých členských štátoch, čím sa zabezpečí, aby boli postupy preverovania jasné a objektívne a aby boli vymedzenia pojmov, rozsah pôsobnosti a procedurálne aspekty konzistentné vo všetkých členských štátoch, a tak v celej EÚ platili rovnaké podmienky;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9.</w:t>
      </w:r>
      <w:r w:rsidRPr="00C87D17">
        <w:rPr>
          <w:lang w:val="sk-SK"/>
        </w:rPr>
        <w:tab/>
        <w:t>zdôrazňuje tiež kľúčový význam mechanizmu uvedeného v článku [47] revidovaného nariadenia o TEN-T [xxx/2024], podľa ktorého musia členské štáty preverovať investície tretích krajín do infraštruktúry TEN-T z hľadiska ich potenciálnych rizík pre bezpečnosť</w:t>
      </w:r>
      <w:r w:rsidR="007664DA" w:rsidRPr="00C87D17">
        <w:rPr>
          <w:lang w:val="sk-SK"/>
        </w:rPr>
        <w:t xml:space="preserve"> alebo</w:t>
      </w:r>
      <w:r w:rsidRPr="00C87D17">
        <w:rPr>
          <w:lang w:val="sk-SK"/>
        </w:rPr>
        <w:t xml:space="preserve"> verejný poriadok, čo sa musí považovať za doplnok k ustanoveniam nariadenia o PZI, keďže tento mechanizmus sa vzťahuje na investície do infraštruktúry (napr. nadobudnutie podielov v termináli), ako aj na práce na infraštruktúre, ktoré v EÚ vykonáva spoločnosť z tretej krajiny (napr. pri verejnom obstarávaní na vybudovanie terminálu v európskom prístave) a </w:t>
      </w:r>
      <w:r w:rsidR="009F4951" w:rsidRPr="00C87D17">
        <w:rPr>
          <w:lang w:val="sk-SK"/>
        </w:rPr>
        <w:t xml:space="preserve">zdôrazňuje, že </w:t>
      </w:r>
      <w:r w:rsidRPr="00C87D17">
        <w:rPr>
          <w:lang w:val="sk-SK"/>
        </w:rPr>
        <w:t>jeho účinné uplatňovanie na dotknutú prístavnú infraštruktúru by malo byť základným kameňom európskej stratégie pre prístavy;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lastRenderedPageBreak/>
        <w:t>10.</w:t>
      </w:r>
      <w:r w:rsidRPr="00C87D17">
        <w:rPr>
          <w:lang w:val="sk-SK"/>
        </w:rPr>
        <w:tab/>
        <w:t>zdôrazňuje význam monitorovania vykonávania nariadenia (EÚ) 2022/2560 o zahraničných subvenciách narúšajúcich vnútorný trh; vyzýva Komisiu, aby pozorne sledovala trh v odvetví prístavov a v prípade potreby zasiahla z úradnej moci, ako sa stanovuje v článku 9 tohto nariadenia;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11.</w:t>
      </w:r>
      <w:r w:rsidRPr="00C87D17">
        <w:rPr>
          <w:lang w:val="sk-SK"/>
        </w:rPr>
        <w:tab/>
        <w:t>vyzýva Komisiu, aby preskúmala a posúdila dôsledky vertikálnej integrácie v námornej logistike, nariadenia o skupinovej výnimke pre konzorciá, ktorej platnosť sa má skončiť v roku 2024, a vytvorenia aliancií kontajnerovej dopravy pre vplyv krajín mimo EÚ v prístavoch EÚ; vyzýva Komisiu, aby v prípade potreby zasiahla s cieľom zabezpečiť spravodlivú hospodársku súťaž, spravodlivú rovnováhu síl a rovnaké podmienky pre všetkých aktérov v prístavnom ekosystéme;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12.</w:t>
      </w:r>
      <w:r w:rsidRPr="00C87D17">
        <w:rPr>
          <w:lang w:val="sk-SK"/>
        </w:rPr>
        <w:tab/>
        <w:t xml:space="preserve">zdôrazňuje, že najmä súhrnná prítomnosť podnikov, ktoré podliehajú kontrole alebo vplyvu čínskeho štátu, v prístavoch základnej siete a uzloch </w:t>
      </w:r>
      <w:proofErr w:type="spellStart"/>
      <w:r w:rsidRPr="00C87D17">
        <w:rPr>
          <w:lang w:val="sk-SK"/>
        </w:rPr>
        <w:t>transeurópskej</w:t>
      </w:r>
      <w:proofErr w:type="spellEnd"/>
      <w:r w:rsidRPr="00C87D17">
        <w:rPr>
          <w:lang w:val="sk-SK"/>
        </w:rPr>
        <w:t xml:space="preserve"> dopravnej siete (TEN-T) má významný vplyv na odolnosť a bezpečnosť jednotlivých uzlov a siete ako celku; pripomína, že prítomnosť investorov z tretích krajín v prístavoch môže brániť ich dvojakému využívaniu;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13.</w:t>
      </w:r>
      <w:r w:rsidRPr="00C87D17">
        <w:rPr>
          <w:lang w:val="sk-SK"/>
        </w:rPr>
        <w:tab/>
        <w:t>vyzýva Komisiu a členské štáty, aby čo najskôr vykonali posúdenie rizika spojeného so zapojením Číny do námorných infraštruktúr, ktoré bude zahŕňať vplyv tohto zapojenia na pracovnú silu a životné prostredie, posúdenie závislostí a posúdenie problematických miest pri preprave tovaru z Číny do EÚ a prekládke, a aby do tohto posúdenia boli začlenené aj iné krajiny mimo EÚ;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14.</w:t>
      </w:r>
      <w:r w:rsidRPr="00C87D17">
        <w:rPr>
          <w:lang w:val="sk-SK"/>
        </w:rPr>
        <w:tab/>
        <w:t>pripomína, že námorné a prístavné odvetvia v Európe sa vyznačujú množstvom rôznorodých štruktúr riadenia, ktoré majú rôzne spôsoby, ako umožniť investície, od systémov licencií a koncesií cez priznanie vlastníctva prístavnej infraštruktúry až po úplnú prevádzkovú kontrolu nad prístavnými orgánmi; v tejto súvislosti zdôrazňuje význam opatrení riadiacich orgánov prístavov na zmiernenie rizika, aby sa zabezpečila kontrola stanovením viacerých podmienok (prevádzkových, sociálnych, environmentálnych atď.), podľa ktorých by sa mal prevádzkovať terminál; zdôrazňuje však obmedzenia prístupu založeného výlučne na prístavných koncesiách a/alebo zmluvách o prenájme;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15.</w:t>
      </w:r>
      <w:r w:rsidRPr="00C87D17">
        <w:rPr>
          <w:lang w:val="sk-SK"/>
        </w:rPr>
        <w:tab/>
        <w:t>navrhuje, aby všetky členské štáty zaviedli právne predpisy a vypracovali pohotovostné plány pre prípad závažného konfliktu alebo iného núdzového stavu alebo pre prípady jasného zneužitia alebo dvojakého využívania kritickej infraštruktúry s negatívnymi dôsledkami pre bezpečnosť alebo verejný poriadok, aby mohli znovu prevziať kontrolu nad prístavmi, terminálmi a inou námornou infraštruktúrou vrátane zrušenia koncesných práv a/alebo pozastavenia kapacity oblasti v prípadoch vlastníctva a účasti;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16.</w:t>
      </w:r>
      <w:r w:rsidRPr="00C87D17">
        <w:rPr>
          <w:lang w:val="sk-SK"/>
        </w:rPr>
        <w:tab/>
        <w:t xml:space="preserve">požaduje značné verejné a súkromné investície do prístavov nachádzajúcich sa na zámorských územiach a v najvzdialenejších regiónoch s cieľom premeniť ich na strategické zoskupenia pre </w:t>
      </w:r>
      <w:proofErr w:type="spellStart"/>
      <w:r w:rsidRPr="00C87D17">
        <w:rPr>
          <w:lang w:val="sk-SK"/>
        </w:rPr>
        <w:t>multimodálnu</w:t>
      </w:r>
      <w:proofErr w:type="spellEnd"/>
      <w:r w:rsidRPr="00C87D17">
        <w:rPr>
          <w:lang w:val="sk-SK"/>
        </w:rPr>
        <w:t xml:space="preserve"> dopravu, výrobu, uskladňovanie a distribúciu energie, ako aj obranu; vyzýva Komisiu, aby do svojho návrhu zahrnula ustanovenia na obmedzenie vplyvu a prevádzkovej kontroly krajín mimo EÚ v týchto prístavoch;</w:t>
      </w:r>
    </w:p>
    <w:p w:rsidR="00610989" w:rsidRPr="00C87D17" w:rsidRDefault="006318DF">
      <w:pPr>
        <w:pStyle w:val="Normal12a24b"/>
        <w:rPr>
          <w:lang w:val="sk-SK"/>
        </w:rPr>
      </w:pPr>
      <w:r w:rsidRPr="00C87D17">
        <w:rPr>
          <w:rStyle w:val="BoldItalic"/>
          <w:lang w:val="sk-SK"/>
        </w:rPr>
        <w:t>Bezpečnosť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17.</w:t>
      </w:r>
      <w:r w:rsidRPr="00C87D17">
        <w:rPr>
          <w:lang w:val="sk-SK"/>
        </w:rPr>
        <w:tab/>
        <w:t xml:space="preserve">vyzýva Komisiu a členské štáty, aby sa osobitne zaoberali potrebou predchádzať rizikám špionáže a sabotáže v prístavoch s možnosťou dvojakého využívania alebo </w:t>
      </w:r>
      <w:r w:rsidRPr="00C87D17">
        <w:rPr>
          <w:lang w:val="sk-SK"/>
        </w:rPr>
        <w:lastRenderedPageBreak/>
        <w:t>vojenskou funkciou, ako sú prístavy, ktoré využíva NATO, a to aj prostredníctvom zahraničných plavidiel, a znižovať tieto riziká;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18.</w:t>
      </w:r>
      <w:r w:rsidRPr="00C87D17">
        <w:rPr>
          <w:lang w:val="sk-SK"/>
        </w:rPr>
        <w:tab/>
        <w:t>vyzýva Komisiu a členské štáty, aby sa zaoberali využívaním dôveryhodných technológií v námornej logistike a vo fungovaní kontajnerových terminálov; vyjadruje znepokojenie nad rastúcou závislosťou od výrobcov z krajín mimo EÚ, pokiaľ ide o bezpečnostné zariadenia v prístavoch (na hraniciach), ako aj žeriavy na vykládku tovaru z lodí, ktoré sú schopné zhromažďovať údaje o pôvode a mieste určenia kontajnerov; podporuje investície do výskumu a vývoja v týchto oblastiach, aby spoločnosti EÚ mohli prevziať vedúcu úlohu pri výrobe a predaji týchto technológií;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19.</w:t>
      </w:r>
      <w:r w:rsidRPr="00C87D17">
        <w:rPr>
          <w:lang w:val="sk-SK"/>
        </w:rPr>
        <w:tab/>
        <w:t>domnieva sa, že zložité a vysoko digitálne logistické operácie vedú k vyššej náchylnosti na prerušenia celých logistických reťazcov; žiada preto, aby bol prístup zahraničných subjektov, ktoré sú vlastnené, kontrolované alebo ovplyvňované štátom, k prístavným operáciám a informáciám obmedzený a monitorovaný;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20.</w:t>
      </w:r>
      <w:r w:rsidRPr="00C87D17">
        <w:rPr>
          <w:lang w:val="sk-SK"/>
        </w:rPr>
        <w:tab/>
        <w:t>vyzýva Komisiu, aby venovala osobitnú pozornosť hrozbe, ktorú môžu zahraničné investície predstavovať pre duševné vlastníctvo, najmä prostredníctvom nútených transferov technológií;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21.</w:t>
      </w:r>
      <w:r w:rsidRPr="00C87D17">
        <w:rPr>
          <w:lang w:val="sk-SK"/>
        </w:rPr>
        <w:tab/>
        <w:t>zdôrazňuje, že vysoká úroveň kybernetickej bezpečnosti a kybernetickej odolnosti všetkých aktérov v našich prístavoch má zásadný význam pri predchádzaní špionáži a vážnym narušeniam prístavných systémov a operácií, keďže riziko kybernetických hrozieb v posledných rokoch výrazne vzrástlo; žiada Komisiu, aby ďalej skúmala a zhromažďovala údaje o pokrytí a rizikách zapojenia spoločností z krajín mimo EÚ do kybernetickej bezpečnosti a bezpečnosti údajov v kritickej infraštruktúre a aby podporila vypracovanie komplexných pohotovostných plánov pre prístavy s technickou a operačnou podporou Európskej námornej bezpečnostnej agentúry; domnieva sa, že riziko negatívnych účinkov presahovania medzi jednotlivými prístavmi v dôsledku nedostatočnej kybernetickej bezpečnosti je vysoké, a preto by všetky členské štáty mali zachovať prísne normy, a že sa odporúča výmena najlepších postupov a skúseností;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22.</w:t>
      </w:r>
      <w:r w:rsidRPr="00C87D17">
        <w:rPr>
          <w:lang w:val="sk-SK"/>
        </w:rPr>
        <w:tab/>
        <w:t>zdôrazňuje rastúci význam ochrany kritickej infraštruktúry na mori a pod vodou (vrátane energetických potrubí, komunikačných sietí a zariadení na výrobu energie z obnoviteľných zdrojov na mori) pre bezpečnosť a ochranu vôd EÚ a v nich vykonávaných operácií;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23.</w:t>
      </w:r>
      <w:r w:rsidRPr="00C87D17">
        <w:rPr>
          <w:lang w:val="sk-SK"/>
        </w:rPr>
        <w:tab/>
        <w:t>zdôrazňuje, že hoci výmena údajov v logistike prispieva k efektívnosti, pružnosti a odolnosti dodávateľských reťazcov, využívanie platforiem, ktoré sú vlastnené, kontrolované alebo ovplyvňované štátom, z krajín mimo EÚ v prístavoch predstavuje pre EÚ hospodárske a strategické riziká a malo by sa mu predchádzať;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24.</w:t>
      </w:r>
      <w:r w:rsidRPr="00C87D17">
        <w:rPr>
          <w:lang w:val="sk-SK"/>
        </w:rPr>
        <w:tab/>
        <w:t>vyjadruje poľutovanie nad tým, že prístavy EÚ zneužívajú zločinecké skupiny ako kľúčové vstupné body pre nelegálne drogy, čo má vplyv na spoločnosť ako celok a oslabuje bezpečnosť prístavov, neďalekých miest a ich obyvateľov; vyzýva Komisiu, aby predložila opatrenia na účinnú európsku spoluprácu v boji proti obchodovaniu s drogami, ich extrakcii a podvratnej trestnej činnosti; v tejto súvislosti víta plán Komisie z 18. októbra 2023 na boj proti obchodovaniu s drogami a organizovanej trestnej činnosti a zdôrazňuje potrebu koordinovaného prístupu EÚ k boju proti všetkým druhom nadnárodnej organizovanej trestnej činnosti;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lastRenderedPageBreak/>
        <w:t>25.</w:t>
      </w:r>
      <w:r w:rsidRPr="00C87D17">
        <w:rPr>
          <w:lang w:val="sk-SK"/>
        </w:rPr>
        <w:tab/>
        <w:t>zdôrazňuje, že európske prístavy sú obzvlášť vystavené obchodovaniu s inými nezákonnými výrobkami, ako sú zbrane alebo falšované výrobky, ako aj podvodom v oblasti ciel a DPH, a že je tiež potrebné zintenzívniť boj proti týmto činnostiam; v tejto súvislosti zdôrazňuje význam spolupráce medzi riadiacimi orgánmi prístavov a orgánmi presadzovania práva, a to aj pri používaní digitálnych nástrojov a údajov na zaistenie bezpečných a zabezpečených prístavných operácií; domnieva sa, že ak je to dostatočne právne odôvodnené, prístavy by mali mať prístup ku všetkým nástrojom, ktoré potrebujú na to, aby prispievali k svojej bezpečnosti;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26.</w:t>
      </w:r>
      <w:r w:rsidRPr="00C87D17">
        <w:rPr>
          <w:lang w:val="sk-SK"/>
        </w:rPr>
        <w:tab/>
        <w:t>zdôrazňuje, že bezpečnosť prístavov závisí od ich odolnosti voči zmene klímy a životného prostredia; vyzýva preto Komisiu, aby uskutočnila štúdiu s cieľom analyzovať klimatické riziká pre európske prístavy a súvisiacu dopravnú infraštruktúru, v ktorej sa stanovia kategórie rizík, napr. zvyšovanie hladiny morí, záplavy, extrémne horúčavy, zanalyzovala riziká podľa regiónov a určila opatrenia na riešenie týchto rizík vrátane nákladov na tieto opatrenia a potrebných investícií; vyzýva členské štáty, aby vykonali dlhodobé posúdenie environmentálnych rizík svojej kritickej prístavnej infraštruktúry a včas prijali adaptačné opatrenia;</w:t>
      </w:r>
    </w:p>
    <w:p w:rsidR="00610989" w:rsidRPr="00C87D17" w:rsidRDefault="006318DF">
      <w:pPr>
        <w:pStyle w:val="Normal12a24b"/>
        <w:rPr>
          <w:lang w:val="sk-SK"/>
        </w:rPr>
      </w:pPr>
      <w:r w:rsidRPr="00C87D17">
        <w:rPr>
          <w:rStyle w:val="BoldItalic"/>
          <w:lang w:val="sk-SK"/>
        </w:rPr>
        <w:t>Úloha prístavov pri energetickej transformácii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27.</w:t>
      </w:r>
      <w:r w:rsidRPr="00C87D17">
        <w:rPr>
          <w:lang w:val="sk-SK"/>
        </w:rPr>
        <w:tab/>
        <w:t>zdôrazňuje zásadnú úlohu, ktorú prístavy zohrávajú podľa Európskej zelenej dohody pri energetickej transformácii ako energetické uzly na premenu, úpravu a skladovanie nosičov energie, na výrobu energie, na dovoz strategických surovín, ako uzly na zachytávanie a ukladanie uhlíka, ako servisné stanice a výrobné uzly pre zariadenia na výrobu energie na mori a ako uzly v dopravných systémoch na podporu energetickej transformácie;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28.</w:t>
      </w:r>
      <w:r w:rsidRPr="00C87D17">
        <w:rPr>
          <w:lang w:val="sk-SK"/>
        </w:rPr>
        <w:tab/>
        <w:t>pripomína, že cieľom EÚ je do roku 2030 dovážať 10 miliónov ton čistého vodíka a na dosiahnutie tohto cieľa je pre európsku stratégiu pre prístavy nevyhnutná komplexná stratégia dovozu, koordinácie a rozvoja infraštruktúry, ktorá by sa mala urýchlene vypracovať;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29.</w:t>
      </w:r>
      <w:r w:rsidRPr="00C87D17">
        <w:rPr>
          <w:lang w:val="sk-SK"/>
        </w:rPr>
        <w:tab/>
        <w:t xml:space="preserve">vyzýva Komisiu a členské štáty, aby riešili rastúcu potrebu investícií do prístavov a terminálov a ich infraštruktúry, aby mohli plniť svoju úlohu pri energetickej transformácii; vyzýva Komisiu, aby analyzovala a riešila potrebu rýchleho povoľovania rozširovania prístavov v kontexte energetickej transformácie, ako je zavádzanie veternej energie na mori, aby sa prístavy nestali prekážkou energetickej transformácie; zdôrazňuje potrebu udržateľnejšieho riadenia námorného priestoru a pobreží s cieľom využiť potenciál energie z obnoviteľných zdrojov na mori; nabáda na využívanie prístavných oblastí na zavádzanie </w:t>
      </w:r>
      <w:proofErr w:type="spellStart"/>
      <w:r w:rsidRPr="00C87D17">
        <w:rPr>
          <w:lang w:val="sk-SK"/>
        </w:rPr>
        <w:t>fotovoltickej</w:t>
      </w:r>
      <w:proofErr w:type="spellEnd"/>
      <w:r w:rsidRPr="00C87D17">
        <w:rPr>
          <w:lang w:val="sk-SK"/>
        </w:rPr>
        <w:t xml:space="preserve"> a veternej energie;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30.</w:t>
      </w:r>
      <w:r w:rsidRPr="00C87D17">
        <w:rPr>
          <w:lang w:val="sk-SK"/>
        </w:rPr>
        <w:tab/>
        <w:t xml:space="preserve">zdôrazňuje význam zvyšovania synergií medzi </w:t>
      </w:r>
      <w:proofErr w:type="spellStart"/>
      <w:r w:rsidRPr="00C87D17">
        <w:rPr>
          <w:lang w:val="sk-SK"/>
        </w:rPr>
        <w:t>transeurópskou</w:t>
      </w:r>
      <w:proofErr w:type="spellEnd"/>
      <w:r w:rsidRPr="00C87D17">
        <w:rPr>
          <w:lang w:val="sk-SK"/>
        </w:rPr>
        <w:t xml:space="preserve"> dopravnou sieťou a </w:t>
      </w:r>
      <w:proofErr w:type="spellStart"/>
      <w:r w:rsidRPr="00C87D17">
        <w:rPr>
          <w:lang w:val="sk-SK"/>
        </w:rPr>
        <w:t>transeurópskou</w:t>
      </w:r>
      <w:proofErr w:type="spellEnd"/>
      <w:r w:rsidRPr="00C87D17">
        <w:rPr>
          <w:lang w:val="sk-SK"/>
        </w:rPr>
        <w:t xml:space="preserve"> energetickou sieťou;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31.</w:t>
      </w:r>
      <w:r w:rsidRPr="00C87D17">
        <w:rPr>
          <w:lang w:val="sk-SK"/>
        </w:rPr>
        <w:tab/>
        <w:t xml:space="preserve">žiada Komisiu, aby zahrnula prístavy do svojej stratégie obehového hospodárstva a pomáhala členským štátom a miestnym prístavným orgánom tak, že bude poskytovať usmernenia k realizácii projektov súvisiacich s </w:t>
      </w:r>
      <w:proofErr w:type="spellStart"/>
      <w:r w:rsidRPr="00C87D17">
        <w:rPr>
          <w:lang w:val="sk-SK"/>
        </w:rPr>
        <w:t>obehovosťou</w:t>
      </w:r>
      <w:proofErr w:type="spellEnd"/>
      <w:r w:rsidRPr="00C87D17">
        <w:rPr>
          <w:lang w:val="sk-SK"/>
        </w:rPr>
        <w:t>; vyzýva Komisiu, aby riešila čoraz väčší problém ropných škvŕn v prístavoch a prepravných kanáloch;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32.</w:t>
      </w:r>
      <w:r w:rsidRPr="00C87D17">
        <w:rPr>
          <w:lang w:val="sk-SK"/>
        </w:rPr>
        <w:tab/>
        <w:t xml:space="preserve">žiada Komisiu, aby splnila svoju ambíciu prejsť na iné druhy dopravy, ako sa uvádza v Zelenej dohode, a riešila zostávajúce výzvy v prípade vnútrozemských vodných ciest, a </w:t>
      </w:r>
      <w:r w:rsidRPr="00C87D17">
        <w:rPr>
          <w:lang w:val="sk-SK"/>
        </w:rPr>
        <w:lastRenderedPageBreak/>
        <w:t>najmä železničnej nákladnej dopravy s cieľom zvýšiť ich využívanie v prístavoch a ich prepojenie s vnútrozemím;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33.</w:t>
      </w:r>
      <w:r w:rsidRPr="00C87D17">
        <w:rPr>
          <w:lang w:val="sk-SK"/>
        </w:rPr>
        <w:tab/>
        <w:t>zdôrazňuje, že energetická transformácia v prístavoch, v lodiarskom priemysle, ako aj v námornom odvetví nebude možná bez kvalifikovanej pracovnej sily a primeraného verejného a súkromného financovania; naliehavo vyzýva Komisiu, aby poskytla nadčasové možnosti odbornej prípravy, vzdelávania a celoživotného vzdelávania a aby podporovala sociálny dialóg, aby prístavní pracovníci stáli v centre digitálnej a zelenej transformácie a aby zatraktívnila priemysel pre ženy; pripomína dôležitú spoločenskú úlohu prístavov pri poskytovaní mnohých priamych a nepriamych pracovných miest a zdôrazňuje potrebu zabezpečiť spravodlivé a bezpečné pracovné podmienky pre všetkých prístavných a námorných pracovníkov; zdôrazňuje, že nedávne krízy ukázali, že námorníci, členovia posádky, rybári a prístavní pracovníci sú kľúčovými pracovníkmi v prvej línii a ich dobré životné podmienky sú nevyhnutným predpokladom nepretržitého chodu sveta;</w:t>
      </w:r>
    </w:p>
    <w:p w:rsidR="00610989" w:rsidRPr="00C87D17" w:rsidRDefault="006318DF">
      <w:pPr>
        <w:pStyle w:val="Normal12a24b"/>
        <w:rPr>
          <w:lang w:val="sk-SK"/>
        </w:rPr>
      </w:pPr>
      <w:r w:rsidRPr="00C87D17">
        <w:rPr>
          <w:rStyle w:val="BoldItalic"/>
          <w:lang w:val="sk-SK"/>
        </w:rPr>
        <w:t>Konkurencieschopnosť prístavov a spoločností EÚ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34.</w:t>
      </w:r>
      <w:r w:rsidRPr="00C87D17">
        <w:rPr>
          <w:lang w:val="sk-SK"/>
        </w:rPr>
        <w:tab/>
        <w:t>zdôrazňuje, že konkurencieschopnosť prístavov by mala byť jednou z hlavných priorít európskej stratégie pre prístavy;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35.</w:t>
      </w:r>
      <w:r w:rsidRPr="00C87D17">
        <w:rPr>
          <w:lang w:val="sk-SK"/>
        </w:rPr>
        <w:tab/>
        <w:t>zdôrazňuje, že posilnenie hospodárskeho postavenia prístavov EÚ a zlepšenie ich konkurencieschopnosti v globálnom hospodárstve má zásadný význam pre obmedzenie zahraničného vplyvu a bezpečnostných rizík, ako aj pre zvrchovanosť dodávateľského reťazca Európy; domnieva sa, že európske právne predpisy by nemali oslabovať konkurencieschopnosť prístavov EÚ a spôsobovať únik uhlíka a podnikov do prístavov mimo EÚ;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36.</w:t>
      </w:r>
      <w:r w:rsidRPr="00C87D17">
        <w:rPr>
          <w:lang w:val="sk-SK"/>
        </w:rPr>
        <w:tab/>
        <w:t>zdôrazňuje riziká premiestnenia činností prekládky kontajnerov do prístavov mimo EÚ, ktorého cieľom je vyhnúť sa požiadavkám smernice EÚ o systéme obchodovania s emisiami (ETS)</w:t>
      </w:r>
      <w:r w:rsidRPr="00C87D17">
        <w:rPr>
          <w:rStyle w:val="FootnoteReference"/>
          <w:lang w:val="sk-SK"/>
        </w:rPr>
        <w:footnoteReference w:id="15"/>
      </w:r>
      <w:r w:rsidRPr="00C87D17">
        <w:rPr>
          <w:lang w:val="sk-SK"/>
        </w:rPr>
        <w:t xml:space="preserve"> a nariadenia </w:t>
      </w:r>
      <w:proofErr w:type="spellStart"/>
      <w:r w:rsidRPr="00C87D17">
        <w:rPr>
          <w:lang w:val="sk-SK"/>
        </w:rPr>
        <w:t>FuelEU</w:t>
      </w:r>
      <w:proofErr w:type="spellEnd"/>
      <w:r w:rsidRPr="00C87D17">
        <w:rPr>
          <w:lang w:val="sk-SK"/>
        </w:rPr>
        <w:t xml:space="preserve"> </w:t>
      </w:r>
      <w:proofErr w:type="spellStart"/>
      <w:r w:rsidRPr="00C87D17">
        <w:rPr>
          <w:lang w:val="sk-SK"/>
        </w:rPr>
        <w:t>Maritime</w:t>
      </w:r>
      <w:proofErr w:type="spellEnd"/>
      <w:r w:rsidRPr="00C87D17">
        <w:rPr>
          <w:rStyle w:val="FootnoteReference"/>
          <w:lang w:val="sk-SK"/>
        </w:rPr>
        <w:footnoteReference w:id="16"/>
      </w:r>
      <w:r w:rsidRPr="00C87D17">
        <w:rPr>
          <w:lang w:val="sk-SK"/>
        </w:rPr>
        <w:t>; požaduje prísne uplatňovanie ustanovení týchto dvoch právnych predpisov o monitorovaní prekládky s cieľom odhaliť a zakázať takéto správanie, ako aj posúdenie toho, či sú tieto ustanovenia dostatočné na to, aby účinne odrádzali od vyhýbania sa povinnostiam na úkor životného prostredia, ako aj rastu a zamestnanosti v Európe, a či sú potrebné dodatočné opatrenia;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37.</w:t>
      </w:r>
      <w:r w:rsidRPr="00C87D17">
        <w:rPr>
          <w:lang w:val="sk-SK"/>
        </w:rPr>
        <w:tab/>
        <w:t>vyzýva Komisiu, aby analyzovala a riešila investičné potreby európskych prístavov, aby boli v budúcnosti naďalej konkurencieschopné, a aby sa usilovala o stabilnejšie investičné prostredie vrátane transparentnosti a predvídateľnosti pri posudzovaní investícií, a to verejných aj súkromných;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lastRenderedPageBreak/>
        <w:t>38.</w:t>
      </w:r>
      <w:r w:rsidRPr="00C87D17">
        <w:rPr>
          <w:lang w:val="sk-SK"/>
        </w:rPr>
        <w:tab/>
        <w:t>zdôrazňuje, že v záujme zachovania konkurencieschopnosti prístavov EÚ a fungovania možnej európskej stratégie pre prístavy by sa malo zabrániť nadmernej administratívnej záťaži, ktorá by mohla ohroziť fungovanie takejto stratégie;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39.</w:t>
      </w:r>
      <w:r w:rsidRPr="00C87D17">
        <w:rPr>
          <w:lang w:val="sk-SK"/>
        </w:rPr>
        <w:tab/>
        <w:t>zdôrazňuje, že konzistentná európska stratégia pre prístavy je nevyhnutná na zabezpečenie spravodlivej hospodárskej súťaže; podporuje intenzívnejšiu spoluprácu medzi európskymi prístavmi a odstránenie škodlivých praktík, ako je podhodnotenie cien;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40.</w:t>
      </w:r>
      <w:r w:rsidRPr="00C87D17">
        <w:rPr>
          <w:lang w:val="sk-SK"/>
        </w:rPr>
        <w:tab/>
        <w:t>domnieva sa, že dobre fungujúca colná únia má zásadný význam pre konkurencieschopnosť, udržateľnosť a odolnosť EÚ; domnieva sa, že zreformovaná a posilnená colná únia so spoločným colným kódexom zachová integritu jednotného trhu, pomôže zachovať konkurencieschopnosť EÚ v rámci súbežnej zelenej a digitálnej transformácie a zabráni nekalej hospodárskej súťaži medzi európskymi prístavmi;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41.</w:t>
      </w:r>
      <w:r w:rsidRPr="00C87D17">
        <w:rPr>
          <w:lang w:val="sk-SK"/>
        </w:rPr>
        <w:tab/>
        <w:t>zdôrazňuje, že rozdiely v politikách colných postupov na miestach vstupu EÚ do colnej únie často narúšajú obchodné toky a ohrozujú integritu jednotného európskeho trhu;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42.</w:t>
      </w:r>
      <w:r w:rsidRPr="00C87D17">
        <w:rPr>
          <w:lang w:val="sk-SK"/>
        </w:rPr>
        <w:tab/>
        <w:t>zdôrazňuje, že je dôležité zaviesť harmonizované colné kontroly vo všetkých európskych prístavoch, aby sa zabránilo rozdielnemu uplatňovaniu sanitárnych noriem alebo noriem náležitej starostlivosti; trvá na tom, aby Komisia zabezpečila, že colné kontroly v celej EÚ sa budú riadiť rovnakými normami, a to priamym jednotným mechanizmom colnej kontroly v koordinácii s členskými štátmi a v plnom súlade so zásadou subsidiarity;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43.</w:t>
      </w:r>
      <w:r w:rsidRPr="00C87D17">
        <w:rPr>
          <w:lang w:val="sk-SK"/>
        </w:rPr>
        <w:tab/>
        <w:t>pripomína, že prístavy nie sú samostatnými aktívami, pretože majú svoje miesto v rozsiahlom vodnom ekosystéme námornej logistiky, priemyslu a dodávateľských reťazcov, ktoré vychádzajú z dopytu európskych dovozcov a vývozcov;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44.</w:t>
      </w:r>
      <w:r w:rsidRPr="00C87D17">
        <w:rPr>
          <w:lang w:val="sk-SK"/>
        </w:rPr>
        <w:tab/>
        <w:t xml:space="preserve">vyjadruje znepokojenie nad tým, že lodné spoločnosti EÚ čelia v Číne reštriktívnym právnym predpisom o námornej </w:t>
      </w:r>
      <w:proofErr w:type="spellStart"/>
      <w:r w:rsidRPr="00C87D17">
        <w:rPr>
          <w:lang w:val="sk-SK"/>
        </w:rPr>
        <w:t>kabotáži</w:t>
      </w:r>
      <w:proofErr w:type="spellEnd"/>
      <w:r w:rsidRPr="00C87D17">
        <w:rPr>
          <w:lang w:val="sk-SK"/>
        </w:rPr>
        <w:t xml:space="preserve">, ktoré im v podstate zakazujú vykonávať </w:t>
      </w:r>
      <w:proofErr w:type="spellStart"/>
      <w:r w:rsidRPr="00C87D17">
        <w:rPr>
          <w:lang w:val="sk-SK"/>
        </w:rPr>
        <w:t>kabotáž</w:t>
      </w:r>
      <w:proofErr w:type="spellEnd"/>
      <w:r w:rsidRPr="00C87D17">
        <w:rPr>
          <w:lang w:val="sk-SK"/>
        </w:rPr>
        <w:t xml:space="preserve"> medzi čínskymi prístavmi, zatiaľ čo </w:t>
      </w:r>
      <w:proofErr w:type="spellStart"/>
      <w:r w:rsidRPr="00C87D17">
        <w:rPr>
          <w:lang w:val="sk-SK"/>
        </w:rPr>
        <w:t>kabotážna</w:t>
      </w:r>
      <w:proofErr w:type="spellEnd"/>
      <w:r w:rsidRPr="00C87D17">
        <w:rPr>
          <w:lang w:val="sk-SK"/>
        </w:rPr>
        <w:t xml:space="preserve"> preprava je základným prvkom obchodného modelu čínskych lodných spoločností v niektorých prístavoch EÚ a medzi nimi; vyzýva Komisiu, aby preskúmala možnosť zavedenia obdobných právnych predpisov EÚ o námornej </w:t>
      </w:r>
      <w:proofErr w:type="spellStart"/>
      <w:r w:rsidRPr="00C87D17">
        <w:rPr>
          <w:lang w:val="sk-SK"/>
        </w:rPr>
        <w:t>kabotáži</w:t>
      </w:r>
      <w:proofErr w:type="spellEnd"/>
      <w:r w:rsidRPr="00C87D17">
        <w:rPr>
          <w:lang w:val="sk-SK"/>
        </w:rPr>
        <w:t>, ktoré by sa mohli vzťahovať na určitých prepravcov z krajín mimo EÚ, ako je Čína; pripomína, že nedostatočná investičná reciprocita v prístavoch poškodzuje záujmy EÚ;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45.</w:t>
      </w:r>
      <w:r w:rsidRPr="00C87D17">
        <w:rPr>
          <w:lang w:val="sk-SK"/>
        </w:rPr>
        <w:tab/>
        <w:t xml:space="preserve">zdôrazňuje význam iniciatívy EÚ </w:t>
      </w:r>
      <w:proofErr w:type="spellStart"/>
      <w:r w:rsidRPr="00C87D17">
        <w:rPr>
          <w:lang w:val="sk-SK"/>
        </w:rPr>
        <w:t>Global</w:t>
      </w:r>
      <w:proofErr w:type="spellEnd"/>
      <w:r w:rsidRPr="00C87D17">
        <w:rPr>
          <w:lang w:val="sk-SK"/>
        </w:rPr>
        <w:t xml:space="preserve"> </w:t>
      </w:r>
      <w:proofErr w:type="spellStart"/>
      <w:r w:rsidRPr="00C87D17">
        <w:rPr>
          <w:lang w:val="sk-SK"/>
        </w:rPr>
        <w:t>Gateway</w:t>
      </w:r>
      <w:proofErr w:type="spellEnd"/>
      <w:r w:rsidRPr="00C87D17">
        <w:rPr>
          <w:lang w:val="sk-SK"/>
        </w:rPr>
        <w:t xml:space="preserve"> ako strategickej globálnej alternatívy k čínskej iniciatíve Jedno pásmo, jedna cesta; zdôrazňuje potenciál projektov </w:t>
      </w:r>
      <w:proofErr w:type="spellStart"/>
      <w:r w:rsidRPr="00C87D17">
        <w:rPr>
          <w:lang w:val="sk-SK"/>
        </w:rPr>
        <w:t>Global</w:t>
      </w:r>
      <w:proofErr w:type="spellEnd"/>
      <w:r w:rsidRPr="00C87D17">
        <w:rPr>
          <w:lang w:val="sk-SK"/>
        </w:rPr>
        <w:t xml:space="preserve"> </w:t>
      </w:r>
      <w:proofErr w:type="spellStart"/>
      <w:r w:rsidRPr="00C87D17">
        <w:rPr>
          <w:lang w:val="sk-SK"/>
        </w:rPr>
        <w:t>Gateway</w:t>
      </w:r>
      <w:proofErr w:type="spellEnd"/>
      <w:r w:rsidRPr="00C87D17">
        <w:rPr>
          <w:lang w:val="sk-SK"/>
        </w:rPr>
        <w:t xml:space="preserve"> v námornom priemysle (napr. prístavná infraštruktúra, cestné a železničné spojenie s vnútrozemím, čistý vodík) vytvoriť sieť prístavov, ktoré uľahčujú obchod a investície a vzájomne prínosné partnerstvá;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46.</w:t>
      </w:r>
      <w:r w:rsidRPr="00C87D17">
        <w:rPr>
          <w:lang w:val="sk-SK"/>
        </w:rPr>
        <w:tab/>
        <w:t>zdôrazňuje naliehavú potrebu zlepšiť silu, kapacitu a odolnosť prepojení európskych prístavov s vnútrozemím, najmä tých, ktoré sú súčasťou TEN-T, so zreteľom na potrebu znižovania emisií a energetickej efektívnosti a v snahe presunúť čo najväčší objem vnútrozemskej dopravy na železničnú a vnútrozemskú vodnú dopravu a zároveň sa pripraviť na dôsledky zmeny klímy, ako sú extrémne poveternostné javy a nízka hladina vody na vnútrozemských vodných cestách;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lastRenderedPageBreak/>
        <w:t>47.</w:t>
      </w:r>
      <w:r w:rsidRPr="00C87D17">
        <w:rPr>
          <w:lang w:val="sk-SK"/>
        </w:rPr>
        <w:tab/>
        <w:t xml:space="preserve">navrhuje, aby Komisia vytvorila „atlas“ európskych prístavov, ktorý by mapoval okrem iného dostupnosť pobrežných dodávok elektrickej energie a alternatívnych palív v európskych obchodných prístavoch, infraštruktúru (najmä železničnú) vo vnútrozemí a lodné linky a ktorý by sa mohol opierať o interaktívne mapy </w:t>
      </w:r>
      <w:proofErr w:type="spellStart"/>
      <w:r w:rsidRPr="00C87D17">
        <w:rPr>
          <w:lang w:val="sk-SK"/>
        </w:rPr>
        <w:t>TENtec</w:t>
      </w:r>
      <w:proofErr w:type="spellEnd"/>
      <w:r w:rsidRPr="00C87D17">
        <w:rPr>
          <w:lang w:val="sk-SK"/>
        </w:rPr>
        <w:t xml:space="preserve"> a Európske stredisko pre monitorovanie alternatívnych palív, mal by však zahŕňať aj menšie prístavy a ďalšie informácie; domnieva sa, že takéto mapovanie by mohlo pomôcť vytvoriť celkový faktický základ ďalšieho rozvoja prístavov EÚ a súvisiacich odvetví, ako je nákladná a osobná doprava, výletná plavba, rybolov, veterná energia na mori, tankovanie paliva a výroba;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48.</w:t>
      </w:r>
      <w:r w:rsidRPr="00C87D17">
        <w:rPr>
          <w:lang w:val="sk-SK"/>
        </w:rPr>
        <w:tab/>
        <w:t>zdôrazňuje význam námornej výroby, ako je stavba lodí a jeho dodávateľský reťazec, v EÚ ako základu udržiavania prosperujúceho odvetvia vodnej dopravy; vyzýva Komisiu, aby preskúmala a posúdila vplyv závislosti Európy od zahraničnej námornej výroby, urýchlene vymedzila ambicióznu európsku priemyselnú námornú stratégiu a prijala primerané opatrenia na posilnenie konkurencieschopnosti a odolnosti európskych lodeníc a ich celých dodávateľských reťazcov;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49.</w:t>
      </w:r>
      <w:r w:rsidRPr="00C87D17">
        <w:rPr>
          <w:lang w:val="sk-SK"/>
        </w:rPr>
        <w:tab/>
        <w:t>vyzýva Komisiu, aby zaviedla priaznivý digitálny rámec s cieľom podnietiť programy na inováciu a ďalšiu digitalizáciu prístavov, ako sú programy inteligentných prístavov, a tak zlepšiť efektívnosť, produktivitu a udržateľnosť prístavov; zdôrazňuje najmä potenciál digitalizácie pre optimalizáciu zastavení v prístavoch (na skrátenie čakacích lehôt v pobrežných vodách a prístavoch), príchody v presne stanovenom čase – „just-in-</w:t>
      </w:r>
      <w:proofErr w:type="spellStart"/>
      <w:r w:rsidRPr="00C87D17">
        <w:rPr>
          <w:lang w:val="sk-SK"/>
        </w:rPr>
        <w:t>time</w:t>
      </w:r>
      <w:proofErr w:type="spellEnd"/>
      <w:r w:rsidRPr="00C87D17">
        <w:rPr>
          <w:lang w:val="sk-SK"/>
        </w:rPr>
        <w:t xml:space="preserve">“, vyspelé navigačné systémy (na úsporu paliva a zníženie emisií), automatické identifikačné systémy (na zvýšenie bezpečnosti na mori a lepšie presadzovanie environmentálnych ustanovení), ako aj pre </w:t>
      </w:r>
      <w:proofErr w:type="spellStart"/>
      <w:r w:rsidRPr="00C87D17">
        <w:rPr>
          <w:lang w:val="sk-SK"/>
        </w:rPr>
        <w:t>drony</w:t>
      </w:r>
      <w:proofErr w:type="spellEnd"/>
      <w:r w:rsidRPr="00C87D17">
        <w:rPr>
          <w:lang w:val="sk-SK"/>
        </w:rPr>
        <w:t xml:space="preserve"> a riešenia umelej inteligencie vedúce k lepším rozhodnutiam o prístavnej infraštruktúre;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50.</w:t>
      </w:r>
      <w:r w:rsidRPr="00C87D17">
        <w:rPr>
          <w:lang w:val="sk-SK"/>
        </w:rPr>
        <w:tab/>
        <w:t>zdôrazňuje, že prístavom sa budú musieť prideliť primerané finančné prostriedky a finančné nástroje, aby si udržali konkurencieschopnosť, zohrávali podpornú úlohu v zelenej transformácii a aby sa obmedzili riziká zahraničného vplyvu; žiada, aby sa zvýšili finančné prostriedky určené pre prístavy v rámci Nástroja na prepájanie Európy; zdôrazňuje význam súkromných investícií do prístavov a skutočnosť, že práve podniky zabezpečujú zamestnanosť a inovácie v prístavoch a v ich okolí;</w:t>
      </w:r>
    </w:p>
    <w:p w:rsidR="00610989" w:rsidRPr="00C87D17" w:rsidRDefault="006318DF">
      <w:pPr>
        <w:pStyle w:val="Normal12a24b"/>
        <w:rPr>
          <w:lang w:val="sk-SK"/>
        </w:rPr>
      </w:pPr>
      <w:r w:rsidRPr="00C87D17">
        <w:rPr>
          <w:rStyle w:val="BoldItalic"/>
          <w:lang w:val="sk-SK"/>
        </w:rPr>
        <w:t>Záver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51.</w:t>
      </w:r>
      <w:r w:rsidRPr="00C87D17">
        <w:rPr>
          <w:lang w:val="sk-SK"/>
        </w:rPr>
        <w:tab/>
        <w:t>požaduje európsky samit pre prístavy, na ktorom by sa rozpracovali uvedené otázky a preskúmali možnosti posilnenej spolupráce medzi európskymi prístavmi s týmto zameraním;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52.</w:t>
      </w:r>
      <w:r w:rsidRPr="00C87D17">
        <w:rPr>
          <w:lang w:val="sk-SK"/>
        </w:rPr>
        <w:tab/>
        <w:t>vyzýva Komisiu, aby predložila komplexnú európsku stratégiu pre prístavy, ktorá sa bude zaoberať uvedenými otázkami do konca roka 2024;</w:t>
      </w:r>
    </w:p>
    <w:p w:rsidR="00610989" w:rsidRPr="00C87D17" w:rsidRDefault="006318DF">
      <w:pPr>
        <w:pStyle w:val="NormalCenter12a"/>
        <w:rPr>
          <w:lang w:val="sk-SK"/>
        </w:rPr>
      </w:pPr>
      <w:r w:rsidRPr="00C87D17">
        <w:rPr>
          <w:lang w:val="sk-SK"/>
        </w:rPr>
        <w:t>°</w:t>
      </w:r>
    </w:p>
    <w:p w:rsidR="00610989" w:rsidRPr="00C87D17" w:rsidRDefault="006318DF">
      <w:pPr>
        <w:pStyle w:val="NormalCenter12a"/>
        <w:rPr>
          <w:lang w:val="sk-SK"/>
        </w:rPr>
      </w:pPr>
      <w:r w:rsidRPr="00C87D17">
        <w:rPr>
          <w:lang w:val="sk-SK"/>
        </w:rPr>
        <w:t>°</w:t>
      </w:r>
      <w:r w:rsidRPr="00C87D17">
        <w:rPr>
          <w:lang w:val="sk-SK"/>
        </w:rPr>
        <w:tab/>
        <w:t>°</w:t>
      </w:r>
    </w:p>
    <w:p w:rsidR="00610989" w:rsidRPr="00C87D17" w:rsidRDefault="006318DF">
      <w:pPr>
        <w:pStyle w:val="NormalHanging12a"/>
        <w:rPr>
          <w:lang w:val="sk-SK"/>
        </w:rPr>
      </w:pPr>
      <w:r w:rsidRPr="00C87D17">
        <w:rPr>
          <w:lang w:val="sk-SK"/>
        </w:rPr>
        <w:t>53.</w:t>
      </w:r>
      <w:r w:rsidRPr="00C87D17">
        <w:rPr>
          <w:lang w:val="sk-SK"/>
        </w:rPr>
        <w:tab/>
        <w:t>poveruje svoju predsedníčku, aby postúpila toto uznesenie Rade a Komisii.</w:t>
      </w:r>
    </w:p>
    <w:p w:rsidR="00610989" w:rsidRPr="00C87D17" w:rsidRDefault="00610989"/>
    <w:sectPr w:rsidR="00610989" w:rsidRPr="00C87D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989" w:rsidRDefault="006318DF">
      <w:r>
        <w:separator/>
      </w:r>
    </w:p>
  </w:endnote>
  <w:endnote w:type="continuationSeparator" w:id="0">
    <w:p w:rsidR="00610989" w:rsidRDefault="0063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989" w:rsidRDefault="0061098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989" w:rsidRDefault="0061098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989" w:rsidRDefault="0061098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989" w:rsidRDefault="006318DF">
      <w:r>
        <w:separator/>
      </w:r>
    </w:p>
  </w:footnote>
  <w:footnote w:type="continuationSeparator" w:id="0">
    <w:p w:rsidR="00610989" w:rsidRDefault="006318DF">
      <w:r>
        <w:continuationSeparator/>
      </w:r>
    </w:p>
  </w:footnote>
  <w:footnote w:id="1">
    <w:p w:rsidR="00610989" w:rsidRPr="005E7F3B" w:rsidRDefault="006318DF">
      <w:pPr>
        <w:pStyle w:val="FootnoteText"/>
        <w:ind w:left="567" w:hanging="567"/>
        <w:rPr>
          <w:sz w:val="24"/>
          <w:u w:val="single"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5E7F3B">
        <w:rPr>
          <w:sz w:val="24"/>
          <w:u w:color="0000FF"/>
          <w:lang w:val="sk-SK"/>
        </w:rPr>
        <w:t>Ú. v. EÚ L 234, 22.9.2023, s. 1.</w:t>
      </w:r>
    </w:p>
  </w:footnote>
  <w:footnote w:id="2">
    <w:p w:rsidR="00610989" w:rsidRPr="005E7F3B" w:rsidRDefault="006318DF">
      <w:pPr>
        <w:pStyle w:val="FootnoteText"/>
        <w:ind w:left="567" w:hanging="567"/>
        <w:rPr>
          <w:sz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5E7F3B">
        <w:rPr>
          <w:sz w:val="24"/>
          <w:u w:color="0000FF"/>
          <w:lang w:val="sk-SK"/>
        </w:rPr>
        <w:t>Ú. v. EÚ L 234, 22.9.2023, s. 48.</w:t>
      </w:r>
    </w:p>
  </w:footnote>
  <w:footnote w:id="3">
    <w:p w:rsidR="00610989" w:rsidRPr="005E7F3B" w:rsidRDefault="006318DF">
      <w:pPr>
        <w:pStyle w:val="FootnoteText"/>
        <w:ind w:left="567" w:hanging="567"/>
        <w:rPr>
          <w:sz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5E7F3B">
        <w:rPr>
          <w:sz w:val="24"/>
          <w:u w:color="0000FF"/>
          <w:lang w:val="sk-SK"/>
        </w:rPr>
        <w:t>Ú. v. EÚ L 333, 27.12.2022, s. 164.</w:t>
      </w:r>
    </w:p>
  </w:footnote>
  <w:footnote w:id="4">
    <w:p w:rsidR="00610989" w:rsidRPr="005E7F3B" w:rsidRDefault="006318DF">
      <w:pPr>
        <w:pStyle w:val="FootnoteText"/>
        <w:ind w:left="567" w:hanging="567"/>
        <w:rPr>
          <w:sz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5E7F3B">
        <w:rPr>
          <w:sz w:val="24"/>
          <w:u w:color="0000FF"/>
          <w:lang w:val="sk-SK"/>
        </w:rPr>
        <w:t>Ú. v. EÚ L 249, 14.7.2021, s. 38.</w:t>
      </w:r>
    </w:p>
  </w:footnote>
  <w:footnote w:id="5">
    <w:p w:rsidR="00610989" w:rsidRPr="005E7F3B" w:rsidRDefault="006318DF">
      <w:pPr>
        <w:pStyle w:val="FootnoteText"/>
        <w:ind w:left="567" w:hanging="567"/>
        <w:rPr>
          <w:sz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5E7F3B">
        <w:rPr>
          <w:sz w:val="24"/>
          <w:u w:color="0000FF"/>
          <w:lang w:val="sk-SK"/>
        </w:rPr>
        <w:t xml:space="preserve">Ú. v. </w:t>
      </w:r>
      <w:r w:rsidRPr="005E7F3B">
        <w:rPr>
          <w:sz w:val="24"/>
          <w:u w:color="0000FF"/>
          <w:lang w:val="sk-SK"/>
        </w:rPr>
        <w:t>EÚ L 79</w:t>
      </w:r>
      <w:r w:rsidR="00A42E1C">
        <w:rPr>
          <w:sz w:val="24"/>
          <w:u w:color="0000FF"/>
          <w:lang w:val="sk-SK"/>
        </w:rPr>
        <w:t xml:space="preserve"> </w:t>
      </w:r>
      <w:r w:rsidRPr="005E7F3B">
        <w:rPr>
          <w:sz w:val="24"/>
          <w:u w:color="0000FF"/>
          <w:lang w:val="sk-SK"/>
        </w:rPr>
        <w:t>I, 21.3.2019, s. 1.</w:t>
      </w:r>
    </w:p>
  </w:footnote>
  <w:footnote w:id="6">
    <w:p w:rsidR="00610989" w:rsidRPr="005E7F3B" w:rsidRDefault="006318DF">
      <w:pPr>
        <w:pStyle w:val="FootnoteText"/>
        <w:ind w:left="567" w:hanging="567"/>
        <w:rPr>
          <w:sz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5E7F3B">
        <w:rPr>
          <w:sz w:val="24"/>
          <w:u w:color="0000FF"/>
          <w:lang w:val="sk-SK"/>
        </w:rPr>
        <w:t>Ú. v. EÚ L 330, 23.12.2022, s. 1.</w:t>
      </w:r>
    </w:p>
  </w:footnote>
  <w:footnote w:id="7">
    <w:p w:rsidR="00610989" w:rsidRDefault="006318DF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57, 3.3.2017, s. 1.</w:t>
      </w:r>
    </w:p>
  </w:footnote>
  <w:footnote w:id="8">
    <w:p w:rsidR="00610989" w:rsidRDefault="006318DF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 L 348, 20.12.2013, s. 1.</w:t>
      </w:r>
    </w:p>
  </w:footnote>
  <w:footnote w:id="9">
    <w:p w:rsidR="00610989" w:rsidRPr="005E7F3B" w:rsidRDefault="006318DF">
      <w:pPr>
        <w:pStyle w:val="FootnoteText"/>
        <w:ind w:left="567" w:hanging="567"/>
        <w:rPr>
          <w:sz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5E7F3B">
        <w:rPr>
          <w:sz w:val="24"/>
          <w:u w:color="0000FF"/>
          <w:lang w:val="sk-SK"/>
        </w:rPr>
        <w:t>Ú. v. EÚ C 117, 11.3.2022, s. 40.</w:t>
      </w:r>
    </w:p>
  </w:footnote>
  <w:footnote w:id="10">
    <w:p w:rsidR="00610989" w:rsidRPr="005E7F3B" w:rsidRDefault="006318DF">
      <w:pPr>
        <w:pStyle w:val="FootnoteText"/>
        <w:ind w:left="567" w:hanging="567"/>
        <w:rPr>
          <w:sz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5E7F3B">
        <w:rPr>
          <w:sz w:val="24"/>
          <w:u w:color="0000FF"/>
          <w:lang w:val="sk-SK"/>
        </w:rPr>
        <w:t>Ú. v. EÚ C 506, 15.12.2021, s. 12.</w:t>
      </w:r>
    </w:p>
  </w:footnote>
  <w:footnote w:id="11">
    <w:p w:rsidR="00610989" w:rsidRPr="005E7F3B" w:rsidRDefault="006318DF">
      <w:pPr>
        <w:pStyle w:val="FootnoteText"/>
        <w:ind w:left="567" w:hanging="567"/>
        <w:rPr>
          <w:sz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5E7F3B">
        <w:rPr>
          <w:sz w:val="24"/>
          <w:u w:color="0000FF"/>
          <w:lang w:val="sk-SK"/>
        </w:rPr>
        <w:t>Ú. v. EÚ C 23, 21.1.2021, s. 2.</w:t>
      </w:r>
    </w:p>
  </w:footnote>
  <w:footnote w:id="12">
    <w:p w:rsidR="00610989" w:rsidRPr="005E7F3B" w:rsidRDefault="006318DF">
      <w:pPr>
        <w:pStyle w:val="FootnoteText"/>
        <w:ind w:left="567" w:hanging="567"/>
        <w:rPr>
          <w:sz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proofErr w:type="spellStart"/>
      <w:r w:rsidRPr="005E7F3B">
        <w:rPr>
          <w:sz w:val="24"/>
          <w:u w:color="0000FF"/>
          <w:lang w:val="sk-SK"/>
        </w:rPr>
        <w:t>Mercator</w:t>
      </w:r>
      <w:proofErr w:type="spellEnd"/>
      <w:r w:rsidRPr="005E7F3B">
        <w:rPr>
          <w:sz w:val="24"/>
          <w:u w:color="0000FF"/>
          <w:lang w:val="sk-SK"/>
        </w:rPr>
        <w:t xml:space="preserve"> </w:t>
      </w:r>
      <w:proofErr w:type="spellStart"/>
      <w:r w:rsidRPr="005E7F3B">
        <w:rPr>
          <w:sz w:val="24"/>
          <w:u w:color="0000FF"/>
          <w:lang w:val="sk-SK"/>
        </w:rPr>
        <w:t>Institute</w:t>
      </w:r>
      <w:proofErr w:type="spellEnd"/>
      <w:r w:rsidRPr="005E7F3B">
        <w:rPr>
          <w:sz w:val="24"/>
          <w:u w:color="0000FF"/>
          <w:lang w:val="sk-SK"/>
        </w:rPr>
        <w:t xml:space="preserve"> </w:t>
      </w:r>
      <w:proofErr w:type="spellStart"/>
      <w:r w:rsidRPr="005E7F3B">
        <w:rPr>
          <w:sz w:val="24"/>
          <w:u w:color="0000FF"/>
          <w:lang w:val="sk-SK"/>
        </w:rPr>
        <w:t>for</w:t>
      </w:r>
      <w:proofErr w:type="spellEnd"/>
      <w:r w:rsidRPr="005E7F3B">
        <w:rPr>
          <w:sz w:val="24"/>
          <w:u w:color="0000FF"/>
          <w:lang w:val="sk-SK"/>
        </w:rPr>
        <w:t xml:space="preserve"> </w:t>
      </w:r>
      <w:proofErr w:type="spellStart"/>
      <w:r w:rsidRPr="005E7F3B">
        <w:rPr>
          <w:sz w:val="24"/>
          <w:u w:color="0000FF"/>
          <w:lang w:val="sk-SK"/>
        </w:rPr>
        <w:t>Chinese</w:t>
      </w:r>
      <w:proofErr w:type="spellEnd"/>
      <w:r w:rsidRPr="005E7F3B">
        <w:rPr>
          <w:sz w:val="24"/>
          <w:u w:color="0000FF"/>
          <w:lang w:val="sk-SK"/>
        </w:rPr>
        <w:t xml:space="preserve"> </w:t>
      </w:r>
      <w:proofErr w:type="spellStart"/>
      <w:r w:rsidRPr="005E7F3B">
        <w:rPr>
          <w:sz w:val="24"/>
          <w:u w:color="0000FF"/>
          <w:lang w:val="sk-SK"/>
        </w:rPr>
        <w:t>Studies</w:t>
      </w:r>
      <w:proofErr w:type="spellEnd"/>
      <w:r w:rsidRPr="005E7F3B">
        <w:rPr>
          <w:sz w:val="24"/>
          <w:u w:color="0000FF"/>
          <w:lang w:val="sk-SK"/>
        </w:rPr>
        <w:t xml:space="preserve">, </w:t>
      </w:r>
      <w:proofErr w:type="spellStart"/>
      <w:r w:rsidRPr="005E7F3B">
        <w:rPr>
          <w:sz w:val="24"/>
          <w:u w:color="0000FF"/>
          <w:lang w:val="sk-SK"/>
        </w:rPr>
        <w:t>The</w:t>
      </w:r>
      <w:proofErr w:type="spellEnd"/>
      <w:r w:rsidRPr="005E7F3B">
        <w:rPr>
          <w:sz w:val="24"/>
          <w:u w:color="0000FF"/>
          <w:lang w:val="sk-SK"/>
        </w:rPr>
        <w:t xml:space="preserve"> </w:t>
      </w:r>
      <w:proofErr w:type="spellStart"/>
      <w:r w:rsidRPr="005E7F3B">
        <w:rPr>
          <w:sz w:val="24"/>
          <w:u w:color="0000FF"/>
          <w:lang w:val="sk-SK"/>
        </w:rPr>
        <w:t>Vienna</w:t>
      </w:r>
      <w:proofErr w:type="spellEnd"/>
      <w:r w:rsidRPr="005E7F3B">
        <w:rPr>
          <w:sz w:val="24"/>
          <w:u w:color="0000FF"/>
          <w:lang w:val="sk-SK"/>
        </w:rPr>
        <w:t xml:space="preserve"> </w:t>
      </w:r>
      <w:proofErr w:type="spellStart"/>
      <w:r w:rsidRPr="005E7F3B">
        <w:rPr>
          <w:sz w:val="24"/>
          <w:u w:color="0000FF"/>
          <w:lang w:val="sk-SK"/>
        </w:rPr>
        <w:t>Institute</w:t>
      </w:r>
      <w:proofErr w:type="spellEnd"/>
      <w:r w:rsidRPr="005E7F3B">
        <w:rPr>
          <w:sz w:val="24"/>
          <w:u w:color="0000FF"/>
          <w:lang w:val="sk-SK"/>
        </w:rPr>
        <w:t xml:space="preserve"> </w:t>
      </w:r>
      <w:proofErr w:type="spellStart"/>
      <w:r w:rsidRPr="005E7F3B">
        <w:rPr>
          <w:sz w:val="24"/>
          <w:u w:color="0000FF"/>
          <w:lang w:val="sk-SK"/>
        </w:rPr>
        <w:t>for</w:t>
      </w:r>
      <w:proofErr w:type="spellEnd"/>
      <w:r w:rsidRPr="005E7F3B">
        <w:rPr>
          <w:sz w:val="24"/>
          <w:u w:color="0000FF"/>
          <w:lang w:val="sk-SK"/>
        </w:rPr>
        <w:t xml:space="preserve"> International </w:t>
      </w:r>
      <w:proofErr w:type="spellStart"/>
      <w:r w:rsidRPr="005E7F3B">
        <w:rPr>
          <w:sz w:val="24"/>
          <w:u w:color="0000FF"/>
          <w:lang w:val="sk-SK"/>
        </w:rPr>
        <w:t>Economic</w:t>
      </w:r>
      <w:proofErr w:type="spellEnd"/>
      <w:r w:rsidRPr="005E7F3B">
        <w:rPr>
          <w:sz w:val="24"/>
          <w:u w:color="0000FF"/>
          <w:lang w:val="sk-SK"/>
        </w:rPr>
        <w:t xml:space="preserve"> </w:t>
      </w:r>
      <w:proofErr w:type="spellStart"/>
      <w:r w:rsidRPr="005E7F3B">
        <w:rPr>
          <w:sz w:val="24"/>
          <w:u w:color="0000FF"/>
          <w:lang w:val="sk-SK"/>
        </w:rPr>
        <w:t>Studies</w:t>
      </w:r>
      <w:proofErr w:type="spellEnd"/>
      <w:r w:rsidRPr="005E7F3B">
        <w:rPr>
          <w:sz w:val="24"/>
          <w:u w:color="0000FF"/>
          <w:lang w:val="sk-SK"/>
        </w:rPr>
        <w:t xml:space="preserve">, </w:t>
      </w:r>
      <w:proofErr w:type="spellStart"/>
      <w:r w:rsidRPr="005E7F3B">
        <w:rPr>
          <w:sz w:val="24"/>
          <w:u w:color="0000FF"/>
          <w:lang w:val="sk-SK"/>
        </w:rPr>
        <w:t>Institute</w:t>
      </w:r>
      <w:proofErr w:type="spellEnd"/>
      <w:r w:rsidRPr="005E7F3B">
        <w:rPr>
          <w:sz w:val="24"/>
          <w:u w:color="0000FF"/>
          <w:lang w:val="sk-SK"/>
        </w:rPr>
        <w:t xml:space="preserve"> of International </w:t>
      </w:r>
      <w:proofErr w:type="spellStart"/>
      <w:r w:rsidRPr="005E7F3B">
        <w:rPr>
          <w:sz w:val="24"/>
          <w:u w:color="0000FF"/>
          <w:lang w:val="sk-SK"/>
        </w:rPr>
        <w:t>Economic</w:t>
      </w:r>
      <w:proofErr w:type="spellEnd"/>
      <w:r w:rsidRPr="005E7F3B">
        <w:rPr>
          <w:sz w:val="24"/>
          <w:u w:color="0000FF"/>
          <w:lang w:val="sk-SK"/>
        </w:rPr>
        <w:t xml:space="preserve"> </w:t>
      </w:r>
      <w:proofErr w:type="spellStart"/>
      <w:r w:rsidRPr="005E7F3B">
        <w:rPr>
          <w:sz w:val="24"/>
          <w:u w:color="0000FF"/>
          <w:lang w:val="sk-SK"/>
        </w:rPr>
        <w:t>Relations</w:t>
      </w:r>
      <w:proofErr w:type="spellEnd"/>
      <w:r w:rsidRPr="005E7F3B">
        <w:rPr>
          <w:sz w:val="24"/>
          <w:u w:color="0000FF"/>
          <w:lang w:val="sk-SK"/>
        </w:rPr>
        <w:t xml:space="preserve">, </w:t>
      </w:r>
      <w:proofErr w:type="spellStart"/>
      <w:r w:rsidRPr="005E7F3B">
        <w:rPr>
          <w:sz w:val="24"/>
          <w:u w:color="0000FF"/>
          <w:lang w:val="sk-SK"/>
        </w:rPr>
        <w:t>Chinese</w:t>
      </w:r>
      <w:proofErr w:type="spellEnd"/>
      <w:r w:rsidRPr="005E7F3B">
        <w:rPr>
          <w:sz w:val="24"/>
          <w:u w:color="0000FF"/>
          <w:lang w:val="sk-SK"/>
        </w:rPr>
        <w:t xml:space="preserve"> </w:t>
      </w:r>
      <w:proofErr w:type="spellStart"/>
      <w:r w:rsidRPr="005E7F3B">
        <w:rPr>
          <w:sz w:val="24"/>
          <w:u w:color="0000FF"/>
          <w:lang w:val="sk-SK"/>
        </w:rPr>
        <w:t>Investments</w:t>
      </w:r>
      <w:proofErr w:type="spellEnd"/>
      <w:r w:rsidRPr="005E7F3B">
        <w:rPr>
          <w:sz w:val="24"/>
          <w:u w:color="0000FF"/>
          <w:lang w:val="sk-SK"/>
        </w:rPr>
        <w:t xml:space="preserve"> in </w:t>
      </w:r>
      <w:proofErr w:type="spellStart"/>
      <w:r w:rsidRPr="005E7F3B">
        <w:rPr>
          <w:sz w:val="24"/>
          <w:u w:color="0000FF"/>
          <w:lang w:val="sk-SK"/>
        </w:rPr>
        <w:t>European</w:t>
      </w:r>
      <w:proofErr w:type="spellEnd"/>
      <w:r w:rsidRPr="005E7F3B">
        <w:rPr>
          <w:sz w:val="24"/>
          <w:u w:color="0000FF"/>
          <w:lang w:val="sk-SK"/>
        </w:rPr>
        <w:t xml:space="preserve"> </w:t>
      </w:r>
      <w:proofErr w:type="spellStart"/>
      <w:r w:rsidRPr="005E7F3B">
        <w:rPr>
          <w:sz w:val="24"/>
          <w:u w:color="0000FF"/>
          <w:lang w:val="sk-SK"/>
        </w:rPr>
        <w:t>Maritime</w:t>
      </w:r>
      <w:proofErr w:type="spellEnd"/>
      <w:r w:rsidRPr="005E7F3B">
        <w:rPr>
          <w:sz w:val="24"/>
          <w:u w:color="0000FF"/>
          <w:lang w:val="sk-SK"/>
        </w:rPr>
        <w:t xml:space="preserve"> </w:t>
      </w:r>
      <w:proofErr w:type="spellStart"/>
      <w:r w:rsidRPr="005E7F3B">
        <w:rPr>
          <w:sz w:val="24"/>
          <w:u w:color="0000FF"/>
          <w:lang w:val="sk-SK"/>
        </w:rPr>
        <w:t>Infrastructure</w:t>
      </w:r>
      <w:proofErr w:type="spellEnd"/>
      <w:r w:rsidRPr="005E7F3B">
        <w:rPr>
          <w:sz w:val="24"/>
          <w:u w:color="0000FF"/>
          <w:lang w:val="sk-SK"/>
        </w:rPr>
        <w:t xml:space="preserve">, </w:t>
      </w:r>
      <w:proofErr w:type="spellStart"/>
      <w:r w:rsidRPr="005E7F3B">
        <w:rPr>
          <w:sz w:val="24"/>
          <w:u w:color="0000FF"/>
          <w:lang w:val="sk-SK"/>
        </w:rPr>
        <w:t>October</w:t>
      </w:r>
      <w:proofErr w:type="spellEnd"/>
      <w:r w:rsidRPr="005E7F3B">
        <w:rPr>
          <w:sz w:val="24"/>
          <w:u w:color="0000FF"/>
          <w:lang w:val="sk-SK"/>
        </w:rPr>
        <w:t xml:space="preserve"> 2023.</w:t>
      </w:r>
    </w:p>
  </w:footnote>
  <w:footnote w:id="13">
    <w:p w:rsidR="00610989" w:rsidRPr="005E7F3B" w:rsidRDefault="006318DF">
      <w:pPr>
        <w:pStyle w:val="FootnoteText"/>
        <w:ind w:left="567" w:hanging="567"/>
        <w:rPr>
          <w:sz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5E7F3B">
        <w:rPr>
          <w:sz w:val="24"/>
          <w:u w:color="0000FF"/>
          <w:lang w:val="sk-SK"/>
        </w:rPr>
        <w:t xml:space="preserve">AIVD, MIVD and NCTV, </w:t>
      </w:r>
      <w:proofErr w:type="spellStart"/>
      <w:r w:rsidRPr="005E7F3B">
        <w:rPr>
          <w:sz w:val="24"/>
          <w:u w:color="0000FF"/>
          <w:lang w:val="sk-SK"/>
        </w:rPr>
        <w:t>Dreigingsbeeld</w:t>
      </w:r>
      <w:proofErr w:type="spellEnd"/>
      <w:r w:rsidRPr="005E7F3B">
        <w:rPr>
          <w:sz w:val="24"/>
          <w:u w:color="0000FF"/>
          <w:lang w:val="sk-SK"/>
        </w:rPr>
        <w:t xml:space="preserve"> </w:t>
      </w:r>
      <w:proofErr w:type="spellStart"/>
      <w:r w:rsidRPr="005E7F3B">
        <w:rPr>
          <w:sz w:val="24"/>
          <w:u w:color="0000FF"/>
          <w:lang w:val="sk-SK"/>
        </w:rPr>
        <w:t>Statelijke</w:t>
      </w:r>
      <w:proofErr w:type="spellEnd"/>
      <w:r w:rsidRPr="005E7F3B">
        <w:rPr>
          <w:sz w:val="24"/>
          <w:u w:color="0000FF"/>
          <w:lang w:val="sk-SK"/>
        </w:rPr>
        <w:t xml:space="preserve"> </w:t>
      </w:r>
      <w:proofErr w:type="spellStart"/>
      <w:r w:rsidRPr="005E7F3B">
        <w:rPr>
          <w:sz w:val="24"/>
          <w:u w:color="0000FF"/>
          <w:lang w:val="sk-SK"/>
        </w:rPr>
        <w:t>Actoren</w:t>
      </w:r>
      <w:proofErr w:type="spellEnd"/>
      <w:r w:rsidRPr="005E7F3B">
        <w:rPr>
          <w:sz w:val="24"/>
          <w:u w:color="0000FF"/>
          <w:lang w:val="sk-SK"/>
        </w:rPr>
        <w:t xml:space="preserve"> 2, November 2022.</w:t>
      </w:r>
    </w:p>
  </w:footnote>
  <w:footnote w:id="14">
    <w:p w:rsidR="00610989" w:rsidRPr="005E7F3B" w:rsidRDefault="006318DF">
      <w:pPr>
        <w:pStyle w:val="FootnoteText"/>
        <w:ind w:left="567" w:hanging="567"/>
        <w:rPr>
          <w:sz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5E7F3B">
        <w:rPr>
          <w:sz w:val="24"/>
          <w:u w:color="0000FF"/>
          <w:lang w:val="sk-SK"/>
        </w:rPr>
        <w:t>Nariadenie Európskeho parlamentu a Rady (EÚ) 2019/452 z 19. marca 2019, ktorým sa ustanovuje rámec na preverovanie priamych zahraničných investícií do Únie (Ú. v. </w:t>
      </w:r>
      <w:r w:rsidRPr="005E7F3B">
        <w:rPr>
          <w:sz w:val="24"/>
          <w:u w:color="0000FF"/>
          <w:lang w:val="sk-SK"/>
        </w:rPr>
        <w:t>EÚ L 79</w:t>
      </w:r>
      <w:r w:rsidR="00A42E1C" w:rsidRPr="005E7F3B">
        <w:rPr>
          <w:sz w:val="24"/>
          <w:u w:color="0000FF"/>
          <w:lang w:val="sk-SK"/>
        </w:rPr>
        <w:t> </w:t>
      </w:r>
      <w:bookmarkStart w:id="8" w:name="_GoBack"/>
      <w:bookmarkEnd w:id="8"/>
      <w:r w:rsidRPr="005E7F3B">
        <w:rPr>
          <w:sz w:val="24"/>
          <w:u w:color="0000FF"/>
          <w:lang w:val="sk-SK"/>
        </w:rPr>
        <w:t>I, 21.3.2019, s. 1).</w:t>
      </w:r>
    </w:p>
  </w:footnote>
  <w:footnote w:id="15">
    <w:p w:rsidR="00610989" w:rsidRPr="005E7F3B" w:rsidRDefault="006318DF">
      <w:pPr>
        <w:pStyle w:val="FootnoteText"/>
        <w:ind w:left="567" w:hanging="567"/>
        <w:rPr>
          <w:sz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5E7F3B">
        <w:rPr>
          <w:sz w:val="24"/>
          <w:u w:color="0000FF"/>
          <w:lang w:val="sk-SK"/>
        </w:rPr>
        <w:t>Smernica Európskeho parlamentu a Rady 2003/87/ES z 13. októbra 2003, o vytvorení systému obchodovania s emisnými kvótami skleníkových plynov v Únii, a ktorou sa mení a dopĺňa smernica Rady 96/61/ES (Ú. v. EÚ L 275, 25.10.2003, s. 32).</w:t>
      </w:r>
    </w:p>
  </w:footnote>
  <w:footnote w:id="16">
    <w:p w:rsidR="00610989" w:rsidRPr="005E7F3B" w:rsidRDefault="006318DF">
      <w:pPr>
        <w:pStyle w:val="FootnoteText"/>
        <w:ind w:left="567" w:hanging="567"/>
        <w:rPr>
          <w:sz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5E7F3B">
        <w:rPr>
          <w:sz w:val="24"/>
          <w:u w:color="0000FF"/>
          <w:lang w:val="sk-SK"/>
        </w:rPr>
        <w:t>Nariadenie Európskeho parlamentu a Rady (EÚ) 2023/1805 z 13. septembra 2023 o využívaní palív z obnoviteľných zdrojov a </w:t>
      </w:r>
      <w:proofErr w:type="spellStart"/>
      <w:r w:rsidRPr="005E7F3B">
        <w:rPr>
          <w:sz w:val="24"/>
          <w:u w:color="0000FF"/>
          <w:lang w:val="sk-SK"/>
        </w:rPr>
        <w:t>nízkouhlíkových</w:t>
      </w:r>
      <w:proofErr w:type="spellEnd"/>
      <w:r w:rsidRPr="005E7F3B">
        <w:rPr>
          <w:sz w:val="24"/>
          <w:u w:color="0000FF"/>
          <w:lang w:val="sk-SK"/>
        </w:rPr>
        <w:t xml:space="preserve"> palív v námornej doprave a o zmene smernice 2009/16/ES (Ú. v. EÚ L 234, 22.9.2023, s. 48).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989" w:rsidRDefault="0061098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989" w:rsidRDefault="0061098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989" w:rsidRDefault="0061098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43/2023"/>
    <w:docVar w:name="dvlangue" w:val="SK"/>
    <w:docVar w:name="dvnumam" w:val="0"/>
    <w:docVar w:name="dvpe" w:val="750.225"/>
    <w:docVar w:name="dvrapporteur" w:val="Spravodajca: "/>
    <w:docVar w:name="dvtitre" w:val="Uznesenie Európskeho parlamentu zo 17. januára 2024 o vypracovaní komplexnej európskej stratégie pre prístavy(2023/2059(INI))"/>
  </w:docVars>
  <w:rsids>
    <w:rsidRoot w:val="00610989"/>
    <w:rsid w:val="00150205"/>
    <w:rsid w:val="005E7F3B"/>
    <w:rsid w:val="00610989"/>
    <w:rsid w:val="006318DF"/>
    <w:rsid w:val="007664DA"/>
    <w:rsid w:val="009F4951"/>
    <w:rsid w:val="00A42E1C"/>
    <w:rsid w:val="00C8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B99B2A"/>
  <w15:chartTrackingRefBased/>
  <w15:docId w15:val="{840EFCD5-977F-42DD-8E37-3FDA34D2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Pr>
      <w:b/>
      <w:i/>
      <w:u w:val="none"/>
    </w:rPr>
  </w:style>
  <w:style w:type="character" w:customStyle="1" w:styleId="Italic">
    <w:name w:val="Italic"/>
    <w:uiPriority w:val="1"/>
    <w:rPr>
      <w:i/>
    </w:rPr>
  </w:style>
  <w:style w:type="paragraph" w:customStyle="1" w:styleId="Normal12a24b">
    <w:name w:val="Normal12a24b"/>
    <w:basedOn w:val="Normal"/>
    <w:pPr>
      <w:spacing w:before="360" w:after="240"/>
    </w:pPr>
    <w:rPr>
      <w:snapToGrid w:val="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ED929-69DA-4AA1-9300-D1C4B0643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4455</Words>
  <Characters>28241</Characters>
  <Application>Microsoft Office Word</Application>
  <DocSecurity>0</DocSecurity>
  <Lines>235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2024-02-22T12:08:00Z</dcterms:created>
  <dcterms:modified xsi:type="dcterms:W3CDTF">2024-02-22T12:08:00Z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A9-0443/2023</vt:lpwstr>
  </property>
  <property fmtid="{D5CDD505-2E9C-101B-9397-08002B2CF9AE}" pid="4" name="&lt;Type&gt;">
    <vt:lpwstr>RR</vt:lpwstr>
  </property>
</Properties>
</file>