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6C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26CBC" w:rsidRDefault="00466A21" w:rsidP="0010095E">
            <w:pPr>
              <w:pStyle w:val="EPName"/>
            </w:pPr>
            <w:r w:rsidRPr="00326CBC">
              <w:t>Европейски</w:t>
            </w:r>
            <w:r w:rsidR="0013609C" w:rsidRPr="00326CBC">
              <w:t xml:space="preserve"> парламент</w:t>
            </w:r>
          </w:p>
          <w:p w:rsidR="00751A4A" w:rsidRPr="00326CB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6CBC">
              <w:t>2019</w:t>
            </w:r>
            <w:r w:rsidR="00466A21">
              <w:t> – </w:t>
            </w:r>
            <w:r w:rsidRPr="00326CB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26CBC" w:rsidRDefault="00187494" w:rsidP="0010095E">
            <w:pPr>
              <w:pStyle w:val="EPLogo"/>
            </w:pPr>
            <w:r w:rsidRPr="00326C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26CBC" w:rsidRDefault="00D058B8" w:rsidP="004C5D52">
      <w:pPr>
        <w:pStyle w:val="LineTop"/>
      </w:pPr>
    </w:p>
    <w:p w:rsidR="00680577" w:rsidRPr="00326CBC" w:rsidRDefault="0013609C" w:rsidP="00680577">
      <w:pPr>
        <w:pStyle w:val="EPBodyTA1"/>
      </w:pPr>
      <w:r w:rsidRPr="00326CBC">
        <w:t>ПРИЕТИ ТЕКСТОВЕ</w:t>
      </w:r>
    </w:p>
    <w:p w:rsidR="00D058B8" w:rsidRPr="00326CBC" w:rsidRDefault="00D058B8" w:rsidP="00D058B8">
      <w:pPr>
        <w:pStyle w:val="LineBottom"/>
      </w:pPr>
    </w:p>
    <w:p w:rsidR="0013609C" w:rsidRPr="00326CBC" w:rsidRDefault="0013609C" w:rsidP="0013609C">
      <w:pPr>
        <w:pStyle w:val="ATHeading1"/>
      </w:pPr>
      <w:bookmarkStart w:id="0" w:name="TANumber"/>
      <w:r w:rsidRPr="00326CBC">
        <w:t>P9_TA(2024)00</w:t>
      </w:r>
      <w:r w:rsidR="005B3673">
        <w:t>26</w:t>
      </w:r>
      <w:bookmarkEnd w:id="0"/>
    </w:p>
    <w:p w:rsidR="0013609C" w:rsidRPr="00326CBC" w:rsidRDefault="0013609C" w:rsidP="0013609C">
      <w:pPr>
        <w:pStyle w:val="ATHeading2"/>
      </w:pPr>
      <w:bookmarkStart w:id="1" w:name="title"/>
      <w:r w:rsidRPr="00326CBC">
        <w:t>Прилагане на Всеобхватното икономическо и търговско споразумение (ВИТС) между ЕС и Канада</w:t>
      </w:r>
      <w:bookmarkEnd w:id="1"/>
    </w:p>
    <w:p w:rsidR="0013609C" w:rsidRPr="00326CBC" w:rsidRDefault="0013609C" w:rsidP="0013609C">
      <w:pPr>
        <w:rPr>
          <w:i/>
          <w:vanish/>
        </w:rPr>
      </w:pPr>
      <w:r w:rsidRPr="00326CBC">
        <w:rPr>
          <w:i/>
        </w:rPr>
        <w:fldChar w:fldCharType="begin"/>
      </w:r>
      <w:r w:rsidRPr="00326CBC">
        <w:rPr>
          <w:i/>
        </w:rPr>
        <w:instrText xml:space="preserve"> TC"(</w:instrText>
      </w:r>
      <w:bookmarkStart w:id="2" w:name="DocNumber"/>
      <w:r w:rsidRPr="00326CBC">
        <w:rPr>
          <w:i/>
        </w:rPr>
        <w:instrText>A9-0400/2023</w:instrText>
      </w:r>
      <w:bookmarkEnd w:id="2"/>
      <w:r w:rsidRPr="00326CBC">
        <w:rPr>
          <w:i/>
        </w:rPr>
        <w:instrText xml:space="preserve"> - Докладчик: Хавиер Морено Санчес)"\l3 \n&gt; \* MERGEFORMAT </w:instrText>
      </w:r>
      <w:r w:rsidRPr="00326CBC">
        <w:rPr>
          <w:i/>
        </w:rPr>
        <w:fldChar w:fldCharType="end"/>
      </w:r>
    </w:p>
    <w:p w:rsidR="0013609C" w:rsidRPr="00326CBC" w:rsidRDefault="0013609C" w:rsidP="0013609C">
      <w:pPr>
        <w:rPr>
          <w:vanish/>
        </w:rPr>
      </w:pPr>
      <w:bookmarkStart w:id="3" w:name="Commission"/>
      <w:r w:rsidRPr="00326CBC">
        <w:rPr>
          <w:vanish/>
        </w:rPr>
        <w:t>Комисия по международна търговия</w:t>
      </w:r>
      <w:bookmarkEnd w:id="3"/>
    </w:p>
    <w:p w:rsidR="0013609C" w:rsidRPr="00326CBC" w:rsidRDefault="0013609C" w:rsidP="0013609C">
      <w:pPr>
        <w:rPr>
          <w:vanish/>
        </w:rPr>
      </w:pPr>
      <w:bookmarkStart w:id="4" w:name="PE"/>
      <w:r w:rsidRPr="00326CBC">
        <w:rPr>
          <w:vanish/>
        </w:rPr>
        <w:t>PE753.671</w:t>
      </w:r>
      <w:bookmarkEnd w:id="4"/>
    </w:p>
    <w:p w:rsidR="0013609C" w:rsidRPr="00326CBC" w:rsidRDefault="0013609C" w:rsidP="00466A21">
      <w:pPr>
        <w:pStyle w:val="ATHeading3"/>
      </w:pPr>
      <w:bookmarkStart w:id="5" w:name="Sujet"/>
      <w:r w:rsidRPr="00326CBC">
        <w:t xml:space="preserve">Резолюция на Европейския парламент от </w:t>
      </w:r>
      <w:r w:rsidR="005B3673">
        <w:t>17</w:t>
      </w:r>
      <w:r w:rsidRPr="00326CBC">
        <w:t xml:space="preserve"> </w:t>
      </w:r>
      <w:r w:rsidR="00466A21">
        <w:t xml:space="preserve">януари </w:t>
      </w:r>
      <w:r w:rsidRPr="00326CBC">
        <w:t>2024 г. относно прилагането на Всеобхватното икономическо и търговско споразумение (ВИТС) между ЕС и Канада</w:t>
      </w:r>
      <w:bookmarkEnd w:id="5"/>
      <w:r w:rsidRPr="00326CBC">
        <w:t xml:space="preserve"> </w:t>
      </w:r>
      <w:bookmarkStart w:id="6" w:name="References"/>
      <w:r w:rsidRPr="00326CBC">
        <w:t>(2023/2001(INI))</w:t>
      </w:r>
      <w:bookmarkEnd w:id="6"/>
    </w:p>
    <w:p w:rsidR="00F23D69" w:rsidRPr="00326CBC" w:rsidRDefault="00F23D69" w:rsidP="00F23D69">
      <w:pPr>
        <w:pStyle w:val="EPComma"/>
      </w:pPr>
      <w:bookmarkStart w:id="7" w:name="TextBodyBegin"/>
      <w:bookmarkEnd w:id="7"/>
      <w:r w:rsidRPr="00326CBC">
        <w:rPr>
          <w:i/>
          <w:iCs/>
        </w:rPr>
        <w:t>Европейският парламент</w:t>
      </w:r>
      <w:r w:rsidRPr="00326CBC">
        <w:t>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Всеобхватното икономическо и търговско споразумение (ВИТС) между Канада, от една страна, и Европейския съюз и неговите държави членки, от друга страна</w:t>
      </w:r>
      <w:r w:rsidRPr="00326CBC">
        <w:rPr>
          <w:rStyle w:val="FootnoteReference"/>
        </w:rPr>
        <w:footnoteReference w:id="1"/>
      </w:r>
      <w:r w:rsidRPr="00326CBC">
        <w:t>,</w:t>
      </w:r>
    </w:p>
    <w:p w:rsidR="00F23D69" w:rsidRPr="00326CBC" w:rsidRDefault="00F23D69" w:rsidP="00F23D69">
      <w:pPr>
        <w:pStyle w:val="NormalHanging12a"/>
        <w:rPr>
          <w:b/>
          <w:i/>
        </w:rPr>
      </w:pPr>
      <w:r w:rsidRPr="00326CBC">
        <w:t>–</w:t>
      </w:r>
      <w:r w:rsidRPr="00326CBC">
        <w:tab/>
        <w:t>като взе предвид Съвместния тълкувателен инструмент относно Всеобхватното икономическо и търговско споразумение (ВИТС) между Канада и Европейския съюз и неговите държави членки</w:t>
      </w:r>
      <w:r w:rsidRPr="00326CBC">
        <w:rPr>
          <w:rStyle w:val="FootnoteReference"/>
        </w:rPr>
        <w:footnoteReference w:id="2"/>
      </w:r>
      <w:r w:rsidRPr="00326CBC">
        <w:t>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стратегическото партньорство в областта на суровините от критично значение между Канада, от една страна, и Европейския съюз и неговите държави членки, от друга страна, което беше договорено и стартирано по време на срещата на най-високо равнище между ЕС и Канада на 14-15 ю</w:t>
      </w:r>
      <w:r w:rsidR="00B863FF">
        <w:t>н</w:t>
      </w:r>
      <w:bookmarkStart w:id="8" w:name="_GoBack"/>
      <w:bookmarkEnd w:id="8"/>
      <w:r w:rsidRPr="00326CBC">
        <w:t>и 2021 г.,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</w:t>
      </w:r>
      <w:r w:rsidRPr="005B3673">
        <w:t>ид Решение № X/2023 на Съвм</w:t>
      </w:r>
      <w:r w:rsidRPr="00326CBC">
        <w:t>естния комитет по ВИТС относно тълкуването на определени термини в член 8.10, приложение 8-А, и член 8.39,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позицията си от 15 февруари 2017 г. относно проекта на решение за сключване на Всеобхватното икономическо и търговско споразумение (ВИТС) между Канада, от една страна, и Европейския съюз и неговите държави членки, от друга страна</w:t>
      </w:r>
      <w:r w:rsidRPr="00326CBC">
        <w:rPr>
          <w:rStyle w:val="FootnoteReference"/>
        </w:rPr>
        <w:footnoteReference w:id="3"/>
      </w:r>
      <w:r w:rsidRPr="00326CBC">
        <w:t>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 xml:space="preserve">като взе предвид Становище 2/15 на Съда на Европейския съюз от 16 май 2017 г., постановено на основание член 218, параграф 11 от ДФЕС, във връзка със Споразумението за свободна търговия между Европейския съюз и Република </w:t>
      </w:r>
      <w:r w:rsidRPr="00326CBC">
        <w:lastRenderedPageBreak/>
        <w:t>Сингапур</w:t>
      </w:r>
      <w:r w:rsidRPr="00326CBC">
        <w:rPr>
          <w:rStyle w:val="FootnoteReference"/>
        </w:rPr>
        <w:footnoteReference w:id="4"/>
      </w:r>
      <w:r w:rsidRPr="00326CBC">
        <w:t>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съвместните декларации на вътрешните консултативни групи (ВКГ) на ЕС и Канада,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доклада на Комисията от 11 октомври 2022 г., озаглавен „Изпълнение и правоприлагане на търговските споразумения на ЕС“ (COM(2022)0730),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съобщението на Комисията от 22 юни 2022 г., озаглавено „Силата на търговските партньорства: заедно за екологичен и справедлив икономически растеж (COM(2022)0409),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доклада на Съвместния комитет по ВИТС от 31 март 2023 г. след третото му заседание,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своята резолюция от 23 юни 2022 г. относно бъдещето на международната инвестиционна политика на ЕС</w:t>
      </w:r>
      <w:r w:rsidRPr="00326CBC">
        <w:rPr>
          <w:rStyle w:val="FootnoteReference"/>
        </w:rPr>
        <w:footnoteReference w:id="5"/>
      </w:r>
      <w:r w:rsidRPr="00326CBC">
        <w:t>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препоръките на Съвместния комитет по ВИТС от 26 септември 2018 г. относно търговията, действията в областта на климата и Парижкото споразумение относно търговията и равенството между половете и относно малките и средните предприятия (МСП),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съобщението на Комисията от 5 март 2020 г., озаглавено „Съюз на равенство: Стратегия за равенство между половете (2020 – 2025 г.)“ (COM(2020)0152),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докладите на различните специализирани комитети, Форума на гражданското общество и Форума за регулаторно сътрудничество,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доклада за оценка на Междуправителствения комитет по изменение на климата (МКИК), публикуван на 20 март 2023 г.,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последователните одити, проведени от ГД „Здравеопазване и безопасност на храните“ на Комисията, относно проследимостта и качеството на въведените системи за контрол, с които се управлява производството на говеждо и свинско месо, предназначено за износ в Европейския съюз,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член 54 от своя Правилник за дейността, както и член 1, параграф 1, буква д) от решението на Председателския съвет от 12 декември 2002 г. относно процедурата по разрешаване на изготвянето на доклади по собствена инициатива и приложение 3 към него,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 xml:space="preserve">като взе предвид становището на комисията по земеделие и развитие на селските </w:t>
      </w:r>
      <w:r w:rsidRPr="00326CBC">
        <w:lastRenderedPageBreak/>
        <w:t>райони,</w:t>
      </w:r>
    </w:p>
    <w:p w:rsidR="00F23D69" w:rsidRPr="00326CBC" w:rsidRDefault="00F23D69" w:rsidP="00F23D69">
      <w:pPr>
        <w:pStyle w:val="NormalHanging12a"/>
      </w:pPr>
      <w:r w:rsidRPr="00326CBC">
        <w:t>–</w:t>
      </w:r>
      <w:r w:rsidRPr="00326CBC">
        <w:tab/>
        <w:t>като взе предвид доклада на комисията по международна търговия (A9-0400/2023),</w:t>
      </w:r>
    </w:p>
    <w:p w:rsidR="00F23D69" w:rsidRPr="00326CBC" w:rsidRDefault="00F23D69" w:rsidP="00F23D69">
      <w:pPr>
        <w:pStyle w:val="NormalHanging12a"/>
      </w:pPr>
      <w:r w:rsidRPr="00326CBC">
        <w:t>А.</w:t>
      </w:r>
      <w:r w:rsidRPr="00326CBC">
        <w:tab/>
        <w:t>като има предвид, че ВИТС беше сред първите търговски споразумения, сключени от ЕС с друга важна икономика на ОИСР след Южна Корея; като има предвид, че то беше и най-амбициозното и най-всеобхватното споразумение, сключено по онова време от ЕС или Канада, включващо безпрецедентен достъп до обществени поръчки на подфедерално и федерално равнище;</w:t>
      </w:r>
    </w:p>
    <w:p w:rsidR="00F23D69" w:rsidRPr="00326CBC" w:rsidRDefault="00F23D69" w:rsidP="00F23D69">
      <w:pPr>
        <w:pStyle w:val="NormalHanging12a"/>
      </w:pPr>
      <w:r w:rsidRPr="00326CBC">
        <w:t>Б.</w:t>
      </w:r>
      <w:r w:rsidRPr="00326CBC">
        <w:tab/>
        <w:t>като има предвид, че ВИТС се прилага временно от 21 септември 2017 г., т.е. от повече от шест години;</w:t>
      </w:r>
    </w:p>
    <w:p w:rsidR="00F23D69" w:rsidRPr="00326CBC" w:rsidRDefault="00F23D69" w:rsidP="00F23D69">
      <w:pPr>
        <w:pStyle w:val="NormalHanging12a"/>
      </w:pPr>
      <w:r w:rsidRPr="00326CBC">
        <w:t>В.</w:t>
      </w:r>
      <w:r w:rsidRPr="00326CBC">
        <w:tab/>
        <w:t>като има предвид, че някои важни разпоредби, по-специално свързани със защитата на инвестициите, все още не се прилагат, тъй като не всички държави членки са ратифицирали споразумението;</w:t>
      </w:r>
    </w:p>
    <w:p w:rsidR="00F23D69" w:rsidRPr="00326CBC" w:rsidRDefault="00F23D69" w:rsidP="00F23D69">
      <w:pPr>
        <w:pStyle w:val="NormalHanging12a"/>
      </w:pPr>
      <w:r w:rsidRPr="00326CBC">
        <w:t>Г.</w:t>
      </w:r>
      <w:r w:rsidRPr="00326CBC">
        <w:tab/>
        <w:t>като има предвид, че Канада и ЕС са в процес на финализиране на проект на решение на Съвместния комитет по ВИТС относно тълкуването на определени термини в член 8.10, приложение 8-А, и член 8.39, като се уточнява обхватът на правото на регулиране в контекста на главата във връзка със защитата на инвестициите, както и относно улесняването на достъпа на МСП до инвестиционната съдебна система по линия на ВИТС;</w:t>
      </w:r>
    </w:p>
    <w:p w:rsidR="00F23D69" w:rsidRPr="00326CBC" w:rsidRDefault="00F23D69" w:rsidP="00F23D69">
      <w:pPr>
        <w:pStyle w:val="NormalHanging12a"/>
      </w:pPr>
      <w:r w:rsidRPr="00326CBC">
        <w:t>Д.</w:t>
      </w:r>
      <w:r w:rsidRPr="00326CBC">
        <w:tab/>
        <w:t>като има предвид, че ЕС беше третият по големина търговски партньор на Канада след Съединените щати и Китай, на който се падат 8,2% от световната търговия със стоки на Канада през 2022 г.; като има предвид, че Канада се нарежда на 14-то място сред международните търговски партньори на ЕС за същата година, като представлява почти 1,4% от общата външна търговия със стоки на ЕС;</w:t>
      </w:r>
    </w:p>
    <w:p w:rsidR="00F23D69" w:rsidRPr="00326CBC" w:rsidRDefault="00F23D69" w:rsidP="00F23D69">
      <w:pPr>
        <w:pStyle w:val="NormalHanging12a"/>
      </w:pPr>
      <w:r w:rsidRPr="00326CBC">
        <w:t>Е.</w:t>
      </w:r>
      <w:r w:rsidRPr="00326CBC">
        <w:tab/>
        <w:t>като има предвид, че агресивната война на Русия срещу Украйна показа необходимостта от разнообразяване на търговските споразумения, намаляване на зависимостта от вноса и износа от ограничен брой търговски партньори и значението на сключването на търговски споразумения с партньори със сходно мислене;</w:t>
      </w:r>
    </w:p>
    <w:p w:rsidR="00F23D69" w:rsidRPr="00326CBC" w:rsidRDefault="00F23D69" w:rsidP="00F23D69">
      <w:pPr>
        <w:pStyle w:val="NormalHanging12a"/>
      </w:pPr>
      <w:r w:rsidRPr="00326CBC">
        <w:t>Ж.</w:t>
      </w:r>
      <w:r w:rsidRPr="00326CBC">
        <w:tab/>
        <w:t>като има предвид, че ефективното изпълнение и наблюдение на търговските споразумения на ЕС е ключов приоритет за Парламента, Съвета и Комисията с цел наблюдение, оценка и съгласуване на общата търговска политика на ЕС; като има предвид, че докладите относно изпълнението на споразумението с Канада са навременен и полезен принос към разглеждането на функционирането на търговските споразумения на ЕС;</w:t>
      </w:r>
    </w:p>
    <w:p w:rsidR="00F23D69" w:rsidRPr="00326CBC" w:rsidRDefault="00F23D69" w:rsidP="00F23D69">
      <w:pPr>
        <w:pStyle w:val="NormalHanging12a"/>
      </w:pPr>
      <w:r w:rsidRPr="00326CBC">
        <w:t>З.</w:t>
      </w:r>
      <w:r w:rsidRPr="00326CBC">
        <w:tab/>
        <w:t>като има предвид, че институционалната рамка на ВИТС вече е напълно въведена, с 19 специализирани комитета, форум за регулаторно сътрудничество и форум на гражданското общество, а техните програми и доклади са публично достъпни;</w:t>
      </w:r>
    </w:p>
    <w:p w:rsidR="00F23D69" w:rsidRPr="00326CBC" w:rsidRDefault="00F23D69" w:rsidP="00F23D69">
      <w:pPr>
        <w:pStyle w:val="NormalHanging12a"/>
      </w:pPr>
      <w:r w:rsidRPr="00326CBC">
        <w:t>И.</w:t>
      </w:r>
      <w:r w:rsidRPr="00326CBC">
        <w:tab/>
        <w:t>като има предвид, че Канада беше първата държава, с която ЕС установи стратегическо партньорство в областта на суровините от изключителна важност, което впоследствие беше допълнено от инициатива за зелен алианс, цифрово партньорство между ЕС и Канада и океанско партньорство;</w:t>
      </w:r>
    </w:p>
    <w:p w:rsidR="00F23D69" w:rsidRPr="00326CBC" w:rsidRDefault="00F23D69" w:rsidP="00F23D69">
      <w:pPr>
        <w:pStyle w:val="NormalHanging12a"/>
      </w:pPr>
      <w:r w:rsidRPr="00326CBC">
        <w:lastRenderedPageBreak/>
        <w:t>Й.</w:t>
      </w:r>
      <w:r w:rsidRPr="00326CBC">
        <w:tab/>
        <w:t>като има предвид, че Канада е активен участник в диалога по линия на СТО относно замърсяването с пластмаси и екологично устойчивата търговия с пластмаси, както и в комитета на СТО по търговия и околна среда, но не е член на инициативата за реформа на субсидиите за изкопаеми горива (FFSR);</w:t>
      </w:r>
    </w:p>
    <w:p w:rsidR="00F23D69" w:rsidRPr="00326CBC" w:rsidRDefault="00F23D69" w:rsidP="00F23D69">
      <w:pPr>
        <w:pStyle w:val="NormalHanging12a"/>
      </w:pPr>
      <w:r w:rsidRPr="00326CBC">
        <w:t>К.</w:t>
      </w:r>
      <w:r w:rsidRPr="00326CBC">
        <w:tab/>
        <w:t>като има предвид, че понастоящем има достатъчно опит, данни и статистическа информация за оценка на временното прилагане на ВИТС;</w:t>
      </w:r>
    </w:p>
    <w:p w:rsidR="00F23D69" w:rsidRPr="00326CBC" w:rsidRDefault="00F23D69" w:rsidP="00F23D69">
      <w:pPr>
        <w:pStyle w:val="NormalHanging12a"/>
      </w:pPr>
      <w:r w:rsidRPr="00326CBC">
        <w:t>Л.</w:t>
      </w:r>
      <w:r w:rsidRPr="00326CBC">
        <w:tab/>
        <w:t>като има предвид, че Канада е световен лидер в съвместното изграждане на публична политика за социалната и солидарна икономика, и като има предвид, че социалната и солидарна икономика съставлява почти 10% от брутния вътрешен продукт (БВП) в определени провинции, като например Квебек, като се осигуряват приблизително 210 000 работни места;</w:t>
      </w:r>
    </w:p>
    <w:p w:rsidR="00F23D69" w:rsidRPr="00326CBC" w:rsidRDefault="00F23D69" w:rsidP="00F23D69">
      <w:pPr>
        <w:pStyle w:val="NormalHanging12a"/>
        <w:rPr>
          <w:b/>
          <w:szCs w:val="24"/>
        </w:rPr>
      </w:pPr>
      <w:r w:rsidRPr="00326CBC">
        <w:rPr>
          <w:b/>
          <w:i/>
        </w:rPr>
        <w:t>Основни изводи и препоръки</w:t>
      </w:r>
    </w:p>
    <w:p w:rsidR="00F23D69" w:rsidRPr="00326CBC" w:rsidRDefault="00F23D69" w:rsidP="00F23D69">
      <w:pPr>
        <w:pStyle w:val="NormalHanging12a"/>
      </w:pPr>
      <w:r w:rsidRPr="00326CBC">
        <w:t>1.</w:t>
      </w:r>
      <w:r w:rsidRPr="00326CBC">
        <w:tab/>
        <w:t>подчертава, че ВИТС разчита на основани на правила и на ценности отношения, насърчаващи по-сигурна и стабилна икономическа среда между търговските партньори, което е особено важно в контекста на повишена геополитическа несигурност и се основава на принципите на устойчивото развитие и зачитането на правата на човека и трудовите и екологичните стандарти; счита, че тази предсказуемост може да стимулира икономическия растеж, обмена на стоки, предоставянето на услуги, участието в обществени поръчки, привлекателността на инвестициите, качествената заетост, създаването на повече и по-добре платени работни места и подобряването на условията на труд и стандарта на живот; отбелязва обаче, че с ВИТС трябва да се укрепва допълнително устойчивото развитие, зачитането на правата на човека и трудовите права и опазването на климата;</w:t>
      </w:r>
    </w:p>
    <w:p w:rsidR="00F23D69" w:rsidRPr="00326CBC" w:rsidRDefault="00F23D69" w:rsidP="00F23D69">
      <w:pPr>
        <w:pStyle w:val="NormalHanging12a"/>
      </w:pPr>
      <w:r w:rsidRPr="00326CBC">
        <w:t>2.</w:t>
      </w:r>
      <w:r w:rsidRPr="00326CBC">
        <w:tab/>
        <w:t>отбелязва със задоволство, че търговията със стоки между ЕС и Канада се е увеличила с 66% между 2016 г. и 2022 г., а търговията с услуги между ЕС и Канада се е увеличила с 46%, което изпреварва търговията с други държави извън ЕС; приветства факта, че износът на стоки от ЕС за Канада се е увеличил с 47% през първите пет години от временното прилагане, като най-големи ползи са отчетени при промишлените продукти, химическите продукти, както и храните и животинските продукти; отбелязва, че повечето опасения, изразени преди временното прилагане на споразумението, що се отнася до наплива на канадски селскостопански продукти на пазара на ЕС, не се реализираха; отбелязва, че износът на Канада за ЕС се е увеличил с 46,4%, като най-големите печалби са регистрирани при рудите, скъпоценните камъни и благородните метали и при минералните горива и масла;</w:t>
      </w:r>
    </w:p>
    <w:p w:rsidR="00F23D69" w:rsidRPr="00326CBC" w:rsidRDefault="00F23D69" w:rsidP="00F23D69">
      <w:pPr>
        <w:pStyle w:val="NormalHanging12a"/>
        <w:rPr>
          <w:bCs/>
          <w:iCs/>
        </w:rPr>
      </w:pPr>
      <w:r w:rsidRPr="00326CBC">
        <w:t>3.</w:t>
      </w:r>
      <w:r w:rsidRPr="00326CBC">
        <w:tab/>
        <w:t xml:space="preserve">подчертава значителния ръст на двустранната търговия с хранителни и селскостопански продукти между ЕС и Канада, като износът на продукти на хранително-вкусовата промишленост от ЕС за Канада се е увеличил с 62%, а вносът в ЕС на такива продукти от Канада — с 52% от началото на временното прилагане на ВИТС; отбелязва, че това е от значителна полза за производителите и износителите от двете страни и също така е допринесло за създаването на работни места; приветства значителното увеличение на броя на микропредприятията, малките и средните предприятия от Съюза, изнасящи за Канада, както и на стойността на изнасяните от тях продукти, като отбелязва, че </w:t>
      </w:r>
      <w:r w:rsidRPr="00326CBC">
        <w:lastRenderedPageBreak/>
        <w:t>по този начин споразумението обслужва в значителна степен техните интереси;</w:t>
      </w:r>
    </w:p>
    <w:p w:rsidR="00F23D69" w:rsidRPr="00326CBC" w:rsidRDefault="00F23D69" w:rsidP="00F23D69">
      <w:pPr>
        <w:pStyle w:val="NormalHanging12a"/>
        <w:rPr>
          <w:szCs w:val="24"/>
        </w:rPr>
      </w:pPr>
      <w:r w:rsidRPr="00326CBC">
        <w:t>4.</w:t>
      </w:r>
      <w:r w:rsidRPr="00326CBC">
        <w:tab/>
        <w:t>подчертава, че при прилагането на ВИТС, както и при всички други търговски споразумения на ЕС, трябва надлежно да се вземат предвид зачитането на устойчивото селскостопанско производство, реципрочността и поддържането на високи стандарти, по-специално на санитарните, фитосанитарните и ветеринарните стандарти, както и на адекватен контрол и наблюдение на взаимното спазване на тези стандарти;</w:t>
      </w:r>
    </w:p>
    <w:p w:rsidR="00F23D69" w:rsidRPr="00326CBC" w:rsidRDefault="00F23D69" w:rsidP="00F23D69">
      <w:pPr>
        <w:pStyle w:val="NormalHanging12a"/>
      </w:pPr>
      <w:r w:rsidRPr="00326CBC">
        <w:t>5.</w:t>
      </w:r>
      <w:r w:rsidRPr="00326CBC">
        <w:tab/>
        <w:t>приветства факта, че търговските потоци между страните се оказаха като цяло устойчиви по време на пандемията и трудната ситуация, създадена от агресивната война на Русия в Украйна, и така устояват на натиска върху веригите на доставки и допринасят за засилване на продоволствената сигурност; счита, че ВИТС следва да служи като инструмент за улесняване на сътрудничеството и съвместните действия за възстановяване на Украйна след края на войната;</w:t>
      </w:r>
    </w:p>
    <w:p w:rsidR="00F23D69" w:rsidRPr="00326CBC" w:rsidRDefault="00F23D69" w:rsidP="00F23D69">
      <w:pPr>
        <w:pStyle w:val="NormalHanging12a"/>
      </w:pPr>
      <w:r w:rsidRPr="00326CBC">
        <w:t>6.</w:t>
      </w:r>
      <w:r w:rsidRPr="00326CBC">
        <w:tab/>
        <w:t>подчертава, че износът на ЕС е от ключово значение за заетостта; приветства факта, че ВИТС е допринесло за създаването на нови възможности за работни места, тъй като броят на работните места, подкрепяни от износа на ЕС за Канада, се е увеличил от 624 000 през 2017 г. на над 700 000 през 2021 г.;</w:t>
      </w:r>
    </w:p>
    <w:p w:rsidR="00F23D69" w:rsidRPr="00326CBC" w:rsidRDefault="00F23D69" w:rsidP="00F23D69">
      <w:pPr>
        <w:pStyle w:val="NormalHanging12a"/>
      </w:pPr>
      <w:r w:rsidRPr="00326CBC">
        <w:t>7.</w:t>
      </w:r>
      <w:r w:rsidRPr="00326CBC">
        <w:tab/>
        <w:t>подчертава значението на улесняването на трудовата мобилност съгласно ВИТС, тъй като то спомага за гарантиране на адекватен трансфер на умения между ЕС и Канада и за избягване на недостига на квалифицирана работна ръка; във връзка с това приветства успешното сключване през 2022 г. на първото споразумение за взаимно признаване на квалификациите на архитектите съгласно ВИТС; счита, че синята карта на ЕС би могла допълнително да улесни обмена между две конкурентоспособни икономики с високообразовано население; подчертава, че програмите за обмен между академичните институции на ЕС и Канада могат да допринесат допълнително за необходимата трудова мобилност в дългосрочен план;</w:t>
      </w:r>
    </w:p>
    <w:p w:rsidR="00F23D69" w:rsidRPr="00326CBC" w:rsidRDefault="00F23D69" w:rsidP="00F23D69">
      <w:pPr>
        <w:pStyle w:val="NormalHanging12a"/>
      </w:pPr>
      <w:r w:rsidRPr="00326CBC">
        <w:t>8.</w:t>
      </w:r>
      <w:r w:rsidRPr="00326CBC">
        <w:tab/>
        <w:t>отбелязва, че двете най-важни категории продукти, които ЕС и Канада изнасят помежду си, са машините и транспортното оборудване, на които се падат около 34% от износа и вноса, и химическите, фармацевтичните и пластмасовите продукти, които представляват около 20% от общия износ и внос; отбелязва обаче, че секторът на минното дело и добива, по-специално на торовете, никела, урана и нефта, добиван от нефтоносен пясък, е от голямо значение, когато става въпрос за внос от Канада, в сравнение с други търговски партньори, като на него се падат почти 20% от общия внос на ЕС от Канада; подчертава, че достъпът до суровини от изключителна важност от надеждни търговски партньори е ключов елемент на стратегията на ЕС за суровините от критично значение и е жизненоважен за постигането на устойчив зелен преход;</w:t>
      </w:r>
    </w:p>
    <w:p w:rsidR="00F23D69" w:rsidRPr="00326CBC" w:rsidRDefault="00F23D69" w:rsidP="00F23D69">
      <w:pPr>
        <w:pStyle w:val="NormalHanging12a"/>
      </w:pPr>
      <w:r w:rsidRPr="00326CBC">
        <w:t>9.</w:t>
      </w:r>
      <w:r w:rsidRPr="00326CBC">
        <w:tab/>
        <w:t xml:space="preserve">подчертава, че сътрудничеството в областта на достъпа до суровини от изключителна важност е от съществено значение в настоящия геополитически пейзаж, както и за зеления и справедлив преход, и приветства подписването през юли 2021 г. на стратегическото партньорство между ЕС и Канада в областта на суровините от изключителна важност в рамките на ВИТС, което следва да спомогне за интегрирането на веригите за създаване на стойност в областта на суровините между ЕС и Канада и да насърчи сътрудничеството в областта на </w:t>
      </w:r>
      <w:r w:rsidRPr="00326CBC">
        <w:lastRenderedPageBreak/>
        <w:t>науката, технологиите и иновациите; отбелязва, че това представлява важен компонент на европейската стратегия за икономическа сигурност; изразява убеждение, че добивът на суровини трябва да се извършва при зачитане на стандартите в областта на околната среда, труда и правата на човека, включително правата на коренното население;</w:t>
      </w:r>
    </w:p>
    <w:p w:rsidR="00F23D69" w:rsidRPr="00326CBC" w:rsidRDefault="00F23D69" w:rsidP="00F23D69">
      <w:pPr>
        <w:pStyle w:val="NormalHanging12a"/>
      </w:pPr>
      <w:r w:rsidRPr="00326CBC">
        <w:t>10.</w:t>
      </w:r>
      <w:r w:rsidRPr="00326CBC">
        <w:tab/>
        <w:t>приветства факта, че европейските и канадските дружества използват все повече и непрекъснато преференциите, предоставяни от ВИТС, като степента на използване на преференциите както от ЕС, така и от Канада е 60% през 2022 г. в сравнение съответно с 40% и 52% през 2018 г.; отбелязва с интерес, че по-малките дружества използват преференциите повече, отколкото големите дружества, и че степента на използване е значително по-висока за хранително-вкусовата промишленост в сравнение с производствените отрасли; подчертава, че ниската степен на оползотворяване в ключови сектори за няколко държави – членки на ЕС, показва пропуснати икономии на разходи и намаляване на ползите от споразумението за благосъстоянието; насърчава двамата партньори да продължат да популяризират действия за повишаване на осведомеността за ВИТС сред заинтересованите страни в двата региона, включително чрез платформата на ЕС Access2Markets; подчертава колко е важно да се улесняват новите възможности за предприятията и потребителите чрез цифровата търговия в съответствие със стандартите на ЕС;</w:t>
      </w:r>
    </w:p>
    <w:p w:rsidR="00F23D69" w:rsidRPr="00326CBC" w:rsidRDefault="00F23D69" w:rsidP="00F23D69">
      <w:pPr>
        <w:pStyle w:val="NormalHanging12a"/>
      </w:pPr>
      <w:r w:rsidRPr="00326CBC">
        <w:t>11.</w:t>
      </w:r>
      <w:r w:rsidRPr="00326CBC">
        <w:tab/>
        <w:t xml:space="preserve">отбелязва, че степента на използване на тарифната квота (ТК) за внос на говеждо и телешко месо в ЕС е била едва 3% през 2021 г. и че износителите от ЕС са увеличили пазарния си дял в Канада, така че ЕС изнася повече замразено говеждо месо за Канада, отколкото внася от нея; отбелязва обаче, че степента на използване на тази ТК може с времето да се измени в резултат на промени в други експортни пазари на Канада, по-специално САЩ и Китай; </w:t>
      </w:r>
    </w:p>
    <w:p w:rsidR="00F23D69" w:rsidRPr="00326CBC" w:rsidRDefault="00F23D69" w:rsidP="00F23D69">
      <w:pPr>
        <w:pStyle w:val="NormalHanging12a"/>
      </w:pPr>
      <w:r w:rsidRPr="00326CBC">
        <w:t>12.</w:t>
      </w:r>
      <w:r w:rsidRPr="00326CBC">
        <w:tab/>
        <w:t>подчертава, че според одитния доклад на Генерална дирекция „Здравеопазване и безопасност на храните“ на Комисията Канада все още не е изпълнила в задоволителна степен препоръките, направени в одита на генералната дирекция, относно проследимостта и качеството на съществуващите системи за контрол, регулиращи производството на говеждо и свинско месо, предназначени за износ за Европейския съюз;</w:t>
      </w:r>
    </w:p>
    <w:p w:rsidR="00F23D69" w:rsidRPr="00326CBC" w:rsidRDefault="00F23D69" w:rsidP="00F23D69">
      <w:pPr>
        <w:pStyle w:val="NormalHanging12a"/>
      </w:pPr>
      <w:r w:rsidRPr="00326CBC">
        <w:t>13.</w:t>
      </w:r>
      <w:r w:rsidRPr="00326CBC">
        <w:tab/>
        <w:t>приветства въвеждането на хармонизиран сертификат на ЕС за износ на прясно месо от домашни птици от държави членки с разрешение, който започна да функционира през 2021 г.; призовава Комисията да продължи напредъка по отношение на подобни сертификати за преработено месо и овче или козе месо, като същевременно повишава усилията за гарантиране на по-силни системи за проследяване на месните продукти; призовава Комисията, в рамките на Управителния комитет и в сътрудничество с канадските органи и държавите членки, да постигне напредък в признаването на останалите системи за инспекция на месо, за да се даде възможност на останалите държави членки да изнасят месо за Канада;</w:t>
      </w:r>
    </w:p>
    <w:p w:rsidR="00F23D69" w:rsidRPr="00326CBC" w:rsidRDefault="00F23D69" w:rsidP="00F23D69">
      <w:pPr>
        <w:pStyle w:val="NormalHanging12a"/>
      </w:pPr>
      <w:r w:rsidRPr="00326CBC">
        <w:t>14.</w:t>
      </w:r>
      <w:r w:rsidRPr="00326CBC">
        <w:tab/>
        <w:t xml:space="preserve">отбелязва със съжаление, че ВИТС не прилага принципа на регионализация като цяло, като разглежда единствено ЕС като единна област по отношение на животновъдството, но не и по отношение на сектора на плодовете и зеленчуците, което означава, че всяка държава членка трябва поотделно да преговаря и да </w:t>
      </w:r>
      <w:r w:rsidRPr="00326CBC">
        <w:lastRenderedPageBreak/>
        <w:t>постига съгласие относно изискванията за износ за всеки продукт; призовава този недостатък да бъде отстранен възможно най-скоро в рамките на Съвместния управителен комитет ЕС-Канада;</w:t>
      </w:r>
    </w:p>
    <w:p w:rsidR="00F23D69" w:rsidRPr="00326CBC" w:rsidRDefault="00F23D69" w:rsidP="00F23D69">
      <w:pPr>
        <w:pStyle w:val="NormalHanging12a"/>
        <w:rPr>
          <w:szCs w:val="24"/>
        </w:rPr>
      </w:pPr>
      <w:r w:rsidRPr="00326CBC">
        <w:t>15.</w:t>
      </w:r>
      <w:r w:rsidRPr="00326CBC">
        <w:tab/>
        <w:t>призовава Комисията да улеснява текущото сътрудничество с канадските органи, насочено към увеличаване на вниманието към гаранциите за стандартите за хуманно отношение към животните, съдържащи се във ВИТС, и към оценяване на осъществимостта на създаването в бъдеще на огледални клаузи в тази област, за да се гарантира еквивалентност на стандартите за хуманно отношение към животните и по този начин равнопоставени условия на конкуренция между ЕС и вносните животински продукти;</w:t>
      </w:r>
    </w:p>
    <w:p w:rsidR="00F23D69" w:rsidRPr="00326CBC" w:rsidRDefault="00F23D69" w:rsidP="00F23D69">
      <w:pPr>
        <w:pStyle w:val="NormalHanging12a"/>
      </w:pPr>
      <w:r w:rsidRPr="00326CBC">
        <w:t>16.</w:t>
      </w:r>
      <w:r w:rsidRPr="00326CBC">
        <w:tab/>
        <w:t>посочва, че търговската политика на ЕС, и по-специално ВИТС, има значително икономическо въздействие върху най-отдалечените региони (НОР), и поради това подчертава необходимостта от защита на интересите на тези региони при бъдещи преговори или евентуално преразглеждане на споразумението;</w:t>
      </w:r>
    </w:p>
    <w:p w:rsidR="00F23D69" w:rsidRPr="00326CBC" w:rsidRDefault="00F23D69" w:rsidP="00F23D69">
      <w:pPr>
        <w:pStyle w:val="NormalHanging12a"/>
      </w:pPr>
      <w:r w:rsidRPr="00326CBC">
        <w:t>17.</w:t>
      </w:r>
      <w:r w:rsidRPr="00326CBC">
        <w:tab/>
        <w:t>счита, че част от тарифите и тарифните квоти, определени за продуктите от ЕС, следва да се разпределят между операторите, регистрирани в НОР, като се отчита тяхното икономическо положение; подчертава, че диференцираното третиране на операторите в НОР е от ключово значение, за да се гарантира конкурентоспособността на предприятията и справедливото разпределение на тарифите и тарифните квоти сред търговските агенти, като се избягва ограничаването на ползите до малък брой оператори;</w:t>
      </w:r>
    </w:p>
    <w:p w:rsidR="00F23D69" w:rsidRPr="00326CBC" w:rsidRDefault="00F23D69" w:rsidP="00F23D69">
      <w:pPr>
        <w:pStyle w:val="NormalHanging12a"/>
      </w:pPr>
      <w:r w:rsidRPr="00326CBC">
        <w:t>18.</w:t>
      </w:r>
      <w:r w:rsidRPr="00326CBC">
        <w:tab/>
        <w:t>приема за сведение факта, че степента на използване на тарифните квоти е средно 98% за износа на сирене от ЕС; въпреки това призовава за по-прозрачна и гъвкава система на Канада за управление на тарифните квоти за млечни продукти, по-специално квотите за сирене, и настоятелно призовава канадските органи да пристъпят към евентуално преразглеждане на системата във възможно най-кратък срок;</w:t>
      </w:r>
    </w:p>
    <w:p w:rsidR="00F23D69" w:rsidRPr="00326CBC" w:rsidRDefault="00F23D69" w:rsidP="00F23D69">
      <w:pPr>
        <w:pStyle w:val="NormalHanging12a"/>
      </w:pPr>
      <w:r w:rsidRPr="00326CBC">
        <w:t>19.</w:t>
      </w:r>
      <w:r w:rsidRPr="00326CBC">
        <w:tab/>
        <w:t>подчертава значението на признаването на системата от географски указания (ГУ) като основен компонент на споразумението; подчертава необходимостта от по-нататъшно ефективно прилагане на защитата на ГУ за носителите на права от ЕС в Канада, за да се гарантира доверие в правилното функциониране на споразумението;</w:t>
      </w:r>
    </w:p>
    <w:p w:rsidR="00F23D69" w:rsidRPr="00326CBC" w:rsidRDefault="00F23D69" w:rsidP="00F23D69">
      <w:pPr>
        <w:pStyle w:val="NormalHanging12a"/>
        <w:rPr>
          <w:szCs w:val="24"/>
        </w:rPr>
      </w:pPr>
      <w:r w:rsidRPr="00326CBC">
        <w:t>20.</w:t>
      </w:r>
      <w:r w:rsidRPr="00326CBC">
        <w:tab/>
        <w:t>приема за сведение факта, че през първите шест години от временното прилагане на ВИТС износът на ЕС за Канада и вносът от Канада на услуги са нараснали съответно с 54% и 74%, с най-високи печалби в областта на транспортните услуги, бизнес услугите и информационните, компютърните и телекомуникационните услуги, по-специално в полза на по-малките държави – членки на ЕС, където услугите имат значителен дял в икономическата структура на страната;</w:t>
      </w:r>
    </w:p>
    <w:p w:rsidR="00F23D69" w:rsidRPr="00326CBC" w:rsidRDefault="00F23D69" w:rsidP="00F23D69">
      <w:pPr>
        <w:pStyle w:val="NormalHanging12a"/>
        <w:rPr>
          <w:szCs w:val="24"/>
        </w:rPr>
      </w:pPr>
      <w:r w:rsidRPr="00326CBC">
        <w:t>21.</w:t>
      </w:r>
      <w:r w:rsidRPr="00326CBC">
        <w:tab/>
        <w:t xml:space="preserve">приветства конкретните усилия за улесняване на достъпа до обществени поръчки, като например единната точка за достъп в Канада; счита, че дори ако много повече предприятия от ЕС участват успешно в търгове в Канада, като например за регионален железопътен превоз на пътници в Онтарио или мостове в Монреал, доставчиците от ЕС биха могли да се възползват в още по-голяма степен от </w:t>
      </w:r>
      <w:r w:rsidRPr="00326CBC">
        <w:lastRenderedPageBreak/>
        <w:t>предлаганите възможности, по-специално по отношение на инфраструктурни проекти и офериране за провинциални и общински договори;</w:t>
      </w:r>
    </w:p>
    <w:p w:rsidR="00F23D69" w:rsidRPr="00326CBC" w:rsidRDefault="00F23D69" w:rsidP="00F23D69">
      <w:pPr>
        <w:pStyle w:val="NormalHanging12a"/>
      </w:pPr>
      <w:r w:rsidRPr="00326CBC">
        <w:t>22.</w:t>
      </w:r>
      <w:r w:rsidRPr="00326CBC">
        <w:tab/>
        <w:t xml:space="preserve">призовава страните да предоставят цялата правна и административна подкрепа и инструменти, от които се нуждаят МСП, за да участват в търговия и инвестиции по линия на ВИТС, за да се стимулира увеличаването на обмена и да се засили участието, така че те да могат да се възползват от предимствата на ВИТС, включително чрез активни мерки за улесняване на интернационализацията на МСП, опростяване на процедурите и преодоляване на техническите пречки пред търговията, които засягат непропорционално МСП; във връзка с това приветства препоръката относно МСП, приета от Съвместния комитет през 2018 г., и последващите планове за действие, включително конкретни действия като стартирането през октомври 2020 г. на платформата Access2Markets, която подкрепя МСП с практическа информация относно търговските споразумения и търговските бариери; очаква в </w:t>
      </w:r>
      <w:r w:rsidRPr="00326CBC">
        <w:rPr>
          <w:i/>
        </w:rPr>
        <w:t>последващата</w:t>
      </w:r>
      <w:r w:rsidRPr="00326CBC">
        <w:t xml:space="preserve"> оценка да бъдат предоставени данни за промяната в дела на търговията между ЕС и Канада, осъществявана от МСП; призовава страните да обмислят възможността за пълноправна глава, аналогична на главите, съдържащи се в споразуменията с Нова Зеландия и Чили;</w:t>
      </w:r>
    </w:p>
    <w:p w:rsidR="00F23D69" w:rsidRPr="00326CBC" w:rsidRDefault="00F23D69" w:rsidP="00F23D69">
      <w:pPr>
        <w:pStyle w:val="NormalHanging12a"/>
      </w:pPr>
      <w:r w:rsidRPr="00326CBC">
        <w:t>23.</w:t>
      </w:r>
      <w:r w:rsidRPr="00326CBC">
        <w:tab/>
        <w:t>като се има предвид значението на сектора на социалната и солидарна икономика в Канада и плана за действие на ЕС за социалната икономика, приет от Европейската комисия на 9 декември 2021 г.</w:t>
      </w:r>
      <w:r w:rsidRPr="00326CBC">
        <w:rPr>
          <w:rStyle w:val="FootnoteReference"/>
        </w:rPr>
        <w:footnoteReference w:id="6"/>
      </w:r>
      <w:r w:rsidRPr="00326CBC">
        <w:t>, призовава Съвместния комитет да определи какви конкретни мерки биха могли да се предприемат, за да се насърчава в по-голяма степен сътрудничеството между участниците в социалната и солидарна икономика от двете страни на Атлантическия океан;</w:t>
      </w:r>
    </w:p>
    <w:p w:rsidR="00F23D69" w:rsidRPr="00326CBC" w:rsidRDefault="00F23D69" w:rsidP="00F23D69">
      <w:pPr>
        <w:pStyle w:val="NormalHanging12a"/>
      </w:pPr>
      <w:r w:rsidRPr="00326CBC">
        <w:t>24.</w:t>
      </w:r>
      <w:r w:rsidRPr="00326CBC">
        <w:tab/>
        <w:t>насърчава двете страни да продължат своите информационни дейности, по-специално с акцент върху МСП и участниците в социалната и солидарна икономика, да повишават осведомеността относно предлаганите от ВИТС възможности чрез целенасочени информационни кампании, като същевременно гарантират, че ползите от споразумението се споделят поравно между мъжете и жените;</w:t>
      </w:r>
    </w:p>
    <w:p w:rsidR="00F23D69" w:rsidRPr="00326CBC" w:rsidRDefault="00F23D69" w:rsidP="00F23D69">
      <w:pPr>
        <w:pStyle w:val="NormalHanging12a"/>
      </w:pPr>
      <w:r w:rsidRPr="00326CBC">
        <w:t>25.</w:t>
      </w:r>
      <w:r w:rsidRPr="00326CBC">
        <w:tab/>
        <w:t xml:space="preserve">приветства приемането още през 2018 г. на препоръката относно търговията и равенството между половете от Съвместния комитет по ВИТС, която включва ангажимент за споделяне на методи и процедури за събиране на разбити по полов признак данни, използване на показатели, методологии за мониторинг и оценка и анализ на свързани с търговията статистически данни, отнасящи се до равенството между половете; подчертава, че търговията трябва да носи ползи за всички, и по-специално да укрепва икономическото овластяване на жените; решително насърчава Съвместния комитет по ВИТС да продължи да наблюдава въздействието на споразумението върху равенството между половете; счита, че работата, извършена в рамките на съвместно приетия план за действие, може да послужи като пример за други търговски споразумения, дори в самото споразумение да няма специални глави относно търговията и равенството между половете; припомня резолюцията на Парламента относно третия план за действие </w:t>
      </w:r>
      <w:r w:rsidRPr="00326CBC">
        <w:lastRenderedPageBreak/>
        <w:t>на ЕС относно равенството между половете</w:t>
      </w:r>
      <w:r w:rsidRPr="00326CBC">
        <w:rPr>
          <w:rStyle w:val="FootnoteReference"/>
        </w:rPr>
        <w:footnoteReference w:id="7"/>
      </w:r>
      <w:r w:rsidRPr="00326CBC">
        <w:t xml:space="preserve"> и насърчава Комисията да публикува по-лесно достъпни разбити по полов признак данни относно използването на споразумението, по-специално по отношение на главите относно обществените поръчки и относно търговията и труда;</w:t>
      </w:r>
    </w:p>
    <w:p w:rsidR="00F23D69" w:rsidRPr="00326CBC" w:rsidRDefault="00F23D69" w:rsidP="00F23D69">
      <w:pPr>
        <w:pStyle w:val="NormalHanging12a"/>
      </w:pPr>
      <w:r w:rsidRPr="00326CBC">
        <w:t>26.</w:t>
      </w:r>
      <w:r w:rsidRPr="00326CBC">
        <w:tab/>
        <w:t>призовава Комисията да предотвратява отслабването на принципа на предпазните мерки като основен принцип на Европейския съюз, залегнал в Договорите, и като гарант за защитата на европейските земеделски стопани и граждани; подчертава, че е важно да се насърчава принципът на предпазните мерки във всички аспекти на търговията и да се гарантира неговото прилагане, като същевременно се избягват необоснованите пречки пред търговията.</w:t>
      </w:r>
    </w:p>
    <w:p w:rsidR="00F23D69" w:rsidRPr="00326CBC" w:rsidRDefault="00F23D69" w:rsidP="00F23D69">
      <w:pPr>
        <w:pStyle w:val="NormalHanging12a"/>
      </w:pPr>
      <w:r w:rsidRPr="00326CBC">
        <w:t>27.</w:t>
      </w:r>
      <w:r w:rsidRPr="00326CBC">
        <w:tab/>
        <w:t>подчертава, че ВИТС предоставя рамка, която насърчава и търговията, и действията в областта на климата, като включва ангажименти за сътрудничество по свързани с търговията екологични въпроси от общ интерес, като например изменението на климата, както е видно от препоръката относно търговията, действията в областта на климата и Парижкото споразумение, по-специално с насърчаването на чисти технологии; подчертава значението на базираното в Канада глобално производство на електроенергия, с което се ускорява преходът към чиста енергия чрез производството ѝ от възобновяеми ресурси; приветства растежа на търговията с екологични стоки с 27% от началото на временното прилагане; отбелязва обаче, че Канада разглежда елементи на европейски законодателни и незаконодателни инициативи по отношение на Европейския зелен пакт като технически пречки пред търговията; приканва страните да намират полезни взаимодействия с прилагането в ЕС на механизма за корекция на въглеродните емисии на границите (МКВЕГ) и други инициативи на ЕС и да подкрепят заедно работата за разработване на съвместни или сравними методологии за емисиите на въглерод на международно равнище;</w:t>
      </w:r>
    </w:p>
    <w:p w:rsidR="00F23D69" w:rsidRPr="00326CBC" w:rsidRDefault="00F23D69" w:rsidP="00F23D69">
      <w:pPr>
        <w:pStyle w:val="NormalHanging12a"/>
      </w:pPr>
      <w:r w:rsidRPr="00326CBC">
        <w:t>28.</w:t>
      </w:r>
      <w:r w:rsidRPr="00326CBC">
        <w:tab/>
        <w:t>приветства стартирането на цифровото партньорство между ЕС и Канада като ключов фактор за зеления и цифровия преход; призовава и двете страни да засилят сътрудничеството си в рамките на прилагането на ВИТС по въпроси от взаимен стратегически интерес, като например изкуствения интелект, киберсигурността и борбата срещу дезинформацията;</w:t>
      </w:r>
    </w:p>
    <w:p w:rsidR="00F23D69" w:rsidRPr="00326CBC" w:rsidRDefault="00F23D69" w:rsidP="00F23D69">
      <w:pPr>
        <w:pStyle w:val="NormalHanging12a"/>
      </w:pPr>
      <w:r w:rsidRPr="00326CBC">
        <w:t>29.</w:t>
      </w:r>
      <w:r w:rsidRPr="00326CBC">
        <w:tab/>
        <w:t xml:space="preserve">приветства активното участие и наблюдение на прилагането на ВИТС от страна на вътрешните консултативни групи (ВКГ) и Форума на гражданското общество, който събира стотици представители от целия ЕС и Канада, включително предприятия, екологични и трудови организации, гражданското общество, академичните среди, както и представители на коренното население от Канада, и активно допринася за работата по-специално на Комитета по търговия и устойчиво развитие чрез съвместните изявления на техните ВКГ настоятелно призовава Комисията и Съвета по търговия и устойчиво развитие (ТУР) да предприемат последващи действия по предложенията им; подчертава, че мандатът на ВКГ следва да включва също така разглеждане на въздействието на цялото споразумение върху устойчивостта; подчертава значението на включването в тяхната работа на съображения относно въздействието на главата </w:t>
      </w:r>
      <w:r w:rsidRPr="00326CBC">
        <w:lastRenderedPageBreak/>
        <w:t>за защита на инвестициите върху устойчивостта и правата на човека;</w:t>
      </w:r>
    </w:p>
    <w:p w:rsidR="00F23D69" w:rsidRPr="00326CBC" w:rsidRDefault="00F23D69" w:rsidP="00F23D69">
      <w:pPr>
        <w:pStyle w:val="NormalHanging12a"/>
      </w:pPr>
      <w:r w:rsidRPr="00326CBC">
        <w:t>30.</w:t>
      </w:r>
      <w:r w:rsidRPr="00326CBC">
        <w:tab/>
        <w:t>призовава двете страни да гарантират по-добра интеграция на дребните земеделски стопани и потребители във вътрешните консултативни групи в контекста на обновяването на тези групи;</w:t>
      </w:r>
    </w:p>
    <w:p w:rsidR="00F23D69" w:rsidRPr="00326CBC" w:rsidRDefault="00F23D69" w:rsidP="00F23D69">
      <w:pPr>
        <w:pStyle w:val="NormalHanging12a"/>
      </w:pPr>
      <w:r w:rsidRPr="00326CBC">
        <w:t>31.</w:t>
      </w:r>
      <w:r w:rsidRPr="00326CBC">
        <w:tab/>
        <w:t xml:space="preserve">настоява за ефективно изпълнение на конкретните ангажименти, свързани с разпоредбите относно търговията и устойчивото развитие (ТУР), включително прегледа на ранен етап на ТУР, за който е поет ангажимент в Съвместния тълкувателен инструмент, който не е бил очакван в скоро време, като неразделна част от ВИТС и като изключително важни за постигане на поставените цели; отбелязва, че през 2024 г. Комисията ще извърши </w:t>
      </w:r>
      <w:r w:rsidRPr="00326CBC">
        <w:rPr>
          <w:i/>
        </w:rPr>
        <w:t>последваща</w:t>
      </w:r>
      <w:r w:rsidRPr="00326CBC">
        <w:t xml:space="preserve"> оценка на ВИТС, включително неговата глава относно търговията и устойчивото развитие, с участието на независими експерти, което ще бъде възможност споразумението да бъде оценено спрямо новия подход на Комисията от юни 2022 г. и да бъде обмислено приемането на конкретни предложения, представени от Канада през 2020 г., за да се даде по-обвързващ обхват на някои разпоредби от тази глава; припомня, че Съвместният комитет по ВИТС може да приеме обвързващо решение за създаване на пътни карти за прилагане, за да се укрепи сътрудничеството в области, в които последващата оценка би могла да определи недостатъци, и очаква Съвместният комитет да действа усърдно в тази насока; счита, че усилията, насочени към по-добро прилагане на главата за ТУР или нейния преглед, следва да бъдат предшествани от съдържателни консултации с всички заинтересовани страни;</w:t>
      </w:r>
    </w:p>
    <w:p w:rsidR="00F23D69" w:rsidRPr="00326CBC" w:rsidRDefault="00F23D69" w:rsidP="00F23D69">
      <w:pPr>
        <w:pStyle w:val="NormalHanging12a"/>
      </w:pPr>
      <w:r w:rsidRPr="00326CBC">
        <w:t>32.</w:t>
      </w:r>
      <w:r w:rsidRPr="00326CBC">
        <w:tab/>
        <w:t>отбелязва, че Обединеното кралство престана да бъде член на Европейския съюз след началото на временното прилагане на ВИТС; отбелязва, че Обединеното кралство и Канада са договорили поредица от двустранни търговски споразумения, за да се вземе това предвид, включително по отношение на използването на ТК и кумулацията; отбелязва, че някои от тези споразумения ще престанат да се прилагат след 2024 г., което може да причини леки смущения в установените вериги на доставки; призовава Комисията да проучи възможността за нови споразумения, когато тези смущения може да засегнат неблагоприятно икономически оператори от Съюза;</w:t>
      </w:r>
    </w:p>
    <w:p w:rsidR="00F23D69" w:rsidRPr="00326CBC" w:rsidRDefault="00F23D69" w:rsidP="00466A21">
      <w:pPr>
        <w:tabs>
          <w:tab w:val="left" w:pos="567"/>
        </w:tabs>
        <w:spacing w:after="240"/>
        <w:ind w:left="567" w:hanging="567"/>
      </w:pPr>
      <w:r w:rsidRPr="00326CBC">
        <w:t>33.</w:t>
      </w:r>
      <w:r w:rsidRPr="00326CBC">
        <w:tab/>
        <w:t xml:space="preserve">призовава страните след ратифицирането да преразгледат ВИТС, като се възползват от клаузата за преглед, за да въведат подходящ и ефективен механизъм за уреждане на спорове за ТУР, включително разглеждане, наред с различни методи на правоприлагане, на санкциите като възпиращо средство, което да се използва като крайна мярка в случай на сериозни нарушения; подчертава своето желание да обмисли институционализирането в рамките на това преразглеждане на продължаващото сътрудничество в областта на търговията и равенството между половете; изтъква, че при преразглеждането следва също така да се обмисли въвеждането на конкретни строги разпоредби относно правата на коренното население, включително Конвенция 169 на Международната организация на труда и Декларацията на Организацията на обединените нации за правата на коренното население; </w:t>
      </w:r>
    </w:p>
    <w:p w:rsidR="00F23D69" w:rsidRPr="00326CBC" w:rsidRDefault="00F23D69" w:rsidP="00F23D69">
      <w:pPr>
        <w:pStyle w:val="NormalHanging12a"/>
      </w:pPr>
      <w:r w:rsidRPr="00326CBC">
        <w:t>34.</w:t>
      </w:r>
      <w:r w:rsidRPr="00326CBC">
        <w:tab/>
        <w:t xml:space="preserve">настоятелно призовава Белгия, България, Кипър, Франция, Гърция, Унгария, Ирландия, Италия, Полша и Словения бързо да ратифицират ВИТС, тъй като това също ще бъде от съществено значение за актуализирането на споразумението, и </w:t>
      </w:r>
      <w:r w:rsidRPr="00326CBC">
        <w:lastRenderedPageBreak/>
        <w:t>отново изтъква значението на пълното прилагане на ВИТС, включително неговите разпоредби за защита на инвестициите;</w:t>
      </w:r>
    </w:p>
    <w:p w:rsidR="00F23D69" w:rsidRPr="00326CBC" w:rsidRDefault="00F23D69" w:rsidP="00F23D69">
      <w:pPr>
        <w:pStyle w:val="NormalHanging12a"/>
      </w:pPr>
      <w:r w:rsidRPr="00326CBC">
        <w:t>35.</w:t>
      </w:r>
      <w:r w:rsidRPr="00326CBC">
        <w:tab/>
        <w:t>възлага на своя председател да предаде настоящата резолюция на Комисията, на Съвета, както и на правителството и парламента на Канада.</w:t>
      </w:r>
    </w:p>
    <w:p w:rsidR="00E365E1" w:rsidRPr="00326CBC" w:rsidRDefault="00E365E1" w:rsidP="00F23D69"/>
    <w:sectPr w:rsidR="00E365E1" w:rsidRPr="00326CBC" w:rsidSect="00326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09C" w:rsidRPr="00326CBC" w:rsidRDefault="0013609C">
      <w:r w:rsidRPr="00326CBC">
        <w:separator/>
      </w:r>
    </w:p>
  </w:endnote>
  <w:endnote w:type="continuationSeparator" w:id="0">
    <w:p w:rsidR="0013609C" w:rsidRPr="00326CBC" w:rsidRDefault="0013609C">
      <w:r w:rsidRPr="00326C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C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C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C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09C" w:rsidRPr="00326CBC" w:rsidRDefault="0013609C">
      <w:r w:rsidRPr="00326CBC">
        <w:separator/>
      </w:r>
    </w:p>
  </w:footnote>
  <w:footnote w:type="continuationSeparator" w:id="0">
    <w:p w:rsidR="0013609C" w:rsidRPr="00326CBC" w:rsidRDefault="0013609C">
      <w:r w:rsidRPr="00326CBC">
        <w:continuationSeparator/>
      </w:r>
    </w:p>
  </w:footnote>
  <w:footnote w:id="1">
    <w:p w:rsidR="00F23D69" w:rsidRPr="00326CBC" w:rsidRDefault="00F23D69" w:rsidP="00326CBC">
      <w:pPr>
        <w:pStyle w:val="FootnoteText"/>
        <w:ind w:left="567" w:hanging="567"/>
        <w:rPr>
          <w:sz w:val="24"/>
          <w:lang w:val="bg-BG"/>
        </w:rPr>
      </w:pPr>
      <w:r w:rsidRPr="00326CBC">
        <w:rPr>
          <w:rStyle w:val="FootnoteReference"/>
          <w:sz w:val="24"/>
          <w:lang w:val="bg-BG"/>
        </w:rPr>
        <w:footnoteRef/>
      </w:r>
      <w:r w:rsidR="00326CBC" w:rsidRPr="00326CBC">
        <w:rPr>
          <w:sz w:val="24"/>
          <w:lang w:val="bg-BG"/>
        </w:rPr>
        <w:t xml:space="preserve"> </w:t>
      </w:r>
      <w:r w:rsidR="00326CBC" w:rsidRPr="00326CBC">
        <w:rPr>
          <w:sz w:val="24"/>
          <w:lang w:val="bg-BG"/>
        </w:rPr>
        <w:tab/>
      </w:r>
      <w:r w:rsidR="00466A21" w:rsidRPr="005B3673">
        <w:t>ОВ L 11, 14.1.2017 г., стр. 23</w:t>
      </w:r>
      <w:r w:rsidRPr="00326CBC">
        <w:rPr>
          <w:sz w:val="24"/>
          <w:lang w:val="bg-BG"/>
        </w:rPr>
        <w:t>.</w:t>
      </w:r>
    </w:p>
  </w:footnote>
  <w:footnote w:id="2">
    <w:p w:rsidR="00F23D69" w:rsidRPr="00326CBC" w:rsidRDefault="00F23D69" w:rsidP="00326CBC">
      <w:pPr>
        <w:pStyle w:val="FootnoteText"/>
        <w:ind w:left="567" w:hanging="567"/>
        <w:rPr>
          <w:sz w:val="24"/>
          <w:lang w:val="bg-BG"/>
        </w:rPr>
      </w:pPr>
      <w:r w:rsidRPr="00326CBC">
        <w:rPr>
          <w:rStyle w:val="FootnoteReference"/>
          <w:sz w:val="24"/>
          <w:lang w:val="bg-BG"/>
        </w:rPr>
        <w:footnoteRef/>
      </w:r>
      <w:r w:rsidR="00326CBC" w:rsidRPr="00326CBC">
        <w:rPr>
          <w:sz w:val="24"/>
          <w:lang w:val="bg-BG"/>
        </w:rPr>
        <w:t xml:space="preserve"> </w:t>
      </w:r>
      <w:r w:rsidR="00326CBC" w:rsidRPr="00326CBC">
        <w:rPr>
          <w:sz w:val="24"/>
          <w:lang w:val="bg-BG"/>
        </w:rPr>
        <w:tab/>
      </w:r>
      <w:r w:rsidR="00466A21" w:rsidRPr="005B3673">
        <w:t>ОВ L 11, 14.1.2017 г., стр. 3</w:t>
      </w:r>
      <w:r w:rsidRPr="00326CBC">
        <w:rPr>
          <w:sz w:val="24"/>
          <w:lang w:val="bg-BG"/>
        </w:rPr>
        <w:t>.</w:t>
      </w:r>
    </w:p>
  </w:footnote>
  <w:footnote w:id="3">
    <w:p w:rsidR="00F23D69" w:rsidRPr="00326CBC" w:rsidRDefault="00F23D69" w:rsidP="00326CBC">
      <w:pPr>
        <w:pStyle w:val="FootnoteText"/>
        <w:ind w:left="567" w:hanging="567"/>
        <w:rPr>
          <w:sz w:val="24"/>
          <w:lang w:val="bg-BG"/>
        </w:rPr>
      </w:pPr>
      <w:r w:rsidRPr="00326CBC">
        <w:rPr>
          <w:rStyle w:val="FootnoteReference"/>
          <w:sz w:val="24"/>
          <w:lang w:val="bg-BG"/>
        </w:rPr>
        <w:footnoteRef/>
      </w:r>
      <w:r w:rsidR="00326CBC" w:rsidRPr="00326CBC">
        <w:rPr>
          <w:sz w:val="24"/>
          <w:lang w:val="bg-BG"/>
        </w:rPr>
        <w:t xml:space="preserve"> </w:t>
      </w:r>
      <w:r w:rsidR="00326CBC" w:rsidRPr="00326CBC">
        <w:rPr>
          <w:sz w:val="24"/>
          <w:lang w:val="bg-BG"/>
        </w:rPr>
        <w:tab/>
      </w:r>
      <w:r w:rsidR="00466A21" w:rsidRPr="005B3673">
        <w:t>ОВ C 252, 18.7.2018 г., стр. 348</w:t>
      </w:r>
      <w:r w:rsidRPr="00326CBC">
        <w:rPr>
          <w:sz w:val="24"/>
          <w:lang w:val="bg-BG"/>
        </w:rPr>
        <w:t>.</w:t>
      </w:r>
    </w:p>
  </w:footnote>
  <w:footnote w:id="4">
    <w:p w:rsidR="00F23D69" w:rsidRPr="00326CBC" w:rsidRDefault="00F23D69" w:rsidP="00326CBC">
      <w:pPr>
        <w:pStyle w:val="FootnoteText"/>
        <w:ind w:left="567" w:hanging="567"/>
        <w:rPr>
          <w:sz w:val="24"/>
          <w:lang w:val="bg-BG"/>
        </w:rPr>
      </w:pPr>
      <w:r w:rsidRPr="00326CBC">
        <w:rPr>
          <w:rStyle w:val="FootnoteReference"/>
          <w:sz w:val="24"/>
          <w:lang w:val="bg-BG"/>
        </w:rPr>
        <w:footnoteRef/>
      </w:r>
      <w:r w:rsidR="00326CBC" w:rsidRPr="00326CBC">
        <w:rPr>
          <w:sz w:val="24"/>
          <w:lang w:val="bg-BG"/>
        </w:rPr>
        <w:t xml:space="preserve"> </w:t>
      </w:r>
      <w:r w:rsidR="00326CBC" w:rsidRPr="00326CBC">
        <w:rPr>
          <w:sz w:val="24"/>
          <w:lang w:val="bg-BG"/>
        </w:rPr>
        <w:tab/>
      </w:r>
      <w:r w:rsidRPr="00326CBC">
        <w:rPr>
          <w:sz w:val="24"/>
          <w:lang w:val="bg-BG"/>
        </w:rPr>
        <w:t>Становище на Съда на Европейския съюз от 16 май 2017 г., постановено на основание член 218, параграф 11 от ДФЕС, във връзка със Споразумението за свободна търговия между Европейския съюз и Република Сингапур, ECLI:EU:C:2017:376.</w:t>
      </w:r>
    </w:p>
  </w:footnote>
  <w:footnote w:id="5">
    <w:p w:rsidR="00F23D69" w:rsidRPr="00326CBC" w:rsidRDefault="00F23D69" w:rsidP="00326CBC">
      <w:pPr>
        <w:pStyle w:val="FootnoteText"/>
        <w:ind w:left="567" w:hanging="567"/>
        <w:rPr>
          <w:sz w:val="24"/>
          <w:lang w:val="bg-BG"/>
        </w:rPr>
      </w:pPr>
      <w:r w:rsidRPr="00326CBC">
        <w:rPr>
          <w:rStyle w:val="FootnoteReference"/>
          <w:sz w:val="24"/>
          <w:lang w:val="bg-BG"/>
        </w:rPr>
        <w:footnoteRef/>
      </w:r>
      <w:r w:rsidR="00326CBC" w:rsidRPr="00326CBC">
        <w:rPr>
          <w:sz w:val="24"/>
          <w:lang w:val="bg-BG"/>
        </w:rPr>
        <w:t xml:space="preserve"> </w:t>
      </w:r>
      <w:r w:rsidR="00326CBC" w:rsidRPr="00326CBC">
        <w:rPr>
          <w:sz w:val="24"/>
          <w:lang w:val="bg-BG"/>
        </w:rPr>
        <w:tab/>
      </w:r>
      <w:r w:rsidRPr="00326CBC">
        <w:rPr>
          <w:sz w:val="24"/>
          <w:lang w:val="bg-BG"/>
        </w:rPr>
        <w:t>ОВ С 32, 27.1.2023 г</w:t>
      </w:r>
      <w:r w:rsidR="00466A21">
        <w:rPr>
          <w:sz w:val="24"/>
          <w:lang w:val="bg-BG"/>
        </w:rPr>
        <w:t>.</w:t>
      </w:r>
      <w:r w:rsidRPr="00326CBC">
        <w:rPr>
          <w:sz w:val="24"/>
          <w:lang w:val="bg-BG"/>
        </w:rPr>
        <w:t>, стр. 96.</w:t>
      </w:r>
    </w:p>
  </w:footnote>
  <w:footnote w:id="6">
    <w:p w:rsidR="00F23D69" w:rsidRPr="00326CBC" w:rsidRDefault="00F23D69" w:rsidP="00326CBC">
      <w:pPr>
        <w:pStyle w:val="FootnoteText"/>
        <w:ind w:left="567" w:hanging="567"/>
        <w:rPr>
          <w:sz w:val="24"/>
          <w:lang w:val="bg-BG"/>
        </w:rPr>
      </w:pPr>
      <w:r w:rsidRPr="00326CBC">
        <w:rPr>
          <w:rStyle w:val="FootnoteReference"/>
          <w:sz w:val="24"/>
          <w:lang w:val="bg-BG"/>
        </w:rPr>
        <w:footnoteRef/>
      </w:r>
      <w:r w:rsidR="00326CBC" w:rsidRPr="00326CBC">
        <w:rPr>
          <w:sz w:val="24"/>
          <w:lang w:val="bg-BG"/>
        </w:rPr>
        <w:t xml:space="preserve"> </w:t>
      </w:r>
      <w:r w:rsidR="00326CBC" w:rsidRPr="00326CBC">
        <w:rPr>
          <w:sz w:val="24"/>
          <w:lang w:val="bg-BG"/>
        </w:rPr>
        <w:tab/>
      </w:r>
      <w:r w:rsidRPr="00326CBC">
        <w:rPr>
          <w:sz w:val="24"/>
          <w:lang w:val="bg-BG"/>
        </w:rPr>
        <w:t>Съобщение на Комисията от 9 декември 2021 г., озаглавено „Изграждане на икономика, която работи за хората: план за действие за социалната икономика“ (COM(2021)0778).</w:t>
      </w:r>
    </w:p>
  </w:footnote>
  <w:footnote w:id="7">
    <w:p w:rsidR="00F23D69" w:rsidRPr="00326CBC" w:rsidRDefault="00F23D69" w:rsidP="00326CBC">
      <w:pPr>
        <w:pStyle w:val="FootnoteText"/>
        <w:ind w:left="567" w:hanging="567"/>
        <w:rPr>
          <w:sz w:val="24"/>
          <w:lang w:val="bg-BG"/>
        </w:rPr>
      </w:pPr>
      <w:r w:rsidRPr="00326CBC">
        <w:rPr>
          <w:rStyle w:val="FootnoteReference"/>
          <w:sz w:val="24"/>
          <w:lang w:val="bg-BG"/>
        </w:rPr>
        <w:footnoteRef/>
      </w:r>
      <w:r w:rsidR="00326CBC" w:rsidRPr="00326CBC">
        <w:rPr>
          <w:sz w:val="24"/>
          <w:lang w:val="bg-BG"/>
        </w:rPr>
        <w:t xml:space="preserve"> </w:t>
      </w:r>
      <w:r w:rsidR="00326CBC" w:rsidRPr="00326CBC">
        <w:rPr>
          <w:sz w:val="24"/>
          <w:lang w:val="bg-BG"/>
        </w:rPr>
        <w:tab/>
      </w:r>
      <w:r w:rsidRPr="00326CBC">
        <w:rPr>
          <w:sz w:val="24"/>
          <w:lang w:val="bg-BG"/>
        </w:rPr>
        <w:t>Резолюция на Европейския парламент от 10 март 2022 г. относно третия план за действие на ЕС относно равенството между половете (ОВ C 347, 9.9.2022 г., стр. 150).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C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C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C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0/2023"/>
    <w:docVar w:name="dvlangue" w:val="BG"/>
    <w:docVar w:name="dvnumam" w:val="0"/>
    <w:docVar w:name="dvpe" w:val="753.671"/>
    <w:docVar w:name="dvrapporteur" w:val="Докладчик: "/>
    <w:docVar w:name="dvtitre" w:val="Резолюция на Европейския парламент от ... 2024 г. относно прилагането на Всеобхватното икономическо и търговско споразумение (ВИТС) между ЕС и Канада(2023/2001(INI))"/>
  </w:docVars>
  <w:rsids>
    <w:rsidRoot w:val="0013609C"/>
    <w:rsid w:val="00002272"/>
    <w:rsid w:val="00064002"/>
    <w:rsid w:val="000677B9"/>
    <w:rsid w:val="000831BA"/>
    <w:rsid w:val="000A42CC"/>
    <w:rsid w:val="000E7DD9"/>
    <w:rsid w:val="0010095E"/>
    <w:rsid w:val="00125B37"/>
    <w:rsid w:val="0013609C"/>
    <w:rsid w:val="00187494"/>
    <w:rsid w:val="001F32AE"/>
    <w:rsid w:val="002767FF"/>
    <w:rsid w:val="002B18FE"/>
    <w:rsid w:val="002B5493"/>
    <w:rsid w:val="00326CBC"/>
    <w:rsid w:val="00343214"/>
    <w:rsid w:val="00361C00"/>
    <w:rsid w:val="00395FA1"/>
    <w:rsid w:val="003E15D4"/>
    <w:rsid w:val="00411CCE"/>
    <w:rsid w:val="0041666E"/>
    <w:rsid w:val="00421060"/>
    <w:rsid w:val="00466A2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67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3F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D6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AEF73"/>
  <w15:chartTrackingRefBased/>
  <w15:docId w15:val="{7FAC59BA-DE0C-4057-9DEB-68FFFC46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ootnote,Footnote1,Footnote10,Footnote11,Footnote2,Footnote21,Footnote3,Footnote31,Footnote4,Footnote41,Footnote5,Footnote51,Footnote6,Footnote61,Footnote7,Footnote71,Footnote8,Footnote9,Fußnotentextf,Fußnotentextr,fn,footnote text,stile 1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Footnote1 Char,Footnote10 Char,Footnote11 Char,Footnote2 Char,Footnote21 Char,Footnote3 Char,Footnote31 Char,Footnote4 Char,Footnote41 Char,Footnote5 Char,Footnote51 Char,Footnote6 Char,Footnote61 Char,Footnote7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23D69"/>
    <w:pPr>
      <w:spacing w:after="240"/>
      <w:ind w:left="567" w:hanging="567"/>
    </w:pPr>
  </w:style>
  <w:style w:type="paragraph" w:customStyle="1" w:styleId="EPComma">
    <w:name w:val="EPComma"/>
    <w:basedOn w:val="Normal"/>
    <w:rsid w:val="00F23D69"/>
    <w:pPr>
      <w:spacing w:before="480" w:after="240"/>
    </w:pPr>
  </w:style>
  <w:style w:type="character" w:styleId="Hyperlink">
    <w:name w:val="Hyperlink"/>
    <w:basedOn w:val="DefaultParagraphFont"/>
    <w:rsid w:val="00F23D6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23D69"/>
    <w:rPr>
      <w:sz w:val="24"/>
      <w:lang w:val="bg-BG"/>
    </w:rPr>
  </w:style>
  <w:style w:type="paragraph" w:styleId="BalloonText">
    <w:name w:val="Balloon Text"/>
    <w:basedOn w:val="Normal"/>
    <w:link w:val="BalloonTextChar"/>
    <w:rsid w:val="00466A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6A21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A379C-72E8-45E4-ABE2-0F9D4B78E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4185</Words>
  <Characters>24507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DIMITROV Cvetan</cp:lastModifiedBy>
  <cp:revision>2</cp:revision>
  <cp:lastPrinted>2004-11-19T15:42:00Z</cp:lastPrinted>
  <dcterms:created xsi:type="dcterms:W3CDTF">2024-02-14T13:33:00Z</dcterms:created>
  <dcterms:modified xsi:type="dcterms:W3CDTF">2024-02-14T13:33:00Z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A9-0400/2023</vt:lpwstr>
  </property>
  <property fmtid="{D5CDD505-2E9C-101B-9397-08002B2CF9AE}" pid="4" name="&lt;Type&gt;">
    <vt:lpwstr>RR</vt:lpwstr>
  </property>
</Properties>
</file>