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849EF" w:rsidTr="0010095E">
        <w:trPr>
          <w:trHeight w:hRule="exact" w:val="1418"/>
        </w:trPr>
        <w:tc>
          <w:tcPr>
            <w:tcW w:w="6804" w:type="dxa"/>
            <w:shd w:val="clear" w:color="auto" w:fill="auto"/>
            <w:vAlign w:val="center"/>
          </w:tcPr>
          <w:p w:rsidR="00751A4A" w:rsidRPr="00C558FC" w:rsidRDefault="007F44B0" w:rsidP="0010095E">
            <w:pPr>
              <w:pStyle w:val="EPName"/>
            </w:pPr>
            <w:r w:rsidRPr="00C558FC">
              <w:t>Europa-Parlamentet</w:t>
            </w:r>
          </w:p>
          <w:p w:rsidR="00751A4A" w:rsidRPr="007849EF" w:rsidRDefault="00817416" w:rsidP="00756632">
            <w:pPr>
              <w:pStyle w:val="EPTerm"/>
              <w:rPr>
                <w:rStyle w:val="HideTWBExt"/>
                <w:noProof w:val="0"/>
                <w:vanish w:val="0"/>
                <w:color w:val="auto"/>
              </w:rPr>
            </w:pPr>
            <w:r w:rsidRPr="007849EF">
              <w:t>2019-2024</w:t>
            </w:r>
          </w:p>
        </w:tc>
        <w:tc>
          <w:tcPr>
            <w:tcW w:w="2268" w:type="dxa"/>
            <w:shd w:val="clear" w:color="auto" w:fill="auto"/>
          </w:tcPr>
          <w:p w:rsidR="00751A4A" w:rsidRPr="00C558FC" w:rsidRDefault="00187494" w:rsidP="0010095E">
            <w:pPr>
              <w:pStyle w:val="EPLogo"/>
            </w:pPr>
            <w:r w:rsidRPr="00C558FC">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849EF" w:rsidRDefault="00D058B8" w:rsidP="004C5D52">
      <w:pPr>
        <w:pStyle w:val="LineTop"/>
      </w:pPr>
    </w:p>
    <w:p w:rsidR="00680577" w:rsidRPr="007849EF" w:rsidRDefault="007F44B0" w:rsidP="00680577">
      <w:pPr>
        <w:pStyle w:val="EPBodyTA1"/>
      </w:pPr>
      <w:r w:rsidRPr="007849EF">
        <w:t>VEDTAGNE TEKSTER</w:t>
      </w:r>
    </w:p>
    <w:p w:rsidR="00D058B8" w:rsidRPr="007849EF" w:rsidRDefault="00D058B8" w:rsidP="00D058B8">
      <w:pPr>
        <w:pStyle w:val="LineBottom"/>
      </w:pPr>
    </w:p>
    <w:p w:rsidR="007F44B0" w:rsidRPr="00D639D0" w:rsidRDefault="007F44B0" w:rsidP="007F44B0">
      <w:pPr>
        <w:pStyle w:val="ATHeading1"/>
      </w:pPr>
      <w:bookmarkStart w:id="0" w:name="TANumber"/>
      <w:r w:rsidRPr="00D639D0">
        <w:t>P9_TA(2024)00</w:t>
      </w:r>
      <w:r w:rsidR="006E5816">
        <w:t>26</w:t>
      </w:r>
      <w:bookmarkEnd w:id="0"/>
    </w:p>
    <w:p w:rsidR="007F44B0" w:rsidRPr="00D639D0" w:rsidRDefault="007F44B0" w:rsidP="007F44B0">
      <w:pPr>
        <w:pStyle w:val="ATHeading2"/>
      </w:pPr>
      <w:bookmarkStart w:id="1" w:name="title"/>
      <w:r w:rsidRPr="00D639D0">
        <w:t>Gennemførelse af den samlede økonomi- og handelsaftale (CETA) mellem EU og Canada</w:t>
      </w:r>
      <w:bookmarkEnd w:id="1"/>
    </w:p>
    <w:p w:rsidR="007F44B0" w:rsidRPr="00C558FC" w:rsidRDefault="007F44B0" w:rsidP="007F44B0">
      <w:pPr>
        <w:rPr>
          <w:i/>
          <w:vanish/>
        </w:rPr>
      </w:pPr>
      <w:r w:rsidRPr="00C558FC">
        <w:rPr>
          <w:i/>
        </w:rPr>
        <w:fldChar w:fldCharType="begin"/>
      </w:r>
      <w:r w:rsidRPr="00C558FC">
        <w:rPr>
          <w:i/>
        </w:rPr>
        <w:instrText xml:space="preserve"> TC"(</w:instrText>
      </w:r>
      <w:bookmarkStart w:id="2" w:name="DocNumber"/>
      <w:r w:rsidRPr="00C558FC">
        <w:rPr>
          <w:i/>
        </w:rPr>
        <w:instrText>A9</w:instrText>
      </w:r>
      <w:r w:rsidRPr="007849EF">
        <w:rPr>
          <w:i/>
        </w:rPr>
        <w:instrText>-</w:instrText>
      </w:r>
      <w:r w:rsidRPr="00D639D0">
        <w:rPr>
          <w:i/>
        </w:rPr>
        <w:instrText>0400/2023</w:instrText>
      </w:r>
      <w:bookmarkEnd w:id="2"/>
      <w:r w:rsidRPr="00D639D0">
        <w:rPr>
          <w:i/>
        </w:rPr>
        <w:instrText xml:space="preserve"> - Ordfører: Javier Moreno Sánchez)"\l3 \n&gt; \* MERGEFORMAT </w:instrText>
      </w:r>
      <w:r w:rsidRPr="00C558FC">
        <w:rPr>
          <w:i/>
        </w:rPr>
        <w:fldChar w:fldCharType="end"/>
      </w:r>
    </w:p>
    <w:p w:rsidR="007F44B0" w:rsidRPr="00D639D0" w:rsidRDefault="007F44B0" w:rsidP="007F44B0">
      <w:pPr>
        <w:rPr>
          <w:vanish/>
        </w:rPr>
      </w:pPr>
      <w:bookmarkStart w:id="3" w:name="Commission"/>
      <w:r w:rsidRPr="00C558FC">
        <w:rPr>
          <w:vanish/>
        </w:rPr>
        <w:t xml:space="preserve">Udvalget om International </w:t>
      </w:r>
      <w:r w:rsidRPr="007849EF">
        <w:rPr>
          <w:vanish/>
        </w:rPr>
        <w:t>Handel</w:t>
      </w:r>
      <w:bookmarkEnd w:id="3"/>
    </w:p>
    <w:p w:rsidR="007F44B0" w:rsidRPr="00D639D0" w:rsidRDefault="007F44B0" w:rsidP="007F44B0">
      <w:pPr>
        <w:rPr>
          <w:vanish/>
        </w:rPr>
      </w:pPr>
      <w:bookmarkStart w:id="4" w:name="PE"/>
      <w:r w:rsidRPr="00D639D0">
        <w:rPr>
          <w:vanish/>
        </w:rPr>
        <w:t>PE753.671</w:t>
      </w:r>
      <w:bookmarkEnd w:id="4"/>
    </w:p>
    <w:p w:rsidR="007F44B0" w:rsidRPr="00D639D0" w:rsidRDefault="007F44B0" w:rsidP="007F44B0">
      <w:pPr>
        <w:pStyle w:val="ATHeading3"/>
      </w:pPr>
      <w:bookmarkStart w:id="5" w:name="Sujet"/>
      <w:r w:rsidRPr="00D639D0">
        <w:t xml:space="preserve">Europa-Parlamentets beslutning af </w:t>
      </w:r>
      <w:r w:rsidR="00C558FC" w:rsidRPr="00D639D0">
        <w:t>17</w:t>
      </w:r>
      <w:r w:rsidRPr="00D639D0">
        <w:t>. januar 2024 om gennemførelse af den samlede økonomi- og handelsaftale (CETA) mellem EU og Canada</w:t>
      </w:r>
      <w:bookmarkEnd w:id="5"/>
      <w:r w:rsidRPr="00D639D0">
        <w:t xml:space="preserve"> </w:t>
      </w:r>
      <w:bookmarkStart w:id="6" w:name="References"/>
      <w:r w:rsidRPr="00D639D0">
        <w:t>(2023/2001(INI))</w:t>
      </w:r>
      <w:bookmarkEnd w:id="6"/>
    </w:p>
    <w:p w:rsidR="001E09A0" w:rsidRPr="007849EF" w:rsidRDefault="001E09A0" w:rsidP="001E09A0">
      <w:pPr>
        <w:pStyle w:val="EPComma"/>
      </w:pPr>
      <w:bookmarkStart w:id="7" w:name="TextBodyBegin"/>
      <w:bookmarkEnd w:id="7"/>
      <w:r w:rsidRPr="00C558FC">
        <w:rPr>
          <w:i/>
        </w:rPr>
        <w:t>Europa-Parlamentet</w:t>
      </w:r>
      <w:r w:rsidRPr="00C558FC">
        <w:t>,</w:t>
      </w:r>
    </w:p>
    <w:p w:rsidR="001E09A0" w:rsidRPr="00C558FC" w:rsidRDefault="001E09A0" w:rsidP="001E09A0">
      <w:pPr>
        <w:pStyle w:val="NormalHanging12a"/>
      </w:pPr>
      <w:r w:rsidRPr="00D639D0">
        <w:t>–</w:t>
      </w:r>
      <w:r w:rsidRPr="00D639D0">
        <w:tab/>
        <w:t>der henviser til den samlede økonomi- og handelsaftale (CETA) mellem Canada på den ene side og Den Europæiske Union og dens medlemsstater på den anden side</w:t>
      </w:r>
      <w:r w:rsidRPr="00C558FC">
        <w:rPr>
          <w:rStyle w:val="FootnoteReference"/>
        </w:rPr>
        <w:footnoteReference w:id="1"/>
      </w:r>
      <w:r w:rsidRPr="00C558FC">
        <w:t>,</w:t>
      </w:r>
    </w:p>
    <w:p w:rsidR="001E09A0" w:rsidRPr="00C558FC" w:rsidRDefault="001E09A0" w:rsidP="001E09A0">
      <w:pPr>
        <w:pStyle w:val="NormalHanging12a"/>
        <w:rPr>
          <w:b/>
          <w:i/>
        </w:rPr>
      </w:pPr>
      <w:r w:rsidRPr="00D639D0">
        <w:t>–</w:t>
      </w:r>
      <w:r w:rsidRPr="00D639D0">
        <w:tab/>
        <w:t>der henviser til det fælles fortolkende instrument om den samlede økonomi- og handelsaftale (CETA) mellem Canada og Den Europæiske Union og dens medlemsstater</w:t>
      </w:r>
      <w:r w:rsidRPr="00C558FC">
        <w:rPr>
          <w:rStyle w:val="FootnoteReference"/>
        </w:rPr>
        <w:footnoteReference w:id="2"/>
      </w:r>
      <w:r w:rsidRPr="00C558FC">
        <w:t>,</w:t>
      </w:r>
    </w:p>
    <w:p w:rsidR="001E09A0" w:rsidRPr="00D639D0" w:rsidRDefault="001E09A0" w:rsidP="001E09A0">
      <w:pPr>
        <w:pStyle w:val="NormalHanging12a"/>
      </w:pPr>
      <w:r w:rsidRPr="00D639D0">
        <w:t>–</w:t>
      </w:r>
      <w:r w:rsidRPr="00D639D0">
        <w:tab/>
        <w:t>der henviser til det strategiske partnerskab om kritiske råstoffer mellem Canada på den ene side og Den Europæiske Union og dens medlemsstater på den anden side, der blev vedtaget og lanceret på topmødet mellem EU og Canada den 14.-15. juni 2021,</w:t>
      </w:r>
    </w:p>
    <w:p w:rsidR="001E09A0" w:rsidRPr="00D639D0" w:rsidRDefault="001E09A0" w:rsidP="001E09A0">
      <w:pPr>
        <w:pStyle w:val="NormalHanging12a"/>
      </w:pPr>
      <w:r w:rsidRPr="00D639D0">
        <w:t>–</w:t>
      </w:r>
      <w:r w:rsidRPr="00D639D0">
        <w:tab/>
        <w:t>der henviser til afgørelse nr. X/2023 fra Det Blandede CETA-Udvalg om fortolkningen af visse begreber i artikel 8.10, bilag 8-A, og artikel 8.39,</w:t>
      </w:r>
    </w:p>
    <w:p w:rsidR="001E09A0" w:rsidRPr="00C558FC" w:rsidRDefault="001E09A0" w:rsidP="001E09A0">
      <w:pPr>
        <w:pStyle w:val="NormalHanging12a"/>
      </w:pPr>
      <w:r w:rsidRPr="00D639D0">
        <w:t>–</w:t>
      </w:r>
      <w:r w:rsidRPr="00D639D0">
        <w:tab/>
        <w:t>der henviser til sin holdning af 15. februar 2017 om udkast til Rådets afgørelse om indgåelse af den samlede økonomi- og handelsaftale (CETA) mellem Canada på den ene side og Den Europæiske Union og dens medlemsstater på den anden side</w:t>
      </w:r>
      <w:r w:rsidRPr="00C558FC">
        <w:rPr>
          <w:rStyle w:val="FootnoteReference"/>
        </w:rPr>
        <w:footnoteReference w:id="3"/>
      </w:r>
      <w:r w:rsidRPr="00C558FC">
        <w:t>,</w:t>
      </w:r>
    </w:p>
    <w:p w:rsidR="001E09A0" w:rsidRPr="00C558FC" w:rsidRDefault="001E09A0" w:rsidP="001E09A0">
      <w:pPr>
        <w:pStyle w:val="NormalHanging12a"/>
      </w:pPr>
      <w:r w:rsidRPr="00D639D0">
        <w:t>–</w:t>
      </w:r>
      <w:r w:rsidRPr="00D639D0">
        <w:tab/>
        <w:t>der henviser til udtalelse 2/15 fra Den Europæis</w:t>
      </w:r>
      <w:r w:rsidR="00E547FA">
        <w:t>ke Unions Domstol af 16. maj 201</w:t>
      </w:r>
      <w:r w:rsidRPr="00D639D0">
        <w:t>7 i medfør af artikel 218, stk. 11, i TEUF om frihandelsaftalen mellem Den Europæiske Union og Republikken Singapore</w:t>
      </w:r>
      <w:r w:rsidRPr="00C558FC">
        <w:rPr>
          <w:rStyle w:val="FootnoteReference"/>
        </w:rPr>
        <w:footnoteReference w:id="4"/>
      </w:r>
      <w:r w:rsidRPr="00C558FC">
        <w:t>,</w:t>
      </w:r>
    </w:p>
    <w:p w:rsidR="001E09A0" w:rsidRPr="00D639D0" w:rsidRDefault="001E09A0" w:rsidP="001E09A0">
      <w:pPr>
        <w:pStyle w:val="NormalHanging12a"/>
      </w:pPr>
      <w:r w:rsidRPr="00D639D0">
        <w:t>–</w:t>
      </w:r>
      <w:r w:rsidRPr="00D639D0">
        <w:tab/>
        <w:t>der henviser til de fælles erklæringer fra den nationale interne rådgivende gruppe EU/Canada,</w:t>
      </w:r>
    </w:p>
    <w:p w:rsidR="001E09A0" w:rsidRPr="00D639D0" w:rsidRDefault="001E09A0" w:rsidP="001E09A0">
      <w:pPr>
        <w:pStyle w:val="NormalHanging12a"/>
      </w:pPr>
      <w:r w:rsidRPr="00D639D0">
        <w:t>–</w:t>
      </w:r>
      <w:r w:rsidRPr="00D639D0">
        <w:tab/>
        <w:t xml:space="preserve">der henviser til Kommissionens rapport af 11. oktober 2022 om gennemførelse og </w:t>
      </w:r>
      <w:r w:rsidRPr="00D639D0">
        <w:lastRenderedPageBreak/>
        <w:t>håndhævelse af EU's frihandelsaftaler (COM(2022)0730),</w:t>
      </w:r>
    </w:p>
    <w:p w:rsidR="001E09A0" w:rsidRPr="00D639D0" w:rsidRDefault="001E09A0" w:rsidP="001E09A0">
      <w:pPr>
        <w:pStyle w:val="NormalHanging12a"/>
      </w:pPr>
      <w:r w:rsidRPr="00D639D0">
        <w:t>–</w:t>
      </w:r>
      <w:r w:rsidRPr="00D639D0">
        <w:tab/>
        <w:t>der henviser til Kommissionens meddelelse af 22. juni 2022 med titlen "Handelspartnerskabernes styrke: sammen om en grøn og retfærdig økonomisk vækst" (COM(2022)0409),</w:t>
      </w:r>
    </w:p>
    <w:p w:rsidR="001E09A0" w:rsidRPr="00D639D0" w:rsidRDefault="001E09A0" w:rsidP="001E09A0">
      <w:pPr>
        <w:pStyle w:val="NormalHanging12a"/>
      </w:pPr>
      <w:r w:rsidRPr="00D639D0">
        <w:t>–</w:t>
      </w:r>
      <w:r w:rsidRPr="00D639D0">
        <w:tab/>
        <w:t>der henviser til rapporten fra Det Blandede CETA-Udvalg af 31. marts 2023, som kom efter dets tredje møde,</w:t>
      </w:r>
    </w:p>
    <w:p w:rsidR="001E09A0" w:rsidRPr="00D639D0" w:rsidRDefault="001E09A0" w:rsidP="001E09A0">
      <w:pPr>
        <w:pStyle w:val="NormalHanging12a"/>
      </w:pPr>
      <w:r w:rsidRPr="00D639D0">
        <w:t>–</w:t>
      </w:r>
      <w:r w:rsidRPr="00D639D0">
        <w:tab/>
        <w:t>der henviser til sin beslutning af 23. juni 2022 om fremtiden for EU's internationale investeringspolitik</w:t>
      </w:r>
      <w:r w:rsidRPr="00C558FC">
        <w:rPr>
          <w:rStyle w:val="FootnoteReference"/>
        </w:rPr>
        <w:footnoteReference w:id="5"/>
      </w:r>
      <w:r w:rsidRPr="00C558FC">
        <w:t>,</w:t>
      </w:r>
    </w:p>
    <w:p w:rsidR="001E09A0" w:rsidRPr="00D639D0" w:rsidRDefault="001E09A0" w:rsidP="001E09A0">
      <w:pPr>
        <w:pStyle w:val="NormalHanging12a"/>
      </w:pPr>
      <w:r w:rsidRPr="00D639D0">
        <w:t>–</w:t>
      </w:r>
      <w:r w:rsidRPr="00D639D0">
        <w:tab/>
        <w:t>der henviser til henstillingerne fra Det Blandede CETA-Udvalg af 26. september 2018 om handel, klimaindsats og Parisaftalen, om handel og køn og om små og mellemstore virksomheder (SMV'er),</w:t>
      </w:r>
    </w:p>
    <w:p w:rsidR="001E09A0" w:rsidRPr="00D639D0" w:rsidRDefault="001E09A0" w:rsidP="001E09A0">
      <w:pPr>
        <w:pStyle w:val="NormalHanging12a"/>
      </w:pPr>
      <w:r w:rsidRPr="00D639D0">
        <w:t>–</w:t>
      </w:r>
      <w:r w:rsidRPr="00D639D0">
        <w:tab/>
        <w:t>der henviser til Kommissionens meddelelse af 5. marts 2020 med titlen "Et EU med ligestilling: strategi for ligestilling mellem mænd og kvinder 2020-2025" (COM(2020)0152),</w:t>
      </w:r>
    </w:p>
    <w:p w:rsidR="001E09A0" w:rsidRPr="00D639D0" w:rsidRDefault="001E09A0" w:rsidP="001E09A0">
      <w:pPr>
        <w:pStyle w:val="NormalHanging12a"/>
      </w:pPr>
      <w:r w:rsidRPr="00D639D0">
        <w:t>–</w:t>
      </w:r>
      <w:r w:rsidRPr="00D639D0">
        <w:tab/>
        <w:t>der henviser til rapporterne fra de forskellige specialudvalg, civilsamfundsforummet og forummet for reguleringssamarbejde,</w:t>
      </w:r>
    </w:p>
    <w:p w:rsidR="001E09A0" w:rsidRPr="00D639D0" w:rsidRDefault="001E09A0" w:rsidP="001E09A0">
      <w:pPr>
        <w:pStyle w:val="NormalHanging12a"/>
      </w:pPr>
      <w:r w:rsidRPr="00D639D0">
        <w:t>–</w:t>
      </w:r>
      <w:r w:rsidRPr="00D639D0">
        <w:tab/>
        <w:t>der henviser til den sjette vurderingsrapport fra Det Mellemstatslige Panel om Klimaændringer (IPCC), der blev offentliggjort den 20. marts 2023,</w:t>
      </w:r>
    </w:p>
    <w:p w:rsidR="001E09A0" w:rsidRPr="00D639D0" w:rsidRDefault="001E09A0" w:rsidP="001E09A0">
      <w:pPr>
        <w:pStyle w:val="NormalHanging12a"/>
      </w:pPr>
      <w:r w:rsidRPr="00D639D0">
        <w:t>–</w:t>
      </w:r>
      <w:r w:rsidRPr="00D639D0">
        <w:tab/>
        <w:t>der henviser til de successive auditter udført i 2014, 2019 og 2022 af Kommissionens Generaldirektorat for Sundhed og Fødevaresikkerhed om sporbarheden og kvaliteten af de indførte kontrolsystemer, som regulerer produktionen af oksekød og svinekød til eksport til EU,</w:t>
      </w:r>
    </w:p>
    <w:p w:rsidR="001E09A0" w:rsidRPr="00D639D0" w:rsidRDefault="001E09A0" w:rsidP="001E09A0">
      <w:pPr>
        <w:pStyle w:val="NormalHanging12a"/>
      </w:pPr>
      <w:r w:rsidRPr="00D639D0">
        <w:t>–</w:t>
      </w:r>
      <w:r w:rsidRPr="00D639D0">
        <w:tab/>
        <w:t>der henviser til forretningsordenens artikel 54 og til artikel 1, stk. 1, litra e), i og bilag 3 til afgørelse truffet af Formandskonferencen den 12. december 2002 om proceduren for tilladelse til at udarbejde initiativbetænkninger,</w:t>
      </w:r>
    </w:p>
    <w:p w:rsidR="001E09A0" w:rsidRPr="00D639D0" w:rsidRDefault="001E09A0" w:rsidP="001E09A0">
      <w:pPr>
        <w:pStyle w:val="NormalHanging12a"/>
      </w:pPr>
      <w:r w:rsidRPr="00D639D0">
        <w:t>–</w:t>
      </w:r>
      <w:r w:rsidRPr="00D639D0">
        <w:tab/>
        <w:t>der henviser til udtalelse fra Udvalget om Landbrug og Udvikling af Landdistrikter,</w:t>
      </w:r>
    </w:p>
    <w:p w:rsidR="001E09A0" w:rsidRPr="00D639D0" w:rsidRDefault="001E09A0" w:rsidP="001E09A0">
      <w:pPr>
        <w:pStyle w:val="NormalHanging12a"/>
      </w:pPr>
      <w:r w:rsidRPr="00D639D0">
        <w:t>–</w:t>
      </w:r>
      <w:r w:rsidRPr="00D639D0">
        <w:tab/>
        <w:t>der henviser til betænkning fra Udvalget om International Handel (A9-0400/2023),</w:t>
      </w:r>
    </w:p>
    <w:p w:rsidR="001E09A0" w:rsidRPr="00D639D0" w:rsidRDefault="001E09A0" w:rsidP="001E09A0">
      <w:pPr>
        <w:pStyle w:val="NormalHanging12a"/>
      </w:pPr>
      <w:r w:rsidRPr="00D639D0">
        <w:t>A.</w:t>
      </w:r>
      <w:r w:rsidRPr="00D639D0">
        <w:tab/>
        <w:t>der henviser til, at CETA var blandt de første handelsaftaler, som EU indgik med en anden stor veletableret OECD-økonomi efter Sydkorea; der henviser til, at det også var den mest ambitiøse og omfattende aftale, som EU og Canada havde indgået på daværende tidspunkt, der omfattede en hidtil uset adgang til offentlige udbud på både subføderalt og føderalt plan;</w:t>
      </w:r>
    </w:p>
    <w:p w:rsidR="001E09A0" w:rsidRPr="00D639D0" w:rsidRDefault="001E09A0" w:rsidP="001E09A0">
      <w:pPr>
        <w:pStyle w:val="NormalHanging12a"/>
      </w:pPr>
      <w:r w:rsidRPr="00D639D0">
        <w:t>B.</w:t>
      </w:r>
      <w:r w:rsidRPr="00D639D0">
        <w:tab/>
        <w:t>der henviser til, at CETA har fundet midlertidig anvendelse siden den 21. september 2017, dvs. i mere end seks år;</w:t>
      </w:r>
    </w:p>
    <w:p w:rsidR="001E09A0" w:rsidRPr="00D639D0" w:rsidRDefault="001E09A0" w:rsidP="001E09A0">
      <w:pPr>
        <w:pStyle w:val="NormalHanging12a"/>
      </w:pPr>
      <w:r w:rsidRPr="00D639D0">
        <w:t>C.</w:t>
      </w:r>
      <w:r w:rsidRPr="00D639D0">
        <w:tab/>
        <w:t>der henviser til, at vigtige bestemmelser, navnlig vedrørende investeringsbeskyttelse, stadig ikke har været anvendt, idet ikke alle medlemsstater har ratificeret aftalen;</w:t>
      </w:r>
    </w:p>
    <w:p w:rsidR="001E09A0" w:rsidRPr="00D639D0" w:rsidRDefault="001E09A0" w:rsidP="001E09A0">
      <w:pPr>
        <w:pStyle w:val="NormalHanging12a"/>
      </w:pPr>
      <w:r w:rsidRPr="00D639D0">
        <w:lastRenderedPageBreak/>
        <w:t>D.</w:t>
      </w:r>
      <w:r w:rsidRPr="00D639D0">
        <w:tab/>
        <w:t>der henviser til, at Canada og EU er ved at færdiggøre et udkast til en beslutning fra Det Blandede CETA-Udvalg om fortolkningen af visse begreber i artikel 8.10, bilag 8-A og artikel 8.39, som fastsætter kompetenceområdet for retten til at regulere for så vidt angår kapitlet om investeringsbeskyttelse og om fremme af SMV'ers adgang til investeringsretssystemet under CETA;</w:t>
      </w:r>
    </w:p>
    <w:p w:rsidR="001E09A0" w:rsidRPr="00D639D0" w:rsidRDefault="001E09A0" w:rsidP="001E09A0">
      <w:pPr>
        <w:pStyle w:val="NormalHanging12a"/>
      </w:pPr>
      <w:r w:rsidRPr="00D639D0">
        <w:t>E.</w:t>
      </w:r>
      <w:r w:rsidRPr="00D639D0">
        <w:tab/>
        <w:t>der henviser til, at EU i 2022 var Canadas tredjestørste handelspartner efter USA og Kina og tegnede sig for 8,2 % af dets varehandel med verden; der henviser til, at Canada samme år rangerede som nr. 14 blandt EU's internationale handelspartnere og tegnede sig for næsten 1,4 % af EU's samlede eksterne handel med varer;</w:t>
      </w:r>
    </w:p>
    <w:p w:rsidR="001E09A0" w:rsidRPr="00D639D0" w:rsidRDefault="001E09A0" w:rsidP="001E09A0">
      <w:pPr>
        <w:pStyle w:val="NormalHanging12a"/>
      </w:pPr>
      <w:r w:rsidRPr="00D639D0">
        <w:t>F.</w:t>
      </w:r>
      <w:r w:rsidRPr="00D639D0">
        <w:tab/>
        <w:t>der henviser til, at Ruslands angrebskrig mod Ukraine har vist behovet for at diversificere handelsaftaler og mindske afhængigheden af import og eksport fra et begrænset antal handelspartnere samt betydningen af at indgå handelsaftaler med ligesindede partnere;</w:t>
      </w:r>
    </w:p>
    <w:p w:rsidR="001E09A0" w:rsidRPr="00D639D0" w:rsidRDefault="001E09A0" w:rsidP="001E09A0">
      <w:pPr>
        <w:pStyle w:val="NormalHanging12a"/>
      </w:pPr>
      <w:r w:rsidRPr="00D639D0">
        <w:t>G.</w:t>
      </w:r>
      <w:r w:rsidRPr="00D639D0">
        <w:tab/>
        <w:t>der henviser til, at den effektive gennemførelse og overvågningen af EU's handelsaftaler er en vigtig prioritet for Parlamentet, Rådet og Kommissionen med henblik på at overvåge, vurdere og justere EU's fælles handelspolitik; der henviser til, at rapporteringen om gennemførelsen af aftalen med Canada er et rettidigt og nyttigt bidrag til overvejelserne om, hvordan EU's handelsaftaler fungerer;</w:t>
      </w:r>
    </w:p>
    <w:p w:rsidR="001E09A0" w:rsidRPr="00D639D0" w:rsidRDefault="001E09A0" w:rsidP="001E09A0">
      <w:pPr>
        <w:pStyle w:val="NormalHanging12a"/>
      </w:pPr>
      <w:r w:rsidRPr="00D639D0">
        <w:t>H.</w:t>
      </w:r>
      <w:r w:rsidRPr="00D639D0">
        <w:tab/>
        <w:t>der henviser til, at den institutionelle ramme under CETA nu er fuldt ud på plads med 19 specialiserede udvalg, et forum for reguleringssamarbejde og et civilsamfundsforum, og at deres dagsordener og rapporter er offentligt tilgængelige;</w:t>
      </w:r>
    </w:p>
    <w:p w:rsidR="001E09A0" w:rsidRPr="00D639D0" w:rsidRDefault="001E09A0" w:rsidP="001E09A0">
      <w:pPr>
        <w:pStyle w:val="NormalHanging12a"/>
      </w:pPr>
      <w:r w:rsidRPr="00D639D0">
        <w:t>I.</w:t>
      </w:r>
      <w:r w:rsidRPr="00D639D0">
        <w:tab/>
        <w:t>der henviser til, at Canada var det første land, som EU indgik et strategisk partnerskab om kritiske råstoffer med, der efterfølgende er blevet suppleret med et grønt alliance-initiativ, et digitalt partnerskab mellem EU og Canada og et havpartnerskab;</w:t>
      </w:r>
    </w:p>
    <w:p w:rsidR="001E09A0" w:rsidRPr="00D639D0" w:rsidRDefault="001E09A0" w:rsidP="001E09A0">
      <w:pPr>
        <w:pStyle w:val="NormalHanging12a"/>
      </w:pPr>
      <w:r w:rsidRPr="00D639D0">
        <w:t>J.</w:t>
      </w:r>
      <w:r w:rsidRPr="00D639D0">
        <w:tab/>
        <w:t>der henviser til, at Canada er en aktiv deltager i WTO-dialogen om plastforurening og miljømæssigt bæredygtig handel med plast og WTO's Komité for Handel og Miljø, men ikke er medlem af initiativet til en reform af subsidierne til fossile brændstoffer;</w:t>
      </w:r>
    </w:p>
    <w:p w:rsidR="001E09A0" w:rsidRPr="00D639D0" w:rsidRDefault="001E09A0" w:rsidP="001E09A0">
      <w:pPr>
        <w:pStyle w:val="NormalHanging12a"/>
      </w:pPr>
      <w:r w:rsidRPr="00D639D0">
        <w:t>K.</w:t>
      </w:r>
      <w:r w:rsidRPr="00D639D0">
        <w:tab/>
        <w:t>der henviser til, at der nu er tilstrækkelige erfaringer, data og statistiske oplysninger til at vurdere den foreløbige gennemførelse af CETA;</w:t>
      </w:r>
    </w:p>
    <w:p w:rsidR="001E09A0" w:rsidRPr="00D639D0" w:rsidRDefault="001E09A0" w:rsidP="001E09A0">
      <w:pPr>
        <w:pStyle w:val="NormalHanging12a"/>
      </w:pPr>
      <w:r w:rsidRPr="00D639D0">
        <w:t>L.</w:t>
      </w:r>
      <w:r w:rsidRPr="00D639D0">
        <w:tab/>
        <w:t>der henviser til, at Canada er en verdensleder inden for fælles udfærdigelse af offentlig politik for den sociale og den solidariske økonomi, og til, at den sociale og den solidariske økonomi udgør knap 10 % af bruttonationalproduktet (BNP) i visse provinser såsom Quebec og tegner sig for omkring 210 000 arbejdspladser;</w:t>
      </w:r>
    </w:p>
    <w:p w:rsidR="001E09A0" w:rsidRPr="00D639D0" w:rsidRDefault="001E09A0" w:rsidP="001E09A0">
      <w:pPr>
        <w:pStyle w:val="NormalHanging12a"/>
        <w:rPr>
          <w:b/>
          <w:szCs w:val="24"/>
        </w:rPr>
      </w:pPr>
      <w:r w:rsidRPr="00D639D0">
        <w:rPr>
          <w:b/>
          <w:i/>
        </w:rPr>
        <w:t>De vigtigste konklusioner og henstillinger</w:t>
      </w:r>
    </w:p>
    <w:p w:rsidR="001E09A0" w:rsidRPr="00D639D0" w:rsidRDefault="001E09A0" w:rsidP="001E09A0">
      <w:pPr>
        <w:pStyle w:val="NormalHanging12a"/>
      </w:pPr>
      <w:r w:rsidRPr="00D639D0">
        <w:t>1.</w:t>
      </w:r>
      <w:r w:rsidRPr="00D639D0">
        <w:tab/>
        <w:t xml:space="preserve">fremhæver, at CETA bygger på regel- og værdibaserede forbindelser, der fremmer et mere sikkert og stabilt økonomisk miljø mellem handelspartnerne, hvilket er særligt vigtigt i forbindelse med øget geopolitisk usikkerhed, og bygger på principperne om bæredygtig udvikling og respekt for menneskerettighederne og arbejds- og miljøstandarder; mener, at denne forudsigelighed kan fremme økonomisk vækst, udvekslingen af varer, leveringen af tjenesteydelser, deltagelsen i offentlige udbud, investeringslysten, beskæftigelse af høj kvalitet, oprettelsen af flere og bedre betalte job og forbedrede arbejdsvilkår og levestandarder; bemærker dog, at CETA yderligere skal styrke bæredygtig udvikling, respekt for menneskerettigheder og arbejdstagerrettigheder </w:t>
      </w:r>
      <w:r w:rsidRPr="00D639D0">
        <w:lastRenderedPageBreak/>
        <w:t>og skal beskytte klimaet;</w:t>
      </w:r>
    </w:p>
    <w:p w:rsidR="001E09A0" w:rsidRPr="00D639D0" w:rsidRDefault="001E09A0" w:rsidP="001E09A0">
      <w:pPr>
        <w:pStyle w:val="NormalHanging12a"/>
      </w:pPr>
      <w:r w:rsidRPr="00D639D0">
        <w:t>2.</w:t>
      </w:r>
      <w:r w:rsidRPr="00D639D0">
        <w:tab/>
        <w:t>bemærker med tilfredshed, at varehandelen mellem EU og Canada steg med 66 % fra 2016 til 2022, mens handelen med tjenesteydelser mellem EU og Canada steg med 46 %, hvilket oversteg den øvrige handel med lande uden for EU; bemærker, at EU's eksport af varer til Canada steg med 47 % i løbet af de første fem år med midlertidig anvendelse, hvor de største gevinster blev registreret i forbindelse med forarbejdede produkter, kemiske produkter samt fødevarer og animalske produkter; bemærker, at størstedelen af de bekymringer, der kom til udtryk forud for aftalens midlertidige ikrafttræden vedrørende canadiske landbrugsprodukters tilstrømning til EU-markedet, ikke er blevet realiseret; bemærker, at den canadiske eksport til EU er steget med 46,4 %, og at malme, ædelstene og -metaller og mineralske brændstoffer og olier tegner sig for den største stigning;</w:t>
      </w:r>
    </w:p>
    <w:p w:rsidR="001E09A0" w:rsidRPr="00D639D0" w:rsidRDefault="001E09A0" w:rsidP="001E09A0">
      <w:pPr>
        <w:pStyle w:val="NormalHanging12a"/>
        <w:rPr>
          <w:bCs/>
          <w:iCs/>
        </w:rPr>
      </w:pPr>
      <w:r w:rsidRPr="00D639D0">
        <w:t>3.</w:t>
      </w:r>
      <w:r w:rsidRPr="00D639D0">
        <w:tab/>
        <w:t>fremhæver den betydelige stigning i bilateral handel med fødevarer og landbrugsprodukter mellem EU og Canada, hvor EU's eksport af landbrugsfødevarer til Canada er steget med 62 % og EU's import af sådanne produkter fra Canada med 52 % siden begyndelsen af den midlertidige anvendelse af CETA; noterer sig, at dette har medført betydelige fordele for producenter og eksportører på begge sider, hvilket også har ført til jobskabelse; glæder sig over den betydelige stigning i antallet af mikrovirksomheder og små og mellemstore virksomheder i Unionen, der eksporterer til Canada, samt stigningen i værdien af eksporterede produkter, og noterer sig, at aftalen derved væsentligt varetager deres interesser;</w:t>
      </w:r>
    </w:p>
    <w:p w:rsidR="001E09A0" w:rsidRPr="00D639D0" w:rsidRDefault="001E09A0" w:rsidP="001E09A0">
      <w:pPr>
        <w:pStyle w:val="NormalHanging12a"/>
        <w:rPr>
          <w:szCs w:val="24"/>
        </w:rPr>
      </w:pPr>
      <w:r w:rsidRPr="00D639D0">
        <w:t>4.</w:t>
      </w:r>
      <w:r w:rsidRPr="00D639D0">
        <w:tab/>
        <w:t>understreger, at der ved gennemførelsen af CETA og alle andre EU-handelsaftaler skal tages behørigt hensyn til respekt for bæredygtig landbrugsproduktion, gensidighed og opretholdelse af høje produktionsstandarder, navnlig sundheds-, plantesundheds- og veterinærstandarder, såvel som opretholdelse af passende kontrol og overvågning af gensidig overholdelse af disse standarder;</w:t>
      </w:r>
    </w:p>
    <w:p w:rsidR="001E09A0" w:rsidRPr="00D639D0" w:rsidRDefault="001E09A0" w:rsidP="001E09A0">
      <w:pPr>
        <w:pStyle w:val="NormalHanging12a"/>
      </w:pPr>
      <w:r w:rsidRPr="00D639D0">
        <w:t>5.</w:t>
      </w:r>
      <w:r w:rsidRPr="00D639D0">
        <w:tab/>
        <w:t>glæder sig over, at handelsstrømmene mellem parterne generelt har vist sig at være modstandsdygtige under hele pandemien og i den vanskelige situation, der er opstået som følge af Ruslands angrebskrig i Ukraine, og således har modstået presset på forsyningskæderne og bidraget til styrket fødevaresikkerhed; mener, at CETA bør tjene som et redskab til at lette samarbejdet og den fælles indsats i forbindelse med genopbygningen af Ukraine, når krigen er overstået;</w:t>
      </w:r>
    </w:p>
    <w:p w:rsidR="001E09A0" w:rsidRPr="00D639D0" w:rsidRDefault="001E09A0" w:rsidP="001E09A0">
      <w:pPr>
        <w:pStyle w:val="NormalHanging12a"/>
      </w:pPr>
      <w:r w:rsidRPr="00D639D0">
        <w:t>6.</w:t>
      </w:r>
      <w:r w:rsidRPr="00D639D0">
        <w:tab/>
        <w:t>understreger, at EU's eksport er central for beskæftigelsen; glæder sig over, at CETA har bidraget til at skabe nye jobmuligheder, idet antallet af arbejdspladser, der er understøttet af EU's eksport til Canada, steg fra 624 000 i 2017 til mere end 700 000 i 2021;</w:t>
      </w:r>
    </w:p>
    <w:p w:rsidR="001E09A0" w:rsidRPr="00D639D0" w:rsidRDefault="001E09A0" w:rsidP="001E09A0">
      <w:pPr>
        <w:pStyle w:val="NormalHanging12a"/>
      </w:pPr>
      <w:r w:rsidRPr="00D639D0">
        <w:t>7.</w:t>
      </w:r>
      <w:r w:rsidRPr="00D639D0">
        <w:tab/>
        <w:t>understreger vigtigheden af at fremme arbejdskraftens mobilitet, som CETA tilbyder, da den bidrager til at sikre en tilstrækkelig overførsel af færdigheder mellem EU og Canada og undgå mangel på kvalificeret arbejdskraft; glæder sig i den forbindelse over den vellykkede indgåelse i 2022 af den første aftale om gensidig anerkendelse under CETA vedrørende arkitekters kvalifikationer; mener, at det blå EU-kort yderligere kan lette udvekslingen mellem to konkurrencedygtige økonomier med en højtuddannet befolkning; understreger, at udvekslingsprogrammer mellem EU's og canadiske akademiske institutioner kan bidrage yderligere til den nødvendige arbejdskraftmobilitet på lang sigt;</w:t>
      </w:r>
    </w:p>
    <w:p w:rsidR="001E09A0" w:rsidRPr="00D639D0" w:rsidRDefault="001E09A0" w:rsidP="001E09A0">
      <w:pPr>
        <w:pStyle w:val="NormalHanging12a"/>
      </w:pPr>
      <w:r w:rsidRPr="00D639D0">
        <w:lastRenderedPageBreak/>
        <w:t>8.</w:t>
      </w:r>
      <w:r w:rsidRPr="00D639D0">
        <w:tab/>
        <w:t>bemærker, at de to vigtigste produktkategorier, som EU og Canada eksporterer til hinanden, er maskiner og transportudstyr, der tegner sig for ca. 34 % af både eksport og import, og kemiske produkter, farmaceutiske produkter og plastprodukter, der udgør ca. 20 % af den samlede eksport og import; bemærker imidlertid, at mine- og udvindingssektoren, navnlig gødning, nikkel, uran og olieholdigt sand, er meget betydningsfuld, når det gælder import fra Canada sammenlignet med andre handelspartnere, idet den tegner sig for næsten 20 % af EU's samlede import fra Canada; fremhæver, at adgang til kritiske råstoffer fra pålidelige handelspartnere, herunder Canada, er et centralt element i EU's strategi for kritiske råstoffer og afgørende for at opnå en bæredygtig grøn omstilling;</w:t>
      </w:r>
    </w:p>
    <w:p w:rsidR="001E09A0" w:rsidRPr="00D639D0" w:rsidRDefault="001E09A0" w:rsidP="001E09A0">
      <w:pPr>
        <w:pStyle w:val="NormalHanging12a"/>
      </w:pPr>
      <w:r w:rsidRPr="00D639D0">
        <w:t>9.</w:t>
      </w:r>
      <w:r w:rsidRPr="00D639D0">
        <w:tab/>
        <w:t>understreger, at samarbejdet om adgang til kritiske råstoffer er afgørende i det nuværende geopolitiske landskab samt for den grønne og retfærdige omstilling, og glæder sig over undertegnelsen i juli 2021 af det strategiske partnerskab mellem EU og Canada om kritiske råstoffer inden for rammerne af CETA, som bør bidrage til at integrere værdikæder for råstoffer mellem EU og Canada og fremme samarbejdet inden for videnskab, teknologi og innovation; bemærker, at dette udgør et vigtigt element i den europæiske strategi for økonomisk sikkerhed; er overbevist om, at udvinding af råstoffer skal ske med respekt for miljøstandarder og arbejdstagerrettigheder og menneskerettigheder, herunder indfødte befolkningers rettigheder;</w:t>
      </w:r>
    </w:p>
    <w:p w:rsidR="001E09A0" w:rsidRPr="00D639D0" w:rsidRDefault="001E09A0" w:rsidP="001E09A0">
      <w:pPr>
        <w:pStyle w:val="NormalHanging12a"/>
      </w:pPr>
      <w:r w:rsidRPr="00D639D0">
        <w:t>10.</w:t>
      </w:r>
      <w:r w:rsidRPr="00D639D0">
        <w:tab/>
        <w:t>glæder sig over, at europæiske og canadiske virksomheder gør stadig mere og vedvarende brug af de præferencer, der indrømmes i henhold til CETA, og at præferenceudnyttelsesgraden for både EU og Canada lå på 60 % i 2022 sammenlignet med henholdsvis 40 % og 52 % i 2018; bemærker med interesse, at mindre virksomheder anvender præferencerne i større omfang end store virksomheder, og at udnyttelsesgraden er betydeligt højere for landbrugsfødevareindustrien end for fremstillingsindustrien; understreger, at de lave udnyttelsesgrader i nøglesektorer for flere EU-medlemsstater siger noget om mistede omkostningsbesparelser og formindskede velfærdsgevinster ved aftalen; tilskynder begge partnere til fortsat at fremme foranstaltninger med henblik på at øge kendskabet til CETA i begge regioner, herunder via EU's "Access2Markets"-platform; understreger betydningen af at fremme nye muligheder for virksomheder og forbrugere via digital handel; i overensstemmelse med EU's standarder;</w:t>
      </w:r>
    </w:p>
    <w:p w:rsidR="001E09A0" w:rsidRPr="00D639D0" w:rsidRDefault="001E09A0" w:rsidP="001E09A0">
      <w:pPr>
        <w:pStyle w:val="NormalHanging12a"/>
      </w:pPr>
      <w:r w:rsidRPr="00D639D0">
        <w:t>11.</w:t>
      </w:r>
      <w:r w:rsidRPr="00D639D0">
        <w:tab/>
        <w:t xml:space="preserve">bemærker, at udnyttelsesgraden for toldkontingentet for import af okse- og kalvekød til EU kun var på 3 % i 2021, og at EU's eksportører har udvidet deres markedsandel i Canada, således at EU eksporterer mere frosset oksekød til Canada, end det importerer derfra; bemærker dog, at udnyttelsesgraden for toldkontingentet kan ændre sig med tiden som følge af variationerne på Canadas andre eksportmarkeder, navnlig USA og Kina; </w:t>
      </w:r>
    </w:p>
    <w:p w:rsidR="001E09A0" w:rsidRPr="00D639D0" w:rsidRDefault="001E09A0" w:rsidP="001E09A0">
      <w:pPr>
        <w:pStyle w:val="NormalHanging12a"/>
      </w:pPr>
      <w:r w:rsidRPr="00D639D0">
        <w:t>12.</w:t>
      </w:r>
      <w:r w:rsidRPr="00D639D0">
        <w:tab/>
        <w:t>fremhæver, at Canada ifølge auditrapporten fra Kommissionens Generaldirektorat for Sundhed og Fødevaresikkerhed endnu ikke har gennemført anbefalingerne i generaldirektoratets audit om sporbarhed og kvalitet af de eksisterende kontrolsystemer for produktion af oksekød og svinekød bestemt til eksport til Den Europæiske Union på tilfredsstillende vis;</w:t>
      </w:r>
    </w:p>
    <w:p w:rsidR="001E09A0" w:rsidRPr="00D639D0" w:rsidRDefault="001E09A0" w:rsidP="001E09A0">
      <w:pPr>
        <w:pStyle w:val="NormalHanging12a"/>
      </w:pPr>
      <w:r w:rsidRPr="00D639D0">
        <w:t>13.</w:t>
      </w:r>
      <w:r w:rsidRPr="00D639D0">
        <w:tab/>
        <w:t xml:space="preserve">glæder sig over indførelsen af et harmoniseret EU-eksportcertifikat for eksport af fersk fjerkræ fra godkendte medlemsstater, som blev operationelt i 2021; opfordrer Kommissionen til at arbejde videre med lignende certifikater for forarbejdet kød og fåre- eller gedekød, samtidig med at indsatsen for at sikre stærkere sporbarhedssystemer </w:t>
      </w:r>
      <w:r w:rsidRPr="00D639D0">
        <w:lastRenderedPageBreak/>
        <w:t>for kødprodukter øges; opfordrer Kommissionen til, inden for rammerne af forvaltningsudvalget og i samarbejde med de canadiske myndigheder og medlemsstaterne, at gøre fremskridt med hensyn til at anerkende de resterende kødkontrolordninger for at gøre det muligt for de resterende medlemsstater at eksportere kød til Canada;</w:t>
      </w:r>
    </w:p>
    <w:p w:rsidR="001E09A0" w:rsidRPr="00D639D0" w:rsidRDefault="001E09A0" w:rsidP="001E09A0">
      <w:pPr>
        <w:pStyle w:val="NormalHanging12a"/>
      </w:pPr>
      <w:r w:rsidRPr="00D639D0">
        <w:t>14.</w:t>
      </w:r>
      <w:r w:rsidRPr="00D639D0">
        <w:tab/>
        <w:t>konstaterer med beklagelse, at CETA generelt ikke anvender regionaliseringsprincippet og kun betragter EU som et fælles område hvad angår animalsk produktion, men ikke hvad angår frugt- og grøntsagssektoren, hvilket betyder, at hver enkelt medlemsstat skal forhandle og nå til enighed om eksportkrav for hvert enkelt produkt; opfordrer til, at denne mangel afhjælpes hurtigst muligt inden for rammerne af den fælles forvaltningskomité mellem EU og Canada;</w:t>
      </w:r>
    </w:p>
    <w:p w:rsidR="001E09A0" w:rsidRPr="00D639D0" w:rsidRDefault="001E09A0" w:rsidP="001E09A0">
      <w:pPr>
        <w:pStyle w:val="NormalHanging12a"/>
        <w:rPr>
          <w:szCs w:val="24"/>
        </w:rPr>
      </w:pPr>
      <w:r w:rsidRPr="00D639D0">
        <w:t>15.</w:t>
      </w:r>
      <w:r w:rsidRPr="00D639D0">
        <w:tab/>
        <w:t>opfordrer Kommissionen til at lette det igangværende samarbejde med de canadiske myndigheder med det formål at øge opmærksomheden omkring beskyttelsesforanstaltninger for dyrevelfærdsstandarder i CETA og evaluere muligheden for at etablere spejlklausuler på dette område i fremtiden, der kan sikre ligestilling af dyrevelfærdsstandarder og dermed lige vilkår mellem animalske produkter fra EU og importerede animalske produkter;</w:t>
      </w:r>
    </w:p>
    <w:p w:rsidR="001E09A0" w:rsidRPr="00D639D0" w:rsidRDefault="001E09A0" w:rsidP="001E09A0">
      <w:pPr>
        <w:pStyle w:val="NormalHanging12a"/>
      </w:pPr>
      <w:r w:rsidRPr="00D639D0">
        <w:t>16.</w:t>
      </w:r>
      <w:r w:rsidRPr="00D639D0">
        <w:tab/>
        <w:t>påpeger, at EU's handelspolitik og navnlig CETA har store økonomiske konsekvenser for regionerne i den yderste periferi og understreger derfor behovet for at beskytte disse regioners interesser i fremtidige forhandlinger eller i forbindelse med en eventuel revision af aftalen;</w:t>
      </w:r>
    </w:p>
    <w:p w:rsidR="001E09A0" w:rsidRPr="00D639D0" w:rsidRDefault="001E09A0" w:rsidP="001E09A0">
      <w:pPr>
        <w:pStyle w:val="NormalHanging12a"/>
      </w:pPr>
      <w:r w:rsidRPr="00D639D0">
        <w:t>17.</w:t>
      </w:r>
      <w:r w:rsidRPr="00D639D0">
        <w:tab/>
        <w:t>fastholder, at en del af den told og de toldkontingenter, der tildeles EU-produkter, bør tildeles de erhvervsdrivende, der er registreret i regionerne i den yderste periferi, i betragtning af deres økonomiske situation; understreger, at en differentieret behandling af de erhvervsdrivende i regionerne i den yderste periferi er afgørende for at sikre virksomhedernes konkurrenceevne og en retfærdig fordeling af told og kontingenter mellem økonomiske aktører ved at undgå, at fordelene kun tilfalder et lille antal operatører;</w:t>
      </w:r>
    </w:p>
    <w:p w:rsidR="001E09A0" w:rsidRPr="00D639D0" w:rsidRDefault="001E09A0" w:rsidP="001E09A0">
      <w:pPr>
        <w:pStyle w:val="NormalHanging12a"/>
      </w:pPr>
      <w:r w:rsidRPr="00D639D0">
        <w:t>18.</w:t>
      </w:r>
      <w:r w:rsidRPr="00D639D0">
        <w:tab/>
        <w:t>noterer sig, at udnyttelsesgraden for toldkontingentet i gennemsnit er på 98 % for EU's osteeksport; opfordrer ikke desto mindre til et mere gennemsigtigt og fleksibelt canadisk system til forvaltning af toldkontingenter for mejeriprodukter, navnlig ostekvoten, og opfordrer indtrængende de canadiske myndigheder til at gå videre med en eventuel revision af systemet så hurtigt som muligt;</w:t>
      </w:r>
    </w:p>
    <w:p w:rsidR="001E09A0" w:rsidRPr="00D639D0" w:rsidRDefault="001E09A0" w:rsidP="001E09A0">
      <w:pPr>
        <w:pStyle w:val="NormalHanging12a"/>
      </w:pPr>
      <w:r w:rsidRPr="00D639D0">
        <w:t>19.</w:t>
      </w:r>
      <w:r w:rsidRPr="00D639D0">
        <w:tab/>
        <w:t>fremhæver vigtigheden af at anerkende ordningen med geografiske betegnelser som en central del af aftalen; understreger, at der er behov for yderligere effektiv håndhævelse af beskyttelsen af geografiske betegnelser for EU's rettighedshavere i Canada for at sikre tilliden til, at aftalen fungerer korrekt;</w:t>
      </w:r>
    </w:p>
    <w:p w:rsidR="001E09A0" w:rsidRPr="00D639D0" w:rsidRDefault="001E09A0" w:rsidP="001E09A0">
      <w:pPr>
        <w:pStyle w:val="NormalHanging12a"/>
        <w:rPr>
          <w:szCs w:val="24"/>
        </w:rPr>
      </w:pPr>
      <w:r w:rsidRPr="00D639D0">
        <w:t>20.</w:t>
      </w:r>
      <w:r w:rsidRPr="00D639D0">
        <w:tab/>
        <w:t>noterer sig, at EU's eksport til og import fra Canada af tjenesteydelser i løbet af de første seks år af den midlertidige anvendelse af CETA er steget med henholdsvis 54 % og 74 %, med de største gevinster inden for transporttjenester, erhvervstjenester og information, computer- og telekommunikationstjenester, navnlig til fordel for mindre EU-medlemsstater, hvor tjenesteydelser spiller en væsentlig rolle i landets økonomiske struktur;</w:t>
      </w:r>
    </w:p>
    <w:p w:rsidR="001E09A0" w:rsidRPr="00D639D0" w:rsidRDefault="001E09A0" w:rsidP="001E09A0">
      <w:pPr>
        <w:pStyle w:val="NormalHanging12a"/>
        <w:rPr>
          <w:szCs w:val="24"/>
        </w:rPr>
      </w:pPr>
      <w:r w:rsidRPr="00D639D0">
        <w:t>21.</w:t>
      </w:r>
      <w:r w:rsidRPr="00D639D0">
        <w:tab/>
        <w:t xml:space="preserve">bemærker de konkrete bestræbelser på at lette adgangen til offentlige udbud såsom det </w:t>
      </w:r>
      <w:r w:rsidRPr="00D639D0">
        <w:lastRenderedPageBreak/>
        <w:t>fælles adgangspunkt i Canada; mener, at selv om mange flere EU-virksomheder har succes med at deltage i canadiske udbud, f.eks. i forbindelse med regional personbefordring med jernbane i Ontario eller broer i Montreal, vil EU-leverandører kunne drage endnu større fordel af de muligheder, der findes, navnlig med hensyn til infrastrukturprojekter og tilbud på kontrakter, der udbydes af provinser og kommuner;</w:t>
      </w:r>
    </w:p>
    <w:p w:rsidR="001E09A0" w:rsidRPr="00D639D0" w:rsidRDefault="001E09A0" w:rsidP="001E09A0">
      <w:pPr>
        <w:pStyle w:val="NormalHanging12a"/>
      </w:pPr>
      <w:r w:rsidRPr="00D639D0">
        <w:t>22.</w:t>
      </w:r>
      <w:r w:rsidRPr="00D639D0">
        <w:tab/>
        <w:t>opfordrer parterne til at stille al den retlige og administrative støtte og de værktøjer, som SMV'er behøver for at kunne deltage i handel og investeringer under CETA, til rådighed for at fremme en stigning i udvekslingen og øge deltagelsen, så de kan høste fordelene ved CETA, herunder gennem aktive foranstaltninger til fremme af SMV'ers internationalisering, forenkle procedurer og tage hånd om tekniske handelshindringer, der i uforholdsmæssig grad påvirker SMV'er; glæder sig i den forbindelse over henstillingen om SMV'er, som Det Blandede CETA-Udvalg vedtog i 2018, og de efterfølgende handlingsplaner, herunder konkrete tiltag såsom lanceringen af Access2Markets-platformen i oktober 2020, som støtter SMV'er med praktiske oplysninger om handelsaftaler og handelshindringer; forventer, at ex post-evalueringen tilvejebringer data om udviklingen af SMV'ers andel af handelen mellem EU og Canada; opfordrer parterne til at overveje muligheden for et selvstændigt kapitel om SMV'er svarende til dem, der findes i aftalerne med New Zealand og Chile;</w:t>
      </w:r>
    </w:p>
    <w:p w:rsidR="001E09A0" w:rsidRPr="00D639D0" w:rsidRDefault="001E09A0" w:rsidP="001E09A0">
      <w:pPr>
        <w:pStyle w:val="NormalHanging12a"/>
      </w:pPr>
      <w:r w:rsidRPr="00D639D0">
        <w:t>23.</w:t>
      </w:r>
      <w:r w:rsidRPr="00D639D0">
        <w:tab/>
        <w:t>opfordrer som følge af betydningen af sektoren for den sociale og solidariske økonomi i Canada og handlingsplanen for den sociale økonomi, som blev vedtaget af Kommissionen den 9. december 2021</w:t>
      </w:r>
      <w:r w:rsidRPr="00C558FC">
        <w:rPr>
          <w:rStyle w:val="FootnoteReference"/>
        </w:rPr>
        <w:footnoteReference w:id="6"/>
      </w:r>
      <w:r w:rsidRPr="00C558FC">
        <w:t>, Det Blandede Udvalg til at udpege de konkrete foranstaltninger, der kan indføres for at fremme mere samarbejde mellem aktørerne på det sociale og solidariske område på tværs af Atlanten;</w:t>
      </w:r>
    </w:p>
    <w:p w:rsidR="001E09A0" w:rsidRPr="00D639D0" w:rsidRDefault="001E09A0" w:rsidP="001E09A0">
      <w:pPr>
        <w:pStyle w:val="NormalHanging12a"/>
      </w:pPr>
      <w:r w:rsidRPr="00D639D0">
        <w:t>24.</w:t>
      </w:r>
      <w:r w:rsidRPr="00D639D0">
        <w:tab/>
        <w:t>opfordrer begge parter til at fortsætte deres opsøgende aktiviteter, navnlig med fokus på SMV'er og aktører inden for den sociale og solidariske økonomi, for at skabe opmærksomhed om de muligheder, som CETA giver, gennem målrettede oplysningskampagner, samtidig med at det sikres, at mænd og kvinder har lige store fordele af aftalen;</w:t>
      </w:r>
    </w:p>
    <w:p w:rsidR="001E09A0" w:rsidRPr="00D639D0" w:rsidRDefault="001E09A0" w:rsidP="001E09A0">
      <w:pPr>
        <w:pStyle w:val="NormalHanging12a"/>
      </w:pPr>
      <w:r w:rsidRPr="00D639D0">
        <w:t>25.</w:t>
      </w:r>
      <w:r w:rsidRPr="00D639D0">
        <w:tab/>
        <w:t>glæder sig over Det Blandede CETA-Udvalgs vedtagelse af henstillingen om handel og køn allerede i 2018, som omfatter en forpligtelse til at udveksle metoder til og procedurer for indsamling af kønsopdelte data, anvendelse af indikatorer, overvågnings- og evalueringsmetoder og analyse af kønsfokuserede statistikker vedrørende handel; understreger, at handel bør gavne alle og navnlig styrke kvinders økonomiske stilling; opfordrer på det kraftigste Det Blandede CETA-Udvalg til fortsat at overvåge indvirkningerne af aftalen på køn; mener, at det arbejde, der udføres under den handlingsplan, der er vedtaget i fællesskab, kan tjene som eksempel for andre handelsaftaler, selv når der ikke er særlige kapitler om handel og køn i selve aftalen; minder om Parlamentets beslutning om kønshandlingsplan III</w:t>
      </w:r>
      <w:r w:rsidRPr="00C558FC">
        <w:rPr>
          <w:rStyle w:val="FootnoteReference"/>
        </w:rPr>
        <w:footnoteReference w:id="7"/>
      </w:r>
      <w:r w:rsidRPr="00C558FC">
        <w:t xml:space="preserve"> og tilskynder Kommissionen til at offentliggøre flere lettilgængelige kønsopdelte data om anvendelsen af aftalen, navnlig i relation til kapitlerne om offentlige udbud og om handel og arbejdskraft;</w:t>
      </w:r>
    </w:p>
    <w:p w:rsidR="001E09A0" w:rsidRPr="00D639D0" w:rsidRDefault="001E09A0" w:rsidP="001E09A0">
      <w:pPr>
        <w:pStyle w:val="NormalHanging12a"/>
      </w:pPr>
      <w:r w:rsidRPr="00D639D0">
        <w:t>26.</w:t>
      </w:r>
      <w:r w:rsidRPr="00D639D0">
        <w:tab/>
        <w:t xml:space="preserve">opfordrer Kommissionen til at forhindre svækkelse af forsigtighedsprincippet, der er et </w:t>
      </w:r>
      <w:r w:rsidRPr="00D639D0">
        <w:lastRenderedPageBreak/>
        <w:t>grundlæggende princip i Den Europæiske Union og nedfældet i traktaterne og en garant for beskyttelse af europæiske landbrugere og borgere; fremhæver vigtigheden af at fremme forsigtighedsprincippet i alle handelsaspekter og sikre, at det anvendes på en måde, der ikke skaber uberettigede handelshindringer;</w:t>
      </w:r>
    </w:p>
    <w:p w:rsidR="001E09A0" w:rsidRPr="00D639D0" w:rsidRDefault="001E09A0" w:rsidP="001E09A0">
      <w:pPr>
        <w:pStyle w:val="NormalHanging12a"/>
      </w:pPr>
      <w:r w:rsidRPr="00D639D0">
        <w:t>27.</w:t>
      </w:r>
      <w:r w:rsidRPr="00D639D0">
        <w:tab/>
        <w:t>understreger, at CETA tilvejebringer en ramme, der fremmer både handel og klimaindsats, idet den indeholder forpligtelser til at samarbejde om handelsrelaterede miljøspørgsmål af fælles interesse såsom klimaforandringer, som det fremgår af henstillingen om handel, klimaindsats og Parisaftalen, navnlig ved at fremme rene teknologier; understreger betydningen af canadiskbaseret global elproduktion, som fremskynder omstillingen til ren energi ved at producere energi fra vedvarende kilder; glæder sig over væksten i handelen med miljøvarer med 27 %, siden den midlertidige anvendelse begyndte; bemærker imidlertid, at Canada har betragtet elementer af europæiske lovgivningsmæssige og ikkelovgivningsmæssige initiativer med hensyn til den europæiske grønne pagt som tekniske handelshindringer; opfordrer parterne til at finde synergier med gennemførelsen af kulstofgrænsetilpasningsmekanismen (CBAM) og andre initiativer i EU og i fællesskab støtte arbejdet med at udvikle fælles eller sammenlignelige metoder for CO2-emissioner på internationalt niveau;</w:t>
      </w:r>
    </w:p>
    <w:p w:rsidR="001E09A0" w:rsidRPr="00D639D0" w:rsidRDefault="001E09A0" w:rsidP="001E09A0">
      <w:pPr>
        <w:pStyle w:val="NormalHanging12a"/>
      </w:pPr>
      <w:r w:rsidRPr="00D639D0">
        <w:t>28.</w:t>
      </w:r>
      <w:r w:rsidRPr="00D639D0">
        <w:tab/>
        <w:t>glæder sig over lanceringen af det digitale partnerskab mellem EU og Canada, som er en central katalysator for den grønne og den digitale omstilling; opfordrer begge parter til at styrke deres samarbejde inden for rammen af CETA's gennemførelse i relation til problemer af gensidig strategisk interesse såsom kunstig intelligens, cybersikkerhed og kampen mod desinformation;</w:t>
      </w:r>
    </w:p>
    <w:p w:rsidR="001E09A0" w:rsidRPr="00D639D0" w:rsidRDefault="001E09A0" w:rsidP="001E09A0">
      <w:pPr>
        <w:pStyle w:val="NormalHanging12a"/>
      </w:pPr>
      <w:r w:rsidRPr="00D639D0">
        <w:t>29.</w:t>
      </w:r>
      <w:r w:rsidRPr="00D639D0">
        <w:tab/>
        <w:t>glæder sig over den aktive inddragelse og overvågning af gennemførelsen af CETA i de interne rådgivende grupper og civilsamfundsforummet, der samler hundredvis af repræsentanter fra hele EU og Canada, herunder virksomheder, miljø- og arbejdsmarkedsorganisationer, civilsamfundet, den akademiske verden samt repræsentanter for Canadas oprindelige folk, og som aktivt bidrager til arbejdet, navnlig i Udvalget for Handel og Bæredygtig Udvikling, gennem deres fælles erklæringer; opfordrer indtrængende Kommissionen og bestyrelsen for handel og bæredygtig udvikling til at følge op på deres forslag; understreger, at mandatet for de interne rådgivende grupper også bør være at overveje den fulde aftales indvirkning på bæredygtigheden; understreger værdien af at medtage overvejelser om indvirkningen af kapitlet om investeringsbeskyttelse på bæredygtighed og menneskerettigheder i deres arbejde;</w:t>
      </w:r>
    </w:p>
    <w:p w:rsidR="001E09A0" w:rsidRPr="00D639D0" w:rsidRDefault="001E09A0" w:rsidP="001E09A0">
      <w:pPr>
        <w:pStyle w:val="NormalHanging12a"/>
      </w:pPr>
      <w:r w:rsidRPr="00D639D0">
        <w:t>30.</w:t>
      </w:r>
      <w:r w:rsidRPr="00D639D0">
        <w:tab/>
        <w:t>opfordrer begge parter til at sikre en bedre integration af mindre landbrugere og forbrugere i de interne rådgivende grupper i forbindelse med fornyelsen af disse grupper;</w:t>
      </w:r>
    </w:p>
    <w:p w:rsidR="001E09A0" w:rsidRPr="00D639D0" w:rsidRDefault="001E09A0" w:rsidP="001E09A0">
      <w:pPr>
        <w:pStyle w:val="NormalHanging12a"/>
      </w:pPr>
      <w:r w:rsidRPr="00D639D0">
        <w:t>31.</w:t>
      </w:r>
      <w:r w:rsidRPr="00D639D0">
        <w:tab/>
        <w:t xml:space="preserve">insisterer på en effektiv gennemførelse af de specifikke forpligtelser i forbindelse med bestemmelserne om handel og bæredygtig udvikling, herunder den tidlige gennemgang af disse bestemmelser, der er givet tilsagn om i det fælles fortolkende instrument, og som endnu ikke er foretaget, som en integreret del af CETA og afgørende for at nå de fastsatte mål; noterer sig, at Kommissionen i 2024 vil foretage en efterfølgende evaluering af CETA, herunder kapitlet om handel og bæredygtig udvikling, med inddragelse af uafhængige eksperter, hvilket vil være en lejlighed til at vurdere den i forhold til Kommissionens nye tilgang fra juni 2022 og overveje at tage hensyn til konkrete forslag, som Canada fremsatte i 2020, for at give visse bestemmelser i dette kapitel et mere bindende anvendelsesområde; minder om, at Det Blandede Udvalg kan </w:t>
      </w:r>
      <w:r w:rsidRPr="00D639D0">
        <w:lastRenderedPageBreak/>
        <w:t>vedtage en bindende afgørelse om at oprette køreplaner for gennemførelse for at styrke samarbejdet på områder, hvor ex post-evalueringen har udpeget mangler, og forventer, at det aktivt gøre dette; mener, at bestræbelserne på bedre gennemførelse af kapitlet om handel og bæredygtig udvikling eller revisionen heraf bør baseres på en meningsfuld høring af alle interessenter;</w:t>
      </w:r>
    </w:p>
    <w:p w:rsidR="001E09A0" w:rsidRPr="00D639D0" w:rsidRDefault="001E09A0" w:rsidP="001E09A0">
      <w:pPr>
        <w:pStyle w:val="NormalHanging12a"/>
      </w:pPr>
      <w:r w:rsidRPr="00D639D0">
        <w:t>32.</w:t>
      </w:r>
      <w:r w:rsidRPr="00D639D0">
        <w:tab/>
        <w:t>bemærker, at Det Forenede Kongeriges medlemskab af EU ophørte efter CETA's midlertidige ikrafttræden; bemærker, at Det Forenede Kongerige og Canada har indgået en række bilaterale handelsaftaler for at tage højde herfor, herunder for anvendelse og kumulering af toldkontingentet; bemærker, at nogle af disse aftaler udløber efter 2024, hvilket kan resultere i mindre forstyrrelser i de etablerede forsyningskæder; opfordrer Kommissionen til at undersøge muligheden for nye aftaler, hvis disse forstyrrelser påvirker de økonomiske operatører i Unionen negativt;</w:t>
      </w:r>
    </w:p>
    <w:p w:rsidR="001E09A0" w:rsidRPr="00D639D0" w:rsidRDefault="001E09A0" w:rsidP="001E09A0">
      <w:pPr>
        <w:tabs>
          <w:tab w:val="left" w:pos="567"/>
        </w:tabs>
        <w:spacing w:after="240"/>
        <w:ind w:left="567" w:hanging="567"/>
      </w:pPr>
      <w:r w:rsidRPr="00D639D0">
        <w:t>33.</w:t>
      </w:r>
      <w:r w:rsidRPr="00D639D0">
        <w:tab/>
        <w:t>opfordrer parterne til at revidere CETA, når aftalen er ratificeret, ved at gøre brug af revisionsklausulen med henblik på at indføre en passende og effektiv tvistbilæggelsesmekanisme for handel og bæredygtig udvikling og herunder blandt forskellige håndhævelsesmetoder overveje, om sanktioner som en afskrækkende foranstaltning skal anvendes som en sidste udvej i tilfælde af alvorlige overtrædelser; fremhæver sit ønske om at overveje at institutionalisere det igangværende samarbejde om handel og køn i denne gennemgang; understreger, at det bør overvejes ved revisionen at indføre specifikke stærke bestemmelser om oprindelige befolkningers rettigheder, herunder Den Internationale Arbejdsorganisations konvention nr. 169 og FN's deklaration om oprindelige folks rettigheder;</w:t>
      </w:r>
    </w:p>
    <w:p w:rsidR="001E09A0" w:rsidRPr="00D639D0" w:rsidRDefault="001E09A0" w:rsidP="001E09A0">
      <w:pPr>
        <w:pStyle w:val="NormalHanging12a"/>
      </w:pPr>
      <w:r w:rsidRPr="00D639D0">
        <w:t>34.</w:t>
      </w:r>
      <w:r w:rsidRPr="00D639D0">
        <w:tab/>
        <w:t>opfordrer indtrængende Belgien, Bulgarien, Cypern, Frankrig, Grækenland, Irland, Italien, Polen, Slovenien og Ungarn til hurtigt at ratificere CETA, da dette også vil være afgørende for at ajourføre aftalen, og gentager vigtigheden af en fuld anvendelse af CETA, herunder dens bestemmelser om investeringsbeskyttelse;</w:t>
      </w:r>
    </w:p>
    <w:p w:rsidR="00E365E1" w:rsidRPr="00D639D0" w:rsidRDefault="001E09A0" w:rsidP="00006454">
      <w:pPr>
        <w:pStyle w:val="NormalHanging12a"/>
      </w:pPr>
      <w:r w:rsidRPr="00D639D0">
        <w:t>35.</w:t>
      </w:r>
      <w:r w:rsidRPr="00D639D0">
        <w:tab/>
        <w:t>pålægger sin formand at sende denne beslutning til Rådet, Kommissionen og Canadas regering og parlament.</w:t>
      </w:r>
    </w:p>
    <w:sectPr w:rsidR="00E365E1" w:rsidRPr="00D639D0" w:rsidSect="00006454">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pgMar w:top="1134" w:right="1418" w:bottom="1418" w:left="1418" w:header="567"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F44B0" w:rsidRPr="00F46B9A" w:rsidRDefault="007F44B0">
      <w:r w:rsidRPr="00F46B9A">
        <w:separator/>
      </w:r>
    </w:p>
  </w:endnote>
  <w:endnote w:type="continuationSeparator" w:id="0">
    <w:p w:rsidR="007F44B0" w:rsidRPr="00F46B9A" w:rsidRDefault="007F44B0">
      <w:r w:rsidRPr="00F46B9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46B9A"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46B9A"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46B9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F44B0" w:rsidRPr="00F46B9A" w:rsidRDefault="007F44B0">
      <w:r w:rsidRPr="00F46B9A">
        <w:separator/>
      </w:r>
    </w:p>
  </w:footnote>
  <w:footnote w:type="continuationSeparator" w:id="0">
    <w:p w:rsidR="007F44B0" w:rsidRPr="00F46B9A" w:rsidRDefault="007F44B0">
      <w:r w:rsidRPr="00F46B9A">
        <w:continuationSeparator/>
      </w:r>
    </w:p>
  </w:footnote>
  <w:footnote w:id="1">
    <w:p w:rsidR="001E09A0" w:rsidRPr="00F46B9A" w:rsidRDefault="001E09A0" w:rsidP="00F46B9A">
      <w:pPr>
        <w:pStyle w:val="FootnoteText"/>
        <w:ind w:left="567" w:hanging="567"/>
        <w:rPr>
          <w:sz w:val="24"/>
          <w:lang w:val="da-DK"/>
        </w:rPr>
      </w:pPr>
      <w:r w:rsidRPr="00F46B9A">
        <w:rPr>
          <w:rStyle w:val="FootnoteReference"/>
          <w:sz w:val="24"/>
          <w:lang w:val="da-DK"/>
        </w:rPr>
        <w:footnoteRef/>
      </w:r>
      <w:r w:rsidR="00F46B9A" w:rsidRPr="00F46B9A">
        <w:rPr>
          <w:sz w:val="24"/>
          <w:lang w:val="da-DK"/>
        </w:rPr>
        <w:t xml:space="preserve"> </w:t>
      </w:r>
      <w:r w:rsidR="00F46B9A" w:rsidRPr="00F46B9A">
        <w:rPr>
          <w:sz w:val="24"/>
          <w:lang w:val="da-DK"/>
        </w:rPr>
        <w:tab/>
      </w:r>
      <w:hyperlink r:id="rId1" w:history="1">
        <w:r w:rsidRPr="00F46B9A">
          <w:rPr>
            <w:rStyle w:val="Hyperlink"/>
            <w:sz w:val="24"/>
            <w:lang w:val="da-DK"/>
          </w:rPr>
          <w:t xml:space="preserve">EUT L </w:t>
        </w:r>
        <w:r w:rsidRPr="003061BF">
          <w:rPr>
            <w:rStyle w:val="Hyperlink"/>
            <w:sz w:val="24"/>
            <w:lang w:val="da-DK"/>
          </w:rPr>
          <w:t>11</w:t>
        </w:r>
        <w:r w:rsidRPr="00F46B9A">
          <w:rPr>
            <w:rStyle w:val="Hyperlink"/>
            <w:sz w:val="24"/>
            <w:lang w:val="da-DK"/>
          </w:rPr>
          <w:t xml:space="preserve"> af </w:t>
        </w:r>
        <w:r w:rsidRPr="003061BF">
          <w:rPr>
            <w:rStyle w:val="Hyperlink"/>
            <w:sz w:val="24"/>
            <w:lang w:val="da-DK"/>
          </w:rPr>
          <w:t>14</w:t>
        </w:r>
        <w:r w:rsidRPr="00F46B9A">
          <w:rPr>
            <w:rStyle w:val="Hyperlink"/>
            <w:sz w:val="24"/>
            <w:lang w:val="da-DK"/>
          </w:rPr>
          <w:t>.</w:t>
        </w:r>
        <w:r w:rsidRPr="003061BF">
          <w:rPr>
            <w:rStyle w:val="Hyperlink"/>
            <w:sz w:val="24"/>
            <w:lang w:val="da-DK"/>
          </w:rPr>
          <w:t>1</w:t>
        </w:r>
        <w:r w:rsidRPr="00F46B9A">
          <w:rPr>
            <w:rStyle w:val="Hyperlink"/>
            <w:sz w:val="24"/>
            <w:lang w:val="da-DK"/>
          </w:rPr>
          <w:t>.</w:t>
        </w:r>
        <w:r w:rsidRPr="003061BF">
          <w:rPr>
            <w:rStyle w:val="Hyperlink"/>
            <w:sz w:val="24"/>
            <w:lang w:val="da-DK"/>
          </w:rPr>
          <w:t>2017</w:t>
        </w:r>
        <w:r w:rsidRPr="00F46B9A">
          <w:rPr>
            <w:rStyle w:val="Hyperlink"/>
            <w:sz w:val="24"/>
            <w:lang w:val="da-DK"/>
          </w:rPr>
          <w:t xml:space="preserve">, s. </w:t>
        </w:r>
        <w:r w:rsidRPr="003061BF">
          <w:rPr>
            <w:rStyle w:val="Hyperlink"/>
            <w:sz w:val="24"/>
            <w:lang w:val="da-DK"/>
          </w:rPr>
          <w:t>23</w:t>
        </w:r>
      </w:hyperlink>
      <w:r w:rsidRPr="00F46B9A">
        <w:rPr>
          <w:sz w:val="24"/>
          <w:lang w:val="da-DK"/>
        </w:rPr>
        <w:t>.</w:t>
      </w:r>
    </w:p>
  </w:footnote>
  <w:footnote w:id="2">
    <w:p w:rsidR="001E09A0" w:rsidRPr="00F46B9A" w:rsidRDefault="001E09A0" w:rsidP="00F46B9A">
      <w:pPr>
        <w:pStyle w:val="FootnoteText"/>
        <w:ind w:left="567" w:hanging="567"/>
        <w:rPr>
          <w:sz w:val="24"/>
          <w:lang w:val="da-DK"/>
        </w:rPr>
      </w:pPr>
      <w:r w:rsidRPr="00F46B9A">
        <w:rPr>
          <w:rStyle w:val="FootnoteReference"/>
          <w:sz w:val="24"/>
          <w:lang w:val="da-DK"/>
        </w:rPr>
        <w:footnoteRef/>
      </w:r>
      <w:r w:rsidR="00F46B9A" w:rsidRPr="00F46B9A">
        <w:rPr>
          <w:sz w:val="24"/>
          <w:lang w:val="da-DK"/>
        </w:rPr>
        <w:t xml:space="preserve"> </w:t>
      </w:r>
      <w:r w:rsidR="00F46B9A" w:rsidRPr="00F46B9A">
        <w:rPr>
          <w:sz w:val="24"/>
          <w:lang w:val="da-DK"/>
        </w:rPr>
        <w:tab/>
      </w:r>
      <w:hyperlink r:id="rId2" w:history="1">
        <w:r w:rsidRPr="00F46B9A">
          <w:rPr>
            <w:rStyle w:val="Hyperlink"/>
            <w:sz w:val="24"/>
            <w:lang w:val="da-DK"/>
          </w:rPr>
          <w:t xml:space="preserve">EUT L </w:t>
        </w:r>
        <w:r w:rsidRPr="003061BF">
          <w:rPr>
            <w:rStyle w:val="Hyperlink"/>
            <w:sz w:val="24"/>
            <w:lang w:val="da-DK"/>
          </w:rPr>
          <w:t>11</w:t>
        </w:r>
        <w:r w:rsidRPr="00F46B9A">
          <w:rPr>
            <w:rStyle w:val="Hyperlink"/>
            <w:sz w:val="24"/>
            <w:lang w:val="da-DK"/>
          </w:rPr>
          <w:t xml:space="preserve"> af </w:t>
        </w:r>
        <w:r w:rsidRPr="003061BF">
          <w:rPr>
            <w:rStyle w:val="Hyperlink"/>
            <w:sz w:val="24"/>
            <w:lang w:val="da-DK"/>
          </w:rPr>
          <w:t>14</w:t>
        </w:r>
        <w:r w:rsidRPr="00F46B9A">
          <w:rPr>
            <w:rStyle w:val="Hyperlink"/>
            <w:sz w:val="24"/>
            <w:lang w:val="da-DK"/>
          </w:rPr>
          <w:t>.</w:t>
        </w:r>
        <w:r w:rsidRPr="003061BF">
          <w:rPr>
            <w:rStyle w:val="Hyperlink"/>
            <w:sz w:val="24"/>
            <w:lang w:val="da-DK"/>
          </w:rPr>
          <w:t>1</w:t>
        </w:r>
        <w:r w:rsidRPr="00F46B9A">
          <w:rPr>
            <w:rStyle w:val="Hyperlink"/>
            <w:sz w:val="24"/>
            <w:lang w:val="da-DK"/>
          </w:rPr>
          <w:t>.</w:t>
        </w:r>
        <w:r w:rsidRPr="003061BF">
          <w:rPr>
            <w:rStyle w:val="Hyperlink"/>
            <w:sz w:val="24"/>
            <w:lang w:val="da-DK"/>
          </w:rPr>
          <w:t>2017</w:t>
        </w:r>
        <w:r w:rsidRPr="00F46B9A">
          <w:rPr>
            <w:rStyle w:val="Hyperlink"/>
            <w:sz w:val="24"/>
            <w:lang w:val="da-DK"/>
          </w:rPr>
          <w:t xml:space="preserve">, s. </w:t>
        </w:r>
        <w:r w:rsidRPr="003061BF">
          <w:rPr>
            <w:rStyle w:val="Hyperlink"/>
            <w:sz w:val="24"/>
            <w:lang w:val="da-DK"/>
          </w:rPr>
          <w:t>3</w:t>
        </w:r>
      </w:hyperlink>
      <w:r w:rsidRPr="00F46B9A">
        <w:rPr>
          <w:sz w:val="24"/>
          <w:lang w:val="da-DK"/>
        </w:rPr>
        <w:t>.</w:t>
      </w:r>
    </w:p>
  </w:footnote>
  <w:footnote w:id="3">
    <w:p w:rsidR="001E09A0" w:rsidRPr="00F46B9A" w:rsidRDefault="001E09A0" w:rsidP="00F46B9A">
      <w:pPr>
        <w:pStyle w:val="FootnoteText"/>
        <w:ind w:left="567" w:hanging="567"/>
        <w:rPr>
          <w:sz w:val="24"/>
          <w:lang w:val="da-DK"/>
        </w:rPr>
      </w:pPr>
      <w:r w:rsidRPr="00F46B9A">
        <w:rPr>
          <w:rStyle w:val="FootnoteReference"/>
          <w:sz w:val="24"/>
          <w:lang w:val="da-DK"/>
        </w:rPr>
        <w:footnoteRef/>
      </w:r>
      <w:r w:rsidR="00F46B9A" w:rsidRPr="00F46B9A">
        <w:rPr>
          <w:sz w:val="24"/>
          <w:lang w:val="da-DK"/>
        </w:rPr>
        <w:t xml:space="preserve"> </w:t>
      </w:r>
      <w:r w:rsidR="00F46B9A" w:rsidRPr="00F46B9A">
        <w:rPr>
          <w:sz w:val="24"/>
          <w:lang w:val="da-DK"/>
        </w:rPr>
        <w:tab/>
      </w:r>
      <w:hyperlink r:id="rId3" w:history="1">
        <w:r w:rsidRPr="00F46B9A">
          <w:rPr>
            <w:rStyle w:val="Hyperlink"/>
            <w:sz w:val="24"/>
            <w:lang w:val="da-DK"/>
          </w:rPr>
          <w:t xml:space="preserve">EUT C </w:t>
        </w:r>
        <w:r w:rsidRPr="003061BF">
          <w:rPr>
            <w:rStyle w:val="Hyperlink"/>
            <w:sz w:val="24"/>
            <w:lang w:val="da-DK"/>
          </w:rPr>
          <w:t>252</w:t>
        </w:r>
        <w:r w:rsidRPr="00F46B9A">
          <w:rPr>
            <w:rStyle w:val="Hyperlink"/>
            <w:sz w:val="24"/>
            <w:lang w:val="da-DK"/>
          </w:rPr>
          <w:t xml:space="preserve"> af </w:t>
        </w:r>
        <w:r w:rsidRPr="003061BF">
          <w:rPr>
            <w:rStyle w:val="Hyperlink"/>
            <w:sz w:val="24"/>
            <w:lang w:val="da-DK"/>
          </w:rPr>
          <w:t>18</w:t>
        </w:r>
        <w:r w:rsidRPr="00F46B9A">
          <w:rPr>
            <w:rStyle w:val="Hyperlink"/>
            <w:sz w:val="24"/>
            <w:lang w:val="da-DK"/>
          </w:rPr>
          <w:t>.</w:t>
        </w:r>
        <w:r w:rsidRPr="003061BF">
          <w:rPr>
            <w:rStyle w:val="Hyperlink"/>
            <w:sz w:val="24"/>
            <w:lang w:val="da-DK"/>
          </w:rPr>
          <w:t>7</w:t>
        </w:r>
        <w:r w:rsidRPr="00F46B9A">
          <w:rPr>
            <w:rStyle w:val="Hyperlink"/>
            <w:sz w:val="24"/>
            <w:lang w:val="da-DK"/>
          </w:rPr>
          <w:t>.</w:t>
        </w:r>
        <w:r w:rsidRPr="003061BF">
          <w:rPr>
            <w:rStyle w:val="Hyperlink"/>
            <w:sz w:val="24"/>
            <w:lang w:val="da-DK"/>
          </w:rPr>
          <w:t>2018</w:t>
        </w:r>
        <w:r w:rsidRPr="00F46B9A">
          <w:rPr>
            <w:rStyle w:val="Hyperlink"/>
            <w:sz w:val="24"/>
            <w:lang w:val="da-DK"/>
          </w:rPr>
          <w:t xml:space="preserve">, s. </w:t>
        </w:r>
        <w:r w:rsidRPr="003061BF">
          <w:rPr>
            <w:rStyle w:val="Hyperlink"/>
            <w:sz w:val="24"/>
            <w:lang w:val="da-DK"/>
          </w:rPr>
          <w:t>348</w:t>
        </w:r>
      </w:hyperlink>
      <w:r w:rsidRPr="00F46B9A">
        <w:rPr>
          <w:sz w:val="24"/>
          <w:lang w:val="da-DK"/>
        </w:rPr>
        <w:t>.</w:t>
      </w:r>
    </w:p>
  </w:footnote>
  <w:footnote w:id="4">
    <w:p w:rsidR="001E09A0" w:rsidRPr="00F46B9A" w:rsidRDefault="001E09A0" w:rsidP="00F46B9A">
      <w:pPr>
        <w:pStyle w:val="FootnoteText"/>
        <w:ind w:left="567" w:hanging="567"/>
        <w:rPr>
          <w:sz w:val="24"/>
          <w:lang w:val="da-DK"/>
        </w:rPr>
      </w:pPr>
      <w:r w:rsidRPr="00F46B9A">
        <w:rPr>
          <w:rStyle w:val="FootnoteReference"/>
          <w:sz w:val="24"/>
          <w:lang w:val="da-DK"/>
        </w:rPr>
        <w:footnoteRef/>
      </w:r>
      <w:r w:rsidR="00F46B9A" w:rsidRPr="00F46B9A">
        <w:rPr>
          <w:sz w:val="24"/>
          <w:lang w:val="da-DK"/>
        </w:rPr>
        <w:t xml:space="preserve"> </w:t>
      </w:r>
      <w:r w:rsidR="00F46B9A" w:rsidRPr="00F46B9A">
        <w:rPr>
          <w:sz w:val="24"/>
          <w:lang w:val="da-DK"/>
        </w:rPr>
        <w:tab/>
      </w:r>
      <w:r w:rsidRPr="00F46B9A">
        <w:rPr>
          <w:sz w:val="24"/>
          <w:lang w:val="da-DK"/>
        </w:rPr>
        <w:t xml:space="preserve">EU-Domstolens udtalelse af </w:t>
      </w:r>
      <w:r w:rsidRPr="003061BF">
        <w:rPr>
          <w:sz w:val="24"/>
          <w:lang w:val="da-DK"/>
        </w:rPr>
        <w:t>16</w:t>
      </w:r>
      <w:r w:rsidRPr="00F46B9A">
        <w:rPr>
          <w:sz w:val="24"/>
          <w:lang w:val="da-DK"/>
        </w:rPr>
        <w:t xml:space="preserve">. maj </w:t>
      </w:r>
      <w:r w:rsidR="00E547FA">
        <w:rPr>
          <w:sz w:val="24"/>
          <w:lang w:val="da-DK"/>
        </w:rPr>
        <w:t>201</w:t>
      </w:r>
      <w:bookmarkStart w:id="8" w:name="_GoBack"/>
      <w:bookmarkEnd w:id="8"/>
      <w:r w:rsidRPr="003061BF">
        <w:rPr>
          <w:sz w:val="24"/>
          <w:lang w:val="da-DK"/>
        </w:rPr>
        <w:t>7</w:t>
      </w:r>
      <w:r w:rsidRPr="00F46B9A">
        <w:rPr>
          <w:sz w:val="24"/>
          <w:lang w:val="da-DK"/>
        </w:rPr>
        <w:t xml:space="preserve"> i medfør af artikel </w:t>
      </w:r>
      <w:r w:rsidRPr="003061BF">
        <w:rPr>
          <w:sz w:val="24"/>
          <w:lang w:val="da-DK"/>
        </w:rPr>
        <w:t>218</w:t>
      </w:r>
      <w:r w:rsidRPr="00F46B9A">
        <w:rPr>
          <w:sz w:val="24"/>
          <w:lang w:val="da-DK"/>
        </w:rPr>
        <w:t xml:space="preserve">, stk. </w:t>
      </w:r>
      <w:r w:rsidRPr="003061BF">
        <w:rPr>
          <w:sz w:val="24"/>
          <w:lang w:val="da-DK"/>
        </w:rPr>
        <w:t>11</w:t>
      </w:r>
      <w:r w:rsidRPr="00F46B9A">
        <w:rPr>
          <w:sz w:val="24"/>
          <w:lang w:val="da-DK"/>
        </w:rPr>
        <w:t>, i TEUF om frihandelsaftalen mellem Den Europæiske Union og Republikken Singapore, ECLI:EU:C:</w:t>
      </w:r>
      <w:r w:rsidRPr="003061BF">
        <w:rPr>
          <w:sz w:val="24"/>
          <w:lang w:val="da-DK"/>
        </w:rPr>
        <w:t>2017</w:t>
      </w:r>
      <w:r w:rsidRPr="00F46B9A">
        <w:rPr>
          <w:sz w:val="24"/>
          <w:lang w:val="da-DK"/>
        </w:rPr>
        <w:t>:</w:t>
      </w:r>
      <w:r w:rsidRPr="003061BF">
        <w:rPr>
          <w:sz w:val="24"/>
          <w:lang w:val="da-DK"/>
        </w:rPr>
        <w:t>376</w:t>
      </w:r>
      <w:r w:rsidRPr="00F46B9A">
        <w:rPr>
          <w:sz w:val="24"/>
          <w:lang w:val="da-DK"/>
        </w:rPr>
        <w:t>.</w:t>
      </w:r>
    </w:p>
  </w:footnote>
  <w:footnote w:id="5">
    <w:p w:rsidR="001E09A0" w:rsidRPr="00F46B9A" w:rsidRDefault="001E09A0" w:rsidP="00F46B9A">
      <w:pPr>
        <w:pStyle w:val="FootnoteText"/>
        <w:ind w:left="567" w:hanging="567"/>
        <w:rPr>
          <w:sz w:val="24"/>
          <w:lang w:val="da-DK"/>
        </w:rPr>
      </w:pPr>
      <w:r w:rsidRPr="00F46B9A">
        <w:rPr>
          <w:rStyle w:val="FootnoteReference"/>
          <w:sz w:val="24"/>
          <w:lang w:val="da-DK"/>
        </w:rPr>
        <w:footnoteRef/>
      </w:r>
      <w:r w:rsidR="00F46B9A" w:rsidRPr="00F46B9A">
        <w:rPr>
          <w:sz w:val="24"/>
          <w:lang w:val="da-DK"/>
        </w:rPr>
        <w:t xml:space="preserve"> </w:t>
      </w:r>
      <w:r w:rsidR="00F46B9A" w:rsidRPr="00F46B9A">
        <w:rPr>
          <w:sz w:val="24"/>
          <w:lang w:val="da-DK"/>
        </w:rPr>
        <w:tab/>
      </w:r>
      <w:r w:rsidRPr="00F46B9A">
        <w:rPr>
          <w:sz w:val="24"/>
          <w:lang w:val="da-DK"/>
        </w:rPr>
        <w:t xml:space="preserve">EUT C </w:t>
      </w:r>
      <w:r w:rsidRPr="003061BF">
        <w:rPr>
          <w:sz w:val="24"/>
          <w:lang w:val="da-DK"/>
        </w:rPr>
        <w:t>32</w:t>
      </w:r>
      <w:r w:rsidRPr="00F46B9A">
        <w:rPr>
          <w:sz w:val="24"/>
          <w:lang w:val="da-DK"/>
        </w:rPr>
        <w:t xml:space="preserve"> af </w:t>
      </w:r>
      <w:r w:rsidRPr="003061BF">
        <w:rPr>
          <w:sz w:val="24"/>
          <w:lang w:val="da-DK"/>
        </w:rPr>
        <w:t>27</w:t>
      </w:r>
      <w:r w:rsidRPr="00F46B9A">
        <w:rPr>
          <w:sz w:val="24"/>
          <w:lang w:val="da-DK"/>
        </w:rPr>
        <w:t>.</w:t>
      </w:r>
      <w:r w:rsidRPr="003061BF">
        <w:rPr>
          <w:sz w:val="24"/>
          <w:lang w:val="da-DK"/>
        </w:rPr>
        <w:t>1</w:t>
      </w:r>
      <w:r w:rsidRPr="00F46B9A">
        <w:rPr>
          <w:sz w:val="24"/>
          <w:lang w:val="da-DK"/>
        </w:rPr>
        <w:t>.</w:t>
      </w:r>
      <w:r w:rsidRPr="003061BF">
        <w:rPr>
          <w:sz w:val="24"/>
          <w:lang w:val="da-DK"/>
        </w:rPr>
        <w:t>2023</w:t>
      </w:r>
      <w:r w:rsidRPr="00F46B9A">
        <w:rPr>
          <w:sz w:val="24"/>
          <w:lang w:val="da-DK"/>
        </w:rPr>
        <w:t xml:space="preserve">, s. </w:t>
      </w:r>
      <w:r w:rsidRPr="003061BF">
        <w:rPr>
          <w:sz w:val="24"/>
          <w:lang w:val="da-DK"/>
        </w:rPr>
        <w:t>96</w:t>
      </w:r>
      <w:r w:rsidRPr="00F46B9A">
        <w:rPr>
          <w:sz w:val="24"/>
          <w:lang w:val="da-DK"/>
        </w:rPr>
        <w:t>.</w:t>
      </w:r>
    </w:p>
  </w:footnote>
  <w:footnote w:id="6">
    <w:p w:rsidR="001E09A0" w:rsidRPr="00F46B9A" w:rsidRDefault="001E09A0" w:rsidP="00F46B9A">
      <w:pPr>
        <w:pStyle w:val="FootnoteText"/>
        <w:ind w:left="567" w:hanging="567"/>
        <w:rPr>
          <w:sz w:val="24"/>
          <w:lang w:val="da-DK"/>
        </w:rPr>
      </w:pPr>
      <w:r w:rsidRPr="00F46B9A">
        <w:rPr>
          <w:rStyle w:val="FootnoteReference"/>
          <w:sz w:val="24"/>
          <w:lang w:val="da-DK"/>
        </w:rPr>
        <w:footnoteRef/>
      </w:r>
      <w:r w:rsidR="00F46B9A" w:rsidRPr="00F46B9A">
        <w:rPr>
          <w:sz w:val="24"/>
          <w:lang w:val="da-DK"/>
        </w:rPr>
        <w:t xml:space="preserve"> </w:t>
      </w:r>
      <w:r w:rsidR="00F46B9A" w:rsidRPr="00F46B9A">
        <w:rPr>
          <w:sz w:val="24"/>
          <w:lang w:val="da-DK"/>
        </w:rPr>
        <w:tab/>
      </w:r>
      <w:r w:rsidRPr="00F46B9A">
        <w:rPr>
          <w:sz w:val="24"/>
          <w:lang w:val="da-DK"/>
        </w:rPr>
        <w:t xml:space="preserve">Kommissionens meddelelse af </w:t>
      </w:r>
      <w:r w:rsidRPr="003061BF">
        <w:rPr>
          <w:sz w:val="24"/>
          <w:lang w:val="da-DK"/>
        </w:rPr>
        <w:t>9</w:t>
      </w:r>
      <w:r w:rsidRPr="00F46B9A">
        <w:rPr>
          <w:sz w:val="24"/>
          <w:lang w:val="da-DK"/>
        </w:rPr>
        <w:t xml:space="preserve">. december </w:t>
      </w:r>
      <w:r w:rsidRPr="003061BF">
        <w:rPr>
          <w:sz w:val="24"/>
          <w:lang w:val="da-DK"/>
        </w:rPr>
        <w:t>2021</w:t>
      </w:r>
      <w:r w:rsidRPr="00F46B9A">
        <w:rPr>
          <w:sz w:val="24"/>
          <w:lang w:val="da-DK"/>
        </w:rPr>
        <w:t xml:space="preserve"> med titlen "Opbygning af en økonomi, der tjener alle: en handlingsplan for den sociale økonomi" (COM(</w:t>
      </w:r>
      <w:r w:rsidRPr="003061BF">
        <w:rPr>
          <w:sz w:val="24"/>
          <w:lang w:val="da-DK"/>
        </w:rPr>
        <w:t>2021</w:t>
      </w:r>
      <w:r w:rsidRPr="00F46B9A">
        <w:rPr>
          <w:sz w:val="24"/>
          <w:lang w:val="da-DK"/>
        </w:rPr>
        <w:t>)</w:t>
      </w:r>
      <w:r w:rsidRPr="003061BF">
        <w:rPr>
          <w:sz w:val="24"/>
          <w:lang w:val="da-DK"/>
        </w:rPr>
        <w:t>0778</w:t>
      </w:r>
      <w:r w:rsidRPr="00F46B9A">
        <w:rPr>
          <w:sz w:val="24"/>
          <w:lang w:val="da-DK"/>
        </w:rPr>
        <w:t>).</w:t>
      </w:r>
    </w:p>
  </w:footnote>
  <w:footnote w:id="7">
    <w:p w:rsidR="001E09A0" w:rsidRPr="00F46B9A" w:rsidRDefault="001E09A0" w:rsidP="00F46B9A">
      <w:pPr>
        <w:pStyle w:val="FootnoteText"/>
        <w:ind w:left="567" w:hanging="567"/>
        <w:rPr>
          <w:sz w:val="24"/>
          <w:lang w:val="da-DK"/>
        </w:rPr>
      </w:pPr>
      <w:r w:rsidRPr="00F46B9A">
        <w:rPr>
          <w:rStyle w:val="FootnoteReference"/>
          <w:sz w:val="24"/>
          <w:lang w:val="da-DK"/>
        </w:rPr>
        <w:footnoteRef/>
      </w:r>
      <w:r w:rsidR="00F46B9A" w:rsidRPr="00F46B9A">
        <w:rPr>
          <w:sz w:val="24"/>
          <w:lang w:val="da-DK"/>
        </w:rPr>
        <w:t xml:space="preserve"> </w:t>
      </w:r>
      <w:r w:rsidR="00F46B9A" w:rsidRPr="00F46B9A">
        <w:rPr>
          <w:sz w:val="24"/>
          <w:lang w:val="da-DK"/>
        </w:rPr>
        <w:tab/>
      </w:r>
      <w:r w:rsidRPr="00F46B9A">
        <w:rPr>
          <w:sz w:val="24"/>
          <w:lang w:val="da-DK"/>
        </w:rPr>
        <w:t xml:space="preserve">Europa-Parlamentets beslutning af </w:t>
      </w:r>
      <w:r w:rsidRPr="003061BF">
        <w:rPr>
          <w:sz w:val="24"/>
          <w:lang w:val="da-DK"/>
        </w:rPr>
        <w:t>10</w:t>
      </w:r>
      <w:r w:rsidRPr="00F46B9A">
        <w:rPr>
          <w:sz w:val="24"/>
          <w:lang w:val="da-DK"/>
        </w:rPr>
        <w:t xml:space="preserve">. marts </w:t>
      </w:r>
      <w:r w:rsidRPr="003061BF">
        <w:rPr>
          <w:sz w:val="24"/>
          <w:lang w:val="da-DK"/>
        </w:rPr>
        <w:t>2022</w:t>
      </w:r>
      <w:r w:rsidRPr="00F46B9A">
        <w:rPr>
          <w:sz w:val="24"/>
          <w:lang w:val="da-DK"/>
        </w:rPr>
        <w:t xml:space="preserve"> om EU's kønshandlingsplan III (EUT C </w:t>
      </w:r>
      <w:r w:rsidRPr="003061BF">
        <w:rPr>
          <w:sz w:val="24"/>
          <w:lang w:val="da-DK"/>
        </w:rPr>
        <w:t>347</w:t>
      </w:r>
      <w:r w:rsidRPr="00F46B9A">
        <w:rPr>
          <w:sz w:val="24"/>
          <w:lang w:val="da-DK"/>
        </w:rPr>
        <w:t xml:space="preserve"> af </w:t>
      </w:r>
      <w:r w:rsidRPr="003061BF">
        <w:rPr>
          <w:sz w:val="24"/>
          <w:lang w:val="da-DK"/>
        </w:rPr>
        <w:t>9</w:t>
      </w:r>
      <w:r w:rsidRPr="00F46B9A">
        <w:rPr>
          <w:sz w:val="24"/>
          <w:lang w:val="da-DK"/>
        </w:rPr>
        <w:t>.</w:t>
      </w:r>
      <w:r w:rsidRPr="003061BF">
        <w:rPr>
          <w:sz w:val="24"/>
          <w:lang w:val="da-DK"/>
        </w:rPr>
        <w:t>9</w:t>
      </w:r>
      <w:r w:rsidRPr="00F46B9A">
        <w:rPr>
          <w:sz w:val="24"/>
          <w:lang w:val="da-DK"/>
        </w:rPr>
        <w:t>.</w:t>
      </w:r>
      <w:r w:rsidRPr="003061BF">
        <w:rPr>
          <w:sz w:val="24"/>
          <w:lang w:val="da-DK"/>
        </w:rPr>
        <w:t>2022</w:t>
      </w:r>
      <w:r w:rsidRPr="00F46B9A">
        <w:rPr>
          <w:sz w:val="24"/>
          <w:lang w:val="da-DK"/>
        </w:rPr>
        <w:t xml:space="preserve">, s. </w:t>
      </w:r>
      <w:r w:rsidRPr="003061BF">
        <w:rPr>
          <w:sz w:val="24"/>
          <w:lang w:val="da-DK"/>
        </w:rPr>
        <w:t>150</w:t>
      </w:r>
      <w:r w:rsidRPr="00F46B9A">
        <w:rPr>
          <w:sz w:val="24"/>
          <w:lang w:val="da-D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46B9A"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46B9A"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46B9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00/2023"/>
    <w:docVar w:name="dvlangue" w:val="DA"/>
    <w:docVar w:name="dvnumam" w:val="0"/>
    <w:docVar w:name="dvpe" w:val="753.671"/>
    <w:docVar w:name="dvrapporteur" w:val="Ordfører: "/>
    <w:docVar w:name="dvtitre" w:val="Europa-Parlamentets beslutning af xx. januar 2024 om gennemførelse af den samlede økonomi- og handelsaftale (CETA) mellem EU og Canada(2023/2001(INI))"/>
  </w:docVars>
  <w:rsids>
    <w:rsidRoot w:val="007F44B0"/>
    <w:rsid w:val="00002272"/>
    <w:rsid w:val="00006454"/>
    <w:rsid w:val="00064002"/>
    <w:rsid w:val="000677B9"/>
    <w:rsid w:val="000831BA"/>
    <w:rsid w:val="000A42CC"/>
    <w:rsid w:val="000E7DD9"/>
    <w:rsid w:val="0010095E"/>
    <w:rsid w:val="00125B37"/>
    <w:rsid w:val="00187494"/>
    <w:rsid w:val="001E09A0"/>
    <w:rsid w:val="001F32AE"/>
    <w:rsid w:val="002767FF"/>
    <w:rsid w:val="002B18FE"/>
    <w:rsid w:val="002B5493"/>
    <w:rsid w:val="003061BF"/>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E5816"/>
    <w:rsid w:val="006F74FA"/>
    <w:rsid w:val="00731ADD"/>
    <w:rsid w:val="00734777"/>
    <w:rsid w:val="00747932"/>
    <w:rsid w:val="00751A4A"/>
    <w:rsid w:val="00756632"/>
    <w:rsid w:val="00762C74"/>
    <w:rsid w:val="007849EF"/>
    <w:rsid w:val="00786EC0"/>
    <w:rsid w:val="007D1690"/>
    <w:rsid w:val="007E22AD"/>
    <w:rsid w:val="007F44B0"/>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558FC"/>
    <w:rsid w:val="00C61C0C"/>
    <w:rsid w:val="00C941CB"/>
    <w:rsid w:val="00CC2357"/>
    <w:rsid w:val="00CF071A"/>
    <w:rsid w:val="00D058B8"/>
    <w:rsid w:val="00D56C11"/>
    <w:rsid w:val="00D639D0"/>
    <w:rsid w:val="00D834A0"/>
    <w:rsid w:val="00D872DF"/>
    <w:rsid w:val="00D91E21"/>
    <w:rsid w:val="00DA7FCD"/>
    <w:rsid w:val="00E365E1"/>
    <w:rsid w:val="00E547FA"/>
    <w:rsid w:val="00E820A4"/>
    <w:rsid w:val="00EB006A"/>
    <w:rsid w:val="00EB4772"/>
    <w:rsid w:val="00ED169E"/>
    <w:rsid w:val="00ED4235"/>
    <w:rsid w:val="00F04346"/>
    <w:rsid w:val="00F075DC"/>
    <w:rsid w:val="00F149E9"/>
    <w:rsid w:val="00F46B9A"/>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7BA257"/>
  <w15:chartTrackingRefBased/>
  <w15:docId w15:val="{BFA1A21F-650B-43F9-852A-CC52DCF367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aliases w:val="Footnote,Footnote1,Footnote10,Footnote11,Footnote2,Footnote21,Footnote3,Footnote31,Footnote4,Footnote41,Footnote5,Footnote51,Footnote6,Footnote61,Footnote7,Footnote71,Footnote8,Footnote9,Fußnotentextf,Fußnotentextr,fn,footnote text,stile 1"/>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Char,Footnote1 Char,Footnote10 Char,Footnote11 Char,Footnote2 Char,Footnote21 Char,Footnote3 Char,Footnote31 Char,Footnote4 Char,Footnote41 Char,Footnote5 Char,Footnote51 Char,Footnote6 Char,Footnote61 Char,Footnote7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1E09A0"/>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1E09A0"/>
    <w:pPr>
      <w:spacing w:after="240"/>
    </w:pPr>
  </w:style>
  <w:style w:type="paragraph" w:customStyle="1" w:styleId="PageHeading">
    <w:name w:val="PageHeading"/>
    <w:basedOn w:val="Normal"/>
    <w:rsid w:val="001E09A0"/>
    <w:pPr>
      <w:keepNext/>
      <w:spacing w:after="480"/>
      <w:jc w:val="center"/>
    </w:pPr>
    <w:rPr>
      <w:rFonts w:ascii="Arial" w:hAnsi="Arial" w:cs="Arial"/>
      <w:b/>
    </w:rPr>
  </w:style>
  <w:style w:type="paragraph" w:customStyle="1" w:styleId="NormalHanging12a">
    <w:name w:val="NormalHanging12a"/>
    <w:basedOn w:val="Normal"/>
    <w:link w:val="NormalHanging12aChar"/>
    <w:rsid w:val="001E09A0"/>
    <w:pPr>
      <w:spacing w:after="240"/>
      <w:ind w:left="567" w:hanging="567"/>
    </w:pPr>
  </w:style>
  <w:style w:type="paragraph" w:styleId="Header">
    <w:name w:val="header"/>
    <w:basedOn w:val="Normal"/>
    <w:link w:val="HeaderChar"/>
    <w:rsid w:val="001E09A0"/>
    <w:pPr>
      <w:tabs>
        <w:tab w:val="center" w:pos="4513"/>
        <w:tab w:val="right" w:pos="9026"/>
      </w:tabs>
    </w:pPr>
  </w:style>
  <w:style w:type="character" w:customStyle="1" w:styleId="HeaderChar">
    <w:name w:val="Header Char"/>
    <w:basedOn w:val="DefaultParagraphFont"/>
    <w:link w:val="Header"/>
    <w:rsid w:val="001E09A0"/>
    <w:rPr>
      <w:sz w:val="24"/>
      <w:lang w:val="da-DK"/>
    </w:rPr>
  </w:style>
  <w:style w:type="paragraph" w:customStyle="1" w:styleId="EPFooter">
    <w:name w:val="EPFooter"/>
    <w:basedOn w:val="Normal"/>
    <w:rsid w:val="001E09A0"/>
    <w:pPr>
      <w:tabs>
        <w:tab w:val="center" w:pos="4535"/>
        <w:tab w:val="right" w:pos="9071"/>
      </w:tabs>
      <w:spacing w:before="240" w:after="240"/>
    </w:pPr>
    <w:rPr>
      <w:color w:val="010000"/>
      <w:sz w:val="22"/>
    </w:rPr>
  </w:style>
  <w:style w:type="paragraph" w:customStyle="1" w:styleId="EPComma">
    <w:name w:val="EPComma"/>
    <w:basedOn w:val="Normal"/>
    <w:rsid w:val="001E09A0"/>
    <w:pPr>
      <w:spacing w:before="480" w:after="240"/>
    </w:pPr>
  </w:style>
  <w:style w:type="character" w:styleId="Hyperlink">
    <w:name w:val="Hyperlink"/>
    <w:basedOn w:val="DefaultParagraphFont"/>
    <w:rsid w:val="001E09A0"/>
    <w:rPr>
      <w:color w:val="0563C1" w:themeColor="hyperlink"/>
      <w:u w:val="single"/>
    </w:rPr>
  </w:style>
  <w:style w:type="character" w:customStyle="1" w:styleId="NormalHanging12aChar">
    <w:name w:val="NormalHanging12a Char"/>
    <w:basedOn w:val="DefaultParagraphFont"/>
    <w:link w:val="NormalHanging12a"/>
    <w:rsid w:val="001E09A0"/>
    <w:rPr>
      <w:sz w:val="24"/>
      <w:lang w:val="da-DK"/>
    </w:rPr>
  </w:style>
  <w:style w:type="paragraph" w:customStyle="1" w:styleId="PageHeadingNotTOC">
    <w:name w:val="PageHeadingNotTOC"/>
    <w:basedOn w:val="Normal"/>
    <w:rsid w:val="001E09A0"/>
    <w:pPr>
      <w:keepNext/>
      <w:spacing w:after="480"/>
      <w:jc w:val="center"/>
    </w:pPr>
    <w:rPr>
      <w:rFonts w:ascii="Arial" w:hAnsi="Arial" w:cs="Arial"/>
      <w:b/>
    </w:rPr>
  </w:style>
  <w:style w:type="paragraph" w:customStyle="1" w:styleId="Normal24a">
    <w:name w:val="Normal24a"/>
    <w:basedOn w:val="Normal"/>
    <w:link w:val="Normal24aChar"/>
    <w:rsid w:val="001E09A0"/>
    <w:pPr>
      <w:spacing w:after="480"/>
    </w:pPr>
  </w:style>
  <w:style w:type="character" w:customStyle="1" w:styleId="Normal24aChar">
    <w:name w:val="Normal24a Char"/>
    <w:basedOn w:val="DefaultParagraphFont"/>
    <w:link w:val="Normal24a"/>
    <w:rsid w:val="001E09A0"/>
    <w:rPr>
      <w:sz w:val="24"/>
      <w:lang w:val="da-DK"/>
    </w:rPr>
  </w:style>
  <w:style w:type="paragraph" w:styleId="Footer">
    <w:name w:val="footer"/>
    <w:basedOn w:val="Normal"/>
    <w:link w:val="FooterChar"/>
    <w:rsid w:val="00F46B9A"/>
    <w:pPr>
      <w:tabs>
        <w:tab w:val="center" w:pos="4513"/>
        <w:tab w:val="right" w:pos="9026"/>
      </w:tabs>
    </w:pPr>
  </w:style>
  <w:style w:type="character" w:customStyle="1" w:styleId="FooterChar">
    <w:name w:val="Footer Char"/>
    <w:basedOn w:val="DefaultParagraphFont"/>
    <w:link w:val="Footer"/>
    <w:rsid w:val="00F46B9A"/>
    <w:rPr>
      <w:sz w:val="24"/>
      <w:lang w:val="da-DK"/>
    </w:rPr>
  </w:style>
  <w:style w:type="paragraph" w:styleId="BalloonText">
    <w:name w:val="Balloon Text"/>
    <w:basedOn w:val="Normal"/>
    <w:link w:val="BalloonTextChar"/>
    <w:rsid w:val="00C558FC"/>
    <w:rPr>
      <w:rFonts w:ascii="Segoe UI" w:hAnsi="Segoe UI" w:cs="Segoe UI"/>
      <w:sz w:val="18"/>
      <w:szCs w:val="18"/>
    </w:rPr>
  </w:style>
  <w:style w:type="character" w:customStyle="1" w:styleId="BalloonTextChar">
    <w:name w:val="Balloon Text Char"/>
    <w:basedOn w:val="DefaultParagraphFont"/>
    <w:link w:val="BalloonText"/>
    <w:rsid w:val="00C558FC"/>
    <w:rPr>
      <w:rFonts w:ascii="Segoe UI" w:hAnsi="Segoe UI" w:cs="Segoe UI"/>
      <w:sz w:val="18"/>
      <w:szCs w:val="18"/>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eur-lex.europa.eu/legal-content/DA/TXT/?uri=CELEX:52017AP0030" TargetMode="External"/><Relationship Id="rId2" Type="http://schemas.openxmlformats.org/officeDocument/2006/relationships/hyperlink" Target="https://eur-lex.europa.eu/legal-content/DA/TXT/?uri=CELEX:22017X0114(01)" TargetMode="External"/><Relationship Id="rId1" Type="http://schemas.openxmlformats.org/officeDocument/2006/relationships/hyperlink" Target="http://data.europa.eu/eli/agree_internation/2017/3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C72D58-8950-4476-A680-C4055043E8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4029</Words>
  <Characters>22971</Characters>
  <Application>Microsoft Office Word</Application>
  <DocSecurity>0</DocSecurity>
  <Lines>191</Lines>
  <Paragraphs>53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NIELSEN Anja</dc:creator>
  <cp:keywords/>
  <cp:lastModifiedBy>LITTLEJOHN Anne Louise</cp:lastModifiedBy>
  <cp:revision>2</cp:revision>
  <cp:lastPrinted>2004-11-19T15:42:00Z</cp:lastPrinted>
  <dcterms:created xsi:type="dcterms:W3CDTF">2024-02-14T10:06:00Z</dcterms:created>
  <dcterms:modified xsi:type="dcterms:W3CDTF">2024-02-14T10:06:00Z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A9-0400/2023</vt:lpwstr>
  </property>
  <property fmtid="{D5CDD505-2E9C-101B-9397-08002B2CF9AE}" pid="4" name="&lt;Type&gt;">
    <vt:lpwstr>RR</vt:lpwstr>
  </property>
</Properties>
</file>