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710E6" w:rsidTr="0010095E">
        <w:trPr>
          <w:trHeight w:hRule="exact" w:val="1418"/>
        </w:trPr>
        <w:tc>
          <w:tcPr>
            <w:tcW w:w="6804" w:type="dxa"/>
            <w:shd w:val="clear" w:color="auto" w:fill="auto"/>
            <w:vAlign w:val="center"/>
          </w:tcPr>
          <w:p w:rsidR="00751A4A" w:rsidRPr="009710E6" w:rsidRDefault="00E06258" w:rsidP="0010095E">
            <w:pPr>
              <w:pStyle w:val="EPName"/>
            </w:pPr>
            <w:r w:rsidRPr="009710E6">
              <w:t>Ευρωπαϊκό Κοινοβούλιο</w:t>
            </w:r>
          </w:p>
          <w:p w:rsidR="00751A4A" w:rsidRPr="009710E6" w:rsidRDefault="00817416" w:rsidP="00756632">
            <w:pPr>
              <w:pStyle w:val="EPTerm"/>
              <w:rPr>
                <w:rStyle w:val="HideTWBExt"/>
                <w:noProof w:val="0"/>
                <w:vanish w:val="0"/>
                <w:color w:val="auto"/>
              </w:rPr>
            </w:pPr>
            <w:r w:rsidRPr="009710E6">
              <w:t>2019-2024</w:t>
            </w:r>
          </w:p>
        </w:tc>
        <w:tc>
          <w:tcPr>
            <w:tcW w:w="2268" w:type="dxa"/>
            <w:shd w:val="clear" w:color="auto" w:fill="auto"/>
          </w:tcPr>
          <w:p w:rsidR="00751A4A" w:rsidRPr="009710E6" w:rsidRDefault="00187494" w:rsidP="0010095E">
            <w:pPr>
              <w:pStyle w:val="EPLogo"/>
            </w:pPr>
            <w:r w:rsidRPr="009710E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710E6" w:rsidRDefault="00D058B8" w:rsidP="004C5D52">
      <w:pPr>
        <w:pStyle w:val="LineTop"/>
      </w:pPr>
    </w:p>
    <w:p w:rsidR="00680577" w:rsidRPr="009710E6" w:rsidRDefault="00E06258" w:rsidP="00680577">
      <w:pPr>
        <w:pStyle w:val="EPBodyTA1"/>
      </w:pPr>
      <w:r w:rsidRPr="009710E6">
        <w:t>ΚΕΙΜΕΝΑ ΠΟΥ ΕΓΚΡΙΘΗΚΑΝ</w:t>
      </w:r>
    </w:p>
    <w:p w:rsidR="00D058B8" w:rsidRPr="009710E6" w:rsidRDefault="00D058B8" w:rsidP="00D058B8">
      <w:pPr>
        <w:pStyle w:val="LineBottom"/>
      </w:pPr>
    </w:p>
    <w:p w:rsidR="00E06258" w:rsidRPr="009710E6" w:rsidRDefault="00E06258" w:rsidP="00E06258">
      <w:pPr>
        <w:pStyle w:val="ATHeading1"/>
      </w:pPr>
      <w:bookmarkStart w:id="0" w:name="TANumber"/>
      <w:r w:rsidRPr="009710E6">
        <w:t>P9_TA(2024)00</w:t>
      </w:r>
      <w:r w:rsidR="009710E6" w:rsidRPr="009710E6">
        <w:t>26</w:t>
      </w:r>
      <w:bookmarkEnd w:id="0"/>
    </w:p>
    <w:p w:rsidR="00E06258" w:rsidRPr="009710E6" w:rsidRDefault="009E3E82" w:rsidP="00E06258">
      <w:pPr>
        <w:pStyle w:val="ATHeading2"/>
      </w:pPr>
      <w:bookmarkStart w:id="1" w:name="title"/>
      <w:r w:rsidRPr="009710E6">
        <w:t>Εφαρμογή της συνολικής οικονομικής και εμπορικής συμφωνίας (ΣΟΕΣ) ΕΕ-Καναδά</w:t>
      </w:r>
      <w:bookmarkEnd w:id="1"/>
    </w:p>
    <w:p w:rsidR="00E06258" w:rsidRPr="009710E6" w:rsidRDefault="00E06258" w:rsidP="00E06258">
      <w:pPr>
        <w:rPr>
          <w:i/>
          <w:vanish/>
        </w:rPr>
      </w:pPr>
      <w:r w:rsidRPr="009710E6">
        <w:rPr>
          <w:i/>
        </w:rPr>
        <w:fldChar w:fldCharType="begin"/>
      </w:r>
      <w:r w:rsidRPr="009710E6">
        <w:rPr>
          <w:i/>
        </w:rPr>
        <w:instrText xml:space="preserve"> TC"(</w:instrText>
      </w:r>
      <w:bookmarkStart w:id="2" w:name="DocNumber"/>
      <w:r w:rsidRPr="009710E6">
        <w:rPr>
          <w:i/>
        </w:rPr>
        <w:instrText>A9-0400/2023</w:instrText>
      </w:r>
      <w:bookmarkEnd w:id="2"/>
      <w:r w:rsidRPr="009710E6">
        <w:rPr>
          <w:i/>
        </w:rPr>
        <w:instrText xml:space="preserve"> - Εισηγητής: Javier Moreno Sánchez)"\l3 \n&gt; \* MERGEFORMAT </w:instrText>
      </w:r>
      <w:r w:rsidRPr="009710E6">
        <w:rPr>
          <w:i/>
        </w:rPr>
        <w:fldChar w:fldCharType="end"/>
      </w:r>
    </w:p>
    <w:p w:rsidR="00E06258" w:rsidRPr="009710E6" w:rsidRDefault="00E06258" w:rsidP="00E06258">
      <w:pPr>
        <w:rPr>
          <w:vanish/>
        </w:rPr>
      </w:pPr>
      <w:bookmarkStart w:id="3" w:name="Commission"/>
      <w:r w:rsidRPr="009710E6">
        <w:rPr>
          <w:vanish/>
        </w:rPr>
        <w:t>Επιτροπή Διεθνούς Εμπορίου</w:t>
      </w:r>
      <w:bookmarkEnd w:id="3"/>
    </w:p>
    <w:p w:rsidR="00E06258" w:rsidRPr="009710E6" w:rsidRDefault="00E06258" w:rsidP="00E06258">
      <w:pPr>
        <w:rPr>
          <w:vanish/>
        </w:rPr>
      </w:pPr>
      <w:bookmarkStart w:id="4" w:name="PE"/>
      <w:r w:rsidRPr="009710E6">
        <w:rPr>
          <w:vanish/>
        </w:rPr>
        <w:t>PE753.671</w:t>
      </w:r>
      <w:bookmarkEnd w:id="4"/>
    </w:p>
    <w:p w:rsidR="00E06258" w:rsidRPr="009710E6" w:rsidRDefault="00E06258" w:rsidP="00E06258">
      <w:pPr>
        <w:pStyle w:val="ATHeading3"/>
      </w:pPr>
      <w:bookmarkStart w:id="5" w:name="Sujet"/>
      <w:r w:rsidRPr="009710E6">
        <w:t xml:space="preserve">Ψήφισμα του Ευρωπαϊκού Κοινοβουλίου </w:t>
      </w:r>
      <w:r w:rsidR="009E3E82" w:rsidRPr="009710E6">
        <w:t xml:space="preserve">της </w:t>
      </w:r>
      <w:r w:rsidR="00C85AFB" w:rsidRPr="009710E6">
        <w:t>17</w:t>
      </w:r>
      <w:r w:rsidR="009E3E82" w:rsidRPr="009710E6">
        <w:t xml:space="preserve">ης Ιανουαρίου 2024 </w:t>
      </w:r>
      <w:r w:rsidRPr="009710E6">
        <w:t>σχετικά με την εφαρμογή της συνολικής οικονομικής και εμπορικής συμφωνίας (ΣΟΕΣ) ΕΕ-Καναδά</w:t>
      </w:r>
      <w:bookmarkEnd w:id="5"/>
      <w:r w:rsidRPr="009710E6">
        <w:t xml:space="preserve"> </w:t>
      </w:r>
      <w:bookmarkStart w:id="6" w:name="References"/>
      <w:r w:rsidRPr="009710E6">
        <w:t>(2023/2001(INI))</w:t>
      </w:r>
      <w:bookmarkEnd w:id="6"/>
    </w:p>
    <w:p w:rsidR="002D5EA4" w:rsidRPr="009710E6" w:rsidRDefault="002D5EA4" w:rsidP="002D5EA4">
      <w:pPr>
        <w:pStyle w:val="EPComma"/>
      </w:pPr>
      <w:bookmarkStart w:id="7" w:name="TextBodyBegin"/>
      <w:bookmarkEnd w:id="7"/>
      <w:r w:rsidRPr="009710E6">
        <w:rPr>
          <w:i/>
          <w:iCs/>
        </w:rPr>
        <w:t>Το Ευρωπαϊκό Κοινοβούλιο</w:t>
      </w:r>
      <w:r w:rsidRPr="009710E6">
        <w:t>,</w:t>
      </w:r>
    </w:p>
    <w:p w:rsidR="002D5EA4" w:rsidRPr="009710E6" w:rsidRDefault="002D5EA4" w:rsidP="009E3E82">
      <w:pPr>
        <w:pStyle w:val="NormalHanging12a"/>
        <w:widowControl/>
      </w:pPr>
      <w:r w:rsidRPr="009710E6">
        <w:t>–</w:t>
      </w:r>
      <w:r w:rsidRPr="009710E6">
        <w:tab/>
        <w:t>έχοντας υπόψη τη συνολική οικονομική και εμπορική συμφωνία (ΣΟΕΣ) μεταξύ του Καναδά, αφενός, και της Ευρωπαϊκής Ένωσης και των κρατών μελών της, αφετέρου</w:t>
      </w:r>
      <w:r w:rsidRPr="009710E6">
        <w:rPr>
          <w:rStyle w:val="FootnoteReference"/>
        </w:rPr>
        <w:footnoteReference w:id="1"/>
      </w:r>
      <w:r w:rsidRPr="009710E6">
        <w:t>,</w:t>
      </w:r>
    </w:p>
    <w:p w:rsidR="002D5EA4" w:rsidRPr="009710E6" w:rsidRDefault="002D5EA4" w:rsidP="009E3E82">
      <w:pPr>
        <w:pStyle w:val="NormalHanging12a"/>
        <w:widowControl/>
        <w:rPr>
          <w:b/>
          <w:i/>
        </w:rPr>
      </w:pPr>
      <w:r w:rsidRPr="009710E6">
        <w:t>–</w:t>
      </w:r>
      <w:r w:rsidRPr="009710E6">
        <w:tab/>
        <w:t>έχοντας υπόψη την κοινή ερμηνευτική πράξη για τη συνολική οικονομική και εμπορική συμφωνία (CETA) μεταξύ του Καναδά και της Ευρωπαϊκής Ένωσης και των κρατών μελών της</w:t>
      </w:r>
      <w:r w:rsidRPr="009710E6">
        <w:rPr>
          <w:rStyle w:val="FootnoteReference"/>
        </w:rPr>
        <w:footnoteReference w:id="2"/>
      </w:r>
      <w:r w:rsidRPr="009710E6">
        <w:t>,</w:t>
      </w:r>
    </w:p>
    <w:p w:rsidR="002D5EA4" w:rsidRPr="009710E6" w:rsidRDefault="002D5EA4" w:rsidP="009E3E82">
      <w:pPr>
        <w:pStyle w:val="NormalHanging12a"/>
        <w:widowControl/>
      </w:pPr>
      <w:r w:rsidRPr="009710E6">
        <w:t>–</w:t>
      </w:r>
      <w:r w:rsidRPr="009710E6">
        <w:tab/>
        <w:t>έχοντας υπόψη τη στρατηγική εταιρική σχέση για τις κρίσιμες πρώτες ύλες μεταξύ του Καναδά, αφενός, και της Ευρωπαϊκής Ένωσης και των κρατών μελών της, αφετέρου, η οποία συμφωνήθηκε και δρομολογήθηκε κατά τη σύνοδο κορυφής ΕΕ-Καναδά στις 14-15 Ιουνίου 2021,</w:t>
      </w:r>
    </w:p>
    <w:p w:rsidR="002D5EA4" w:rsidRPr="009710E6" w:rsidRDefault="002D5EA4" w:rsidP="009E3E82">
      <w:pPr>
        <w:pStyle w:val="NormalHanging12a"/>
        <w:widowControl/>
      </w:pPr>
      <w:r w:rsidRPr="009710E6">
        <w:t>–</w:t>
      </w:r>
      <w:r w:rsidRPr="009710E6">
        <w:tab/>
        <w:t>έχοντας υπόψη την απόφαση αριθ. X/2023 της μεικτής επιτροπής ΣΟΕΣ σχετικά με την ερμηνεία ορισμένων όρων του άρθρου 8.10 παράρτημα 8-Α και του άρθρου 8.39,</w:t>
      </w:r>
    </w:p>
    <w:p w:rsidR="002D5EA4" w:rsidRPr="009710E6" w:rsidRDefault="002D5EA4" w:rsidP="009E3E82">
      <w:pPr>
        <w:pStyle w:val="NormalHanging12a"/>
        <w:widowControl/>
      </w:pPr>
      <w:r w:rsidRPr="009710E6">
        <w:t>–</w:t>
      </w:r>
      <w:r w:rsidRPr="009710E6">
        <w:tab/>
        <w:t>έχοντας υπόψη τη θέση του της 15ης Φεβρουαρίου 2017, σχετικά με το σχέδιο απόφασης του Συμβουλίου για τη σύναψη της συνολικής οικονομικής και εμπορικής συμφωνίας (ΣΟΕΣ) μεταξύ του Καναδά, αφενός, και της Ευρωπαϊκής Ένωσης και των κρατών μελών της, αφετέρου</w:t>
      </w:r>
      <w:r w:rsidRPr="009710E6">
        <w:rPr>
          <w:rStyle w:val="FootnoteReference"/>
        </w:rPr>
        <w:footnoteReference w:id="3"/>
      </w:r>
      <w:r w:rsidRPr="009710E6">
        <w:t>,</w:t>
      </w:r>
    </w:p>
    <w:p w:rsidR="002D5EA4" w:rsidRPr="009710E6" w:rsidRDefault="002D5EA4" w:rsidP="009E3E82">
      <w:pPr>
        <w:pStyle w:val="NormalHanging12a"/>
        <w:widowControl/>
      </w:pPr>
      <w:r w:rsidRPr="009710E6">
        <w:t>–</w:t>
      </w:r>
      <w:r w:rsidRPr="009710E6">
        <w:tab/>
        <w:t xml:space="preserve">έχοντας υπόψη τη γνώμη 2/15 του Δικαστηρίου της Ευρωπαϊκής Ένωσης της 16ης Μαΐου 2017 δυνάμει του άρθρου 218 παράγραφος 11 ΣΛΕΕ σχετικά με τη Συμφωνία </w:t>
      </w:r>
      <w:r w:rsidRPr="009710E6">
        <w:lastRenderedPageBreak/>
        <w:t>Ελευθέρων Συναλλαγών μεταξύ της Ευρωπαϊκής Ένωσης και της Δημοκρατίας της Σινγκαπούρης</w:t>
      </w:r>
      <w:r w:rsidRPr="009710E6">
        <w:rPr>
          <w:rStyle w:val="FootnoteReference"/>
        </w:rPr>
        <w:footnoteReference w:id="4"/>
      </w:r>
      <w:r w:rsidRPr="009710E6">
        <w:t>,</w:t>
      </w:r>
    </w:p>
    <w:p w:rsidR="002D5EA4" w:rsidRPr="009710E6" w:rsidRDefault="002D5EA4" w:rsidP="009E3E82">
      <w:pPr>
        <w:pStyle w:val="NormalHanging12a"/>
        <w:widowControl/>
      </w:pPr>
      <w:r w:rsidRPr="009710E6">
        <w:t>–</w:t>
      </w:r>
      <w:r w:rsidRPr="009710E6">
        <w:tab/>
        <w:t>έχοντας υπόψη τις κοινές δηλώσεις των εγχώριων συμβουλευτικών ομάδων της ΕΕ και του Καναδά,</w:t>
      </w:r>
    </w:p>
    <w:p w:rsidR="002D5EA4" w:rsidRPr="009710E6" w:rsidRDefault="002D5EA4" w:rsidP="009E3E82">
      <w:pPr>
        <w:pStyle w:val="NormalHanging12a"/>
        <w:widowControl/>
      </w:pPr>
      <w:r w:rsidRPr="009710E6">
        <w:t>–</w:t>
      </w:r>
      <w:r w:rsidRPr="009710E6">
        <w:tab/>
        <w:t>έχοντας υπόψη την από 11ης Οκτωβρίου 2022 έκθεση της Επιτροπής σχετικά με την εφαρμογή και την επιβολή των εμπορικών συμφωνιών (COM(2022)0730),</w:t>
      </w:r>
    </w:p>
    <w:p w:rsidR="002D5EA4" w:rsidRPr="009710E6" w:rsidRDefault="002D5EA4" w:rsidP="009E3E82">
      <w:pPr>
        <w:pStyle w:val="NormalHanging12a"/>
        <w:widowControl/>
      </w:pPr>
      <w:r w:rsidRPr="009710E6">
        <w:t>–</w:t>
      </w:r>
      <w:r w:rsidRPr="009710E6">
        <w:tab/>
        <w:t>έχοντας υπόψη την ανακοίνωση της Επιτροπής, της 22ας Ιουνίου 2022, με τίτλο «Η ισχύς των εμπορικών εταιρικών σχέσεων: μαζί για μια πράσινη και δίκαιη οικονομική ανάπτυξη» (COM(2022)0409),</w:t>
      </w:r>
    </w:p>
    <w:p w:rsidR="002D5EA4" w:rsidRPr="009710E6" w:rsidRDefault="002D5EA4" w:rsidP="009E3E82">
      <w:pPr>
        <w:pStyle w:val="NormalHanging12a"/>
        <w:widowControl/>
      </w:pPr>
      <w:r w:rsidRPr="009710E6">
        <w:t>–</w:t>
      </w:r>
      <w:r w:rsidRPr="009710E6">
        <w:tab/>
        <w:t>έχοντας υπόψη την από 31ης Μαρτίου 2023 έκθεση της μεικτής επιτροπής ΣΟΕΣ, μετά την τρίτη συνεδρίασή της,</w:t>
      </w:r>
    </w:p>
    <w:p w:rsidR="002D5EA4" w:rsidRPr="009710E6" w:rsidRDefault="002D5EA4" w:rsidP="009E3E82">
      <w:pPr>
        <w:pStyle w:val="NormalHanging12a"/>
        <w:widowControl/>
      </w:pPr>
      <w:r w:rsidRPr="009710E6">
        <w:t>–</w:t>
      </w:r>
      <w:r w:rsidRPr="009710E6">
        <w:tab/>
        <w:t>έχοντας υπόψη το ψήφισμά του, της 23ης Ιουνίου 2022, σχετικά με το μέλλον της πολιτικής διεθνών επενδύσεων της ΕΕ</w:t>
      </w:r>
      <w:r w:rsidRPr="009710E6">
        <w:rPr>
          <w:rStyle w:val="FootnoteReference"/>
        </w:rPr>
        <w:footnoteReference w:id="5"/>
      </w:r>
      <w:r w:rsidRPr="009710E6">
        <w:t>,</w:t>
      </w:r>
    </w:p>
    <w:p w:rsidR="002D5EA4" w:rsidRPr="009710E6" w:rsidRDefault="002D5EA4" w:rsidP="009E3E82">
      <w:pPr>
        <w:pStyle w:val="NormalHanging12a"/>
        <w:widowControl/>
      </w:pPr>
      <w:r w:rsidRPr="009710E6">
        <w:t>–</w:t>
      </w:r>
      <w:r w:rsidRPr="009710E6">
        <w:tab/>
        <w:t>έχοντας υπόψη τις συστάσεις της μεικτής επιτροπής CETA, της 26</w:t>
      </w:r>
      <w:r w:rsidR="009E3E82" w:rsidRPr="009710E6">
        <w:t>ης</w:t>
      </w:r>
      <w:r w:rsidRPr="009710E6">
        <w:t xml:space="preserve"> Σεπτεμβρίου 2018, σχετικά με το εμπόριο, τη δράση για το κλίμα και τη συμφωνία του Παρισιού, για το εμπόριο και την ισότητα των φύλων και για τις μικρομεσαίες επιχειρήσεις (ΜΜΕ),</w:t>
      </w:r>
    </w:p>
    <w:p w:rsidR="002D5EA4" w:rsidRPr="009710E6" w:rsidRDefault="002D5EA4" w:rsidP="009E3E82">
      <w:pPr>
        <w:pStyle w:val="NormalHanging12a"/>
        <w:widowControl/>
      </w:pPr>
      <w:r w:rsidRPr="009710E6">
        <w:t>–</w:t>
      </w:r>
      <w:r w:rsidRPr="009710E6">
        <w:tab/>
        <w:t>έχοντας υπόψη την ανακοίνωση της Επιτροπής, της 5ης Μαρτίου 2020, με τίτλο «Μια Ένωση ισότητας: Στρατηγική για την ισότητα των φύλων 2020-2025» (COM(2020)0152),</w:t>
      </w:r>
    </w:p>
    <w:p w:rsidR="002D5EA4" w:rsidRPr="009710E6" w:rsidRDefault="002D5EA4" w:rsidP="009E3E82">
      <w:pPr>
        <w:pStyle w:val="NormalHanging12a"/>
        <w:widowControl/>
      </w:pPr>
      <w:r w:rsidRPr="009710E6">
        <w:t>–</w:t>
      </w:r>
      <w:r w:rsidRPr="009710E6">
        <w:tab/>
        <w:t>έχοντας υπόψη τις εκθέσεις των διαφόρων ειδικών επιτροπών, του φόρουμ της κοινωνίας των πολιτών και του φόρουμ ρυθμιστικής συνεργασίας,</w:t>
      </w:r>
    </w:p>
    <w:p w:rsidR="002D5EA4" w:rsidRPr="009710E6" w:rsidRDefault="002D5EA4" w:rsidP="009E3E82">
      <w:pPr>
        <w:pStyle w:val="NormalHanging12a"/>
        <w:widowControl/>
      </w:pPr>
      <w:r w:rsidRPr="009710E6">
        <w:t>–</w:t>
      </w:r>
      <w:r w:rsidRPr="009710E6">
        <w:tab/>
        <w:t>έχοντας υπόψη την έκτη έκθεση αξιολόγησης της Διακυβερνητικής Επιτροπής για την Κλιματική Αλλαγή (IPCC) που δημοσιεύθηκε στις 20 Μαρτίου 2023,</w:t>
      </w:r>
    </w:p>
    <w:p w:rsidR="002D5EA4" w:rsidRPr="009710E6" w:rsidRDefault="002D5EA4" w:rsidP="009E3E82">
      <w:pPr>
        <w:pStyle w:val="NormalHanging12a"/>
        <w:widowControl/>
      </w:pPr>
      <w:r w:rsidRPr="009710E6">
        <w:t>–</w:t>
      </w:r>
      <w:r w:rsidRPr="009710E6">
        <w:tab/>
        <w:t>έχοντας υπόψη τους διαδοχικούς ελέγχους που διενεργήθηκαν το 2014, το 2019 και το 2022 από τη Γενική Διεύθυνση Υγείας και Ασφάλειας των Τροφίμων της Επιτροπής σχετικά με την ιχνηλασιμότητα και την ποιότητα των υφιστάμενων συστημάτων ελέγχου που διέπουν την παραγωγή βοείου και χοιρείου κρέατος που προορίζεται για εξαγωγή στην Ευρωπαϊκή Ένωση,</w:t>
      </w:r>
    </w:p>
    <w:p w:rsidR="002D5EA4" w:rsidRPr="009710E6" w:rsidRDefault="002D5EA4" w:rsidP="009E3E82">
      <w:pPr>
        <w:pStyle w:val="NormalHanging12a"/>
        <w:widowControl/>
      </w:pPr>
      <w:r w:rsidRPr="009710E6">
        <w:t>–</w:t>
      </w:r>
      <w:r w:rsidRPr="009710E6">
        <w:tab/>
        <w:t>έχοντας υπόψη το άρθρο 54 του Κανονισμού του, καθώς και το άρθρο 1 παράγραφος 1 στοιχείο ε) και το παράρτημα 3 της απόφασης της Διάσκεψης των Προέδρων, με ημερομηνία 12 Δεκεμβρίου 2002, σχετικά με τη διαδικασία έγκρισης για την εκπόνηση εκθέσεων πρωτοβουλίας,</w:t>
      </w:r>
    </w:p>
    <w:p w:rsidR="002D5EA4" w:rsidRPr="009710E6" w:rsidRDefault="002D5EA4" w:rsidP="009E3E82">
      <w:pPr>
        <w:pStyle w:val="NormalHanging12a"/>
        <w:widowControl/>
      </w:pPr>
      <w:r w:rsidRPr="009710E6">
        <w:t>–</w:t>
      </w:r>
      <w:r w:rsidRPr="009710E6">
        <w:tab/>
        <w:t>έχοντας υπόψη τη γνωμοδότηση της Επιτροπής Γεωργίας και Ανάπτυξης της Υπαίθρου,</w:t>
      </w:r>
    </w:p>
    <w:p w:rsidR="002D5EA4" w:rsidRPr="009710E6" w:rsidRDefault="002D5EA4" w:rsidP="009E3E82">
      <w:pPr>
        <w:pStyle w:val="NormalHanging12a"/>
        <w:widowControl/>
      </w:pPr>
      <w:r w:rsidRPr="009710E6">
        <w:lastRenderedPageBreak/>
        <w:t>–</w:t>
      </w:r>
      <w:r w:rsidRPr="009710E6">
        <w:tab/>
        <w:t>έχοντας υπόψη την έκθεση της Επιτροπής Διεθνούς Εμπορίου (A9-0400/2023),</w:t>
      </w:r>
    </w:p>
    <w:p w:rsidR="002D5EA4" w:rsidRPr="009710E6" w:rsidRDefault="002D5EA4" w:rsidP="009E3E82">
      <w:pPr>
        <w:pStyle w:val="NormalHanging12a"/>
        <w:widowControl/>
      </w:pPr>
      <w:r w:rsidRPr="009710E6">
        <w:t>Α.</w:t>
      </w:r>
      <w:r w:rsidRPr="009710E6">
        <w:tab/>
        <w:t>λαμβάνοντας υπόψη ότι η ΣΟΕΣ ήταν η πρώτη εμπορική συμφωνία που συνήψε η ΕΕ με άλλη σημαντική οικονομία του ΟΟΣΑ μετά την Νότια Κορέα· λαμβάνοντας υπόψη ότι ήταν επίσης η πιο φιλόδοξη και ολοκληρωμένη συμφωνία που είχε συνάψει έως τότε τόσο η ΕΕ όσο και ο Καναδάς, συμπεριλαμβανομένης της άνευ προηγουμένου πρόσβασης στις δημόσιες συμβάσεις σε υπο-ομοσπονδιακό και ομοσπονδιακό επίπεδο·</w:t>
      </w:r>
    </w:p>
    <w:p w:rsidR="002D5EA4" w:rsidRPr="009710E6" w:rsidRDefault="002D5EA4" w:rsidP="009E3E82">
      <w:pPr>
        <w:pStyle w:val="NormalHanging12a"/>
        <w:widowControl/>
      </w:pPr>
      <w:r w:rsidRPr="009710E6">
        <w:t>Β.</w:t>
      </w:r>
      <w:r w:rsidRPr="009710E6">
        <w:tab/>
        <w:t>λαμβάνοντας υπόψη ότι η ΣΟΕΣ εφαρμόζεται προσωρινά από τις 21 Σεπτεμβρίου 2017, δηλαδή εδώ και περισσότερα από έξι έτη·</w:t>
      </w:r>
    </w:p>
    <w:p w:rsidR="002D5EA4" w:rsidRPr="009710E6" w:rsidRDefault="002D5EA4" w:rsidP="009E3E82">
      <w:pPr>
        <w:pStyle w:val="NormalHanging12a"/>
        <w:widowControl/>
      </w:pPr>
      <w:r w:rsidRPr="009710E6">
        <w:t>Γ.</w:t>
      </w:r>
      <w:r w:rsidRPr="009710E6">
        <w:tab/>
        <w:t>λαμβάνοντας υπόψη ότι σημαντικές διατάξεις, ιδίως όσον αφορά την προστασία των επενδύσεων, δεν έχουν ακόμη εφαρμοστεί, καθώς δεν έχουν κυρώσει όλα τα κράτη μέλη τη συμφωνία·</w:t>
      </w:r>
    </w:p>
    <w:p w:rsidR="002D5EA4" w:rsidRPr="009710E6" w:rsidRDefault="002D5EA4" w:rsidP="009E3E82">
      <w:pPr>
        <w:pStyle w:val="NormalHanging12a"/>
        <w:widowControl/>
      </w:pPr>
      <w:r w:rsidRPr="009710E6">
        <w:t>Δ.</w:t>
      </w:r>
      <w:r w:rsidRPr="009710E6">
        <w:tab/>
        <w:t>λαμβάνοντας υπόψη ότι ο Καναδάς και η ΕΕ οριστικοποιούν σχέδιο απόφασης της μεικτής επιτροπής ΣΟΕΣ σχετικά με την ερμηνεία ορισμένων όρων στο άρθρο 8.10, το παράρτημα 8-Α και το άρθρο 8.39, όπου προσδιορίζεται η αποστολή του δικαιώματος ρύθμισης στο πλαίσιο του κεφαλαίου για την προστασία των επενδύσεων και σχετικά με τη διευκόλυνση της πρόσβασης των ΜΜΕ στο σύστημα επενδυτικών δικαστηρίων βάσει της ΣΟΕΣ·</w:t>
      </w:r>
    </w:p>
    <w:p w:rsidR="002D5EA4" w:rsidRPr="009710E6" w:rsidRDefault="002D5EA4" w:rsidP="009E3E82">
      <w:pPr>
        <w:pStyle w:val="NormalHanging12a"/>
        <w:widowControl/>
      </w:pPr>
      <w:r w:rsidRPr="009710E6">
        <w:t>Ε.</w:t>
      </w:r>
      <w:r w:rsidRPr="009710E6">
        <w:tab/>
        <w:t>λαμβάνοντας υπόψη ότι η ΕΕ ήταν ο τρίτος μεγαλύτερος εμπορικός εταίρος του Καναδά μετά τις Ηνωμένες Πολιτείες και την Κίνα, αντιπροσωπεύοντας το 8,2</w:t>
      </w:r>
      <w:r w:rsidR="009E3E82" w:rsidRPr="009710E6">
        <w:t> </w:t>
      </w:r>
      <w:r w:rsidRPr="009710E6">
        <w:t>% των εμπορευματικών συναλλαγών του με τον κόσμο το 2022· λαμβάνοντας υπόψη ότι ο Καναδάς κατέλαβε την 14η θέση μεταξύ των διεθνών εμπορικών εταίρων της ΕΕ για το ίδιο έτος, αντιπροσωπεύοντας σχεδόν το 1,4</w:t>
      </w:r>
      <w:r w:rsidR="009E3E82" w:rsidRPr="009710E6">
        <w:t> </w:t>
      </w:r>
      <w:r w:rsidRPr="009710E6">
        <w:t>% του συνολικού εξωτερικού εμπορίου αγαθών της ΕΕ·</w:t>
      </w:r>
    </w:p>
    <w:p w:rsidR="002D5EA4" w:rsidRPr="009710E6" w:rsidRDefault="002D5EA4" w:rsidP="009E3E82">
      <w:pPr>
        <w:pStyle w:val="NormalHanging12a"/>
        <w:widowControl/>
      </w:pPr>
      <w:r w:rsidRPr="009710E6">
        <w:t>ΣΤ.</w:t>
      </w:r>
      <w:r w:rsidRPr="009710E6">
        <w:tab/>
        <w:t>λαμβάνοντας υπόψη ότι ο επιθετικός πόλεμος της Ρωσίας κατά της Ουκρανίας έχει καταδείξει την ανάγκη να διαφοροποιηθούν οι εμπορικές συμφωνίες και να μειωθεί η εξάρτηση από εισαγωγές και εξαγωγές από περιορισμένο αριθμό εμπορικών εταίρων, ενώ έχει καταδείξει και τη σημασία της σύναψης εμπορικών συμφωνιών με ομόφρονες εταίρους·</w:t>
      </w:r>
    </w:p>
    <w:p w:rsidR="002D5EA4" w:rsidRPr="009710E6" w:rsidRDefault="002D5EA4" w:rsidP="009E3E82">
      <w:pPr>
        <w:pStyle w:val="NormalHanging12a"/>
        <w:widowControl/>
      </w:pPr>
      <w:r w:rsidRPr="009710E6">
        <w:t>Ζ.</w:t>
      </w:r>
      <w:r w:rsidRPr="009710E6">
        <w:tab/>
        <w:t>λαμβάνοντας υπόψη ότι η ουσιαστική εφαρμογή και παρακολούθηση των εμπορικών συμφωνιών της ΕΕ αποτελεί βασική προτεραιότητα του Κοινοβουλίου, του Συμβουλίου και της Επιτροπής, προκειμένου να παρακολουθείται, να αξιολογείται και να προσαρμόζεται η κοινή εμπορική πολιτική της ΕΕ· λαμβάνοντας υπόψη ότι η εκπόνηση εκθέσεων σχετικά με την εφαρμογή της συμφωνίας με τον Καναδά αποτελεί έγκαιρη και χρήσιμη συμβολή στον προβληματισμό σχετικά με τη λειτουργία των εμπορικών συμφωνιών της ΕΕ·</w:t>
      </w:r>
    </w:p>
    <w:p w:rsidR="002D5EA4" w:rsidRPr="009710E6" w:rsidRDefault="002D5EA4" w:rsidP="009E3E82">
      <w:pPr>
        <w:pStyle w:val="NormalHanging12a"/>
        <w:widowControl/>
      </w:pPr>
      <w:r w:rsidRPr="009710E6">
        <w:t>Η.</w:t>
      </w:r>
      <w:r w:rsidRPr="009710E6">
        <w:tab/>
        <w:t>λαμβάνοντας υπόψη ότι το θεσμικό πλαίσιο της ΣΟΕΣ έχει πλέον τεθεί σε πλήρη λειτουργία, με 19 ειδικές επιτροπές, ένα φόρουμ ρυθμιστικής συνεργασίας και ένα φόρουμ κοινωνίας των πολιτών, τα δε προγράμματα και οι εκθέσεις τους είναι διαθέσιμα στο κοινό·</w:t>
      </w:r>
    </w:p>
    <w:p w:rsidR="002D5EA4" w:rsidRPr="009710E6" w:rsidRDefault="002D5EA4" w:rsidP="009E3E82">
      <w:pPr>
        <w:pStyle w:val="NormalHanging12a"/>
        <w:widowControl/>
      </w:pPr>
      <w:r w:rsidRPr="009710E6">
        <w:t>Θ.</w:t>
      </w:r>
      <w:r w:rsidRPr="009710E6">
        <w:tab/>
        <w:t xml:space="preserve">λαμβάνοντας υπόψη ότι ο Καναδάς ήταν η πρώτη χώρα με την οποία η ΕΕ θέσπισε στρατηγική εταιρική σχέση για τις κρίσιμες πρώτες ύλες, η οποία συμπληρώθηκε στη </w:t>
      </w:r>
      <w:r w:rsidRPr="009710E6">
        <w:lastRenderedPageBreak/>
        <w:t>συνέχεια από μια πρωτοβουλία πράσινης συμμαχίας, μια ψηφιακή εταιρική σχέση ΕΕ-Καναδά και μια εταιρική σχέση για τους ωκεανούς·</w:t>
      </w:r>
    </w:p>
    <w:p w:rsidR="002D5EA4" w:rsidRPr="009710E6" w:rsidRDefault="002D5EA4" w:rsidP="009E3E82">
      <w:pPr>
        <w:pStyle w:val="NormalHanging12a"/>
        <w:widowControl/>
      </w:pPr>
      <w:r w:rsidRPr="009710E6">
        <w:t>Ι.</w:t>
      </w:r>
      <w:r w:rsidRPr="009710E6">
        <w:tab/>
        <w:t>λαμβάνοντας υπόψη ότι ο Καναδάς συμμετέχει ενεργά στον διάλογο του ΠΟΕ για τη ρύπανση από πλαστικά και το περιβαλλοντικά βιώσιμο εμπόριο πλαστικών, καθώς και στην Επιτροπή Εμπορίου και Περιβάλλοντος του ΠΟΕ, αλλά δεν είναι μέλος της πρωτοβουλίας για τη μεταρρύθμιση των επιδοτήσεων ορυκτών καυσίμων (FFSR)·</w:t>
      </w:r>
    </w:p>
    <w:p w:rsidR="002D5EA4" w:rsidRPr="009710E6" w:rsidRDefault="002D5EA4" w:rsidP="009E3E82">
      <w:pPr>
        <w:pStyle w:val="NormalHanging12a"/>
        <w:widowControl/>
      </w:pPr>
      <w:r w:rsidRPr="009710E6">
        <w:t>ΙΑ.</w:t>
      </w:r>
      <w:r w:rsidRPr="009710E6">
        <w:tab/>
        <w:t>λαμβάνοντας υπόψη ότι υπάρχει πλέον επαρκής πείρα, δεδομένα και στατιστικές πληροφορίες για την αξιολόγηση της προσωρινής εφαρμογής της ΣΟΕΣ·</w:t>
      </w:r>
    </w:p>
    <w:p w:rsidR="002D5EA4" w:rsidRPr="009710E6" w:rsidRDefault="002D5EA4" w:rsidP="009E3E82">
      <w:pPr>
        <w:pStyle w:val="NormalHanging12a"/>
        <w:widowControl/>
      </w:pPr>
      <w:r w:rsidRPr="009710E6">
        <w:t>ΙΒ.</w:t>
      </w:r>
      <w:r w:rsidRPr="009710E6">
        <w:tab/>
        <w:t>λαμβάνοντας υπόψη ότι ο Καναδάς κατέχει ηγετική θέση παγκοσμίως στην από κοινού διαμόρφωση της δημόσιας πολιτικής για την κοινωνική και αλληλέγγυα οικονομία, και ότι η κοινωνική και αλληλέγγυα οικονομία αντιπροσωπεύει σχεδόν το 10</w:t>
      </w:r>
      <w:r w:rsidR="009E3E82" w:rsidRPr="009710E6">
        <w:t> </w:t>
      </w:r>
      <w:r w:rsidRPr="009710E6">
        <w:t>% του ακαθάριστου εγχώριου προϊόντος (ΑΕγχΠ) σε ορισμένες επαρχίες, όπως το Κεμπέκ, και αντιπροσωπεύει περίπου 210</w:t>
      </w:r>
      <w:r w:rsidR="009E3E82" w:rsidRPr="009710E6">
        <w:t> </w:t>
      </w:r>
      <w:r w:rsidRPr="009710E6">
        <w:t>000 θέσεις εργασίας·</w:t>
      </w:r>
    </w:p>
    <w:p w:rsidR="002D5EA4" w:rsidRPr="009710E6" w:rsidRDefault="002D5EA4" w:rsidP="009E3E82">
      <w:pPr>
        <w:pStyle w:val="NormalHanging12a"/>
        <w:widowControl/>
        <w:rPr>
          <w:b/>
          <w:szCs w:val="24"/>
        </w:rPr>
      </w:pPr>
      <w:r w:rsidRPr="009710E6">
        <w:rPr>
          <w:b/>
          <w:i/>
        </w:rPr>
        <w:t>Βασικά συμπεράσματα και συστάσεις</w:t>
      </w:r>
    </w:p>
    <w:p w:rsidR="002D5EA4" w:rsidRPr="009710E6" w:rsidRDefault="009710E6" w:rsidP="009710E6">
      <w:pPr>
        <w:pStyle w:val="NormalHanging12a"/>
        <w:widowControl/>
        <w:ind w:left="570" w:hanging="570"/>
      </w:pPr>
      <w:r w:rsidRPr="009710E6">
        <w:t>1.</w:t>
      </w:r>
      <w:r w:rsidRPr="009710E6">
        <w:tab/>
      </w:r>
      <w:r w:rsidR="002D5EA4" w:rsidRPr="009710E6">
        <w:t>επισημαίνει ότι η ΣΟΕΣ βασίζεται σε μια σχέση κανόνων και αξιών και προωθεί ένα ασφαλέστερο και σταθερότερο οικονομικό περιβάλλον μεταξύ των εμπορικών εταίρων, πράγμα ιδιαίτερα σημαντικό στο πλαίσιο των αυξημένων γεωπολιτικών αβεβαιοτήτων, με βάση τις αρχές της βιώσιμης ανάπτυξης και του σεβασμού των ανθρωπίνων δικαιωμάτων, καθώς και των εργασιακών και περιβαλλοντικών προτύπων· θεωρεί ότι αυτή η προβλεψιμότητα μπορεί να προωθήσει την οικονομική ανάπτυξη, την ανταλλαγή αγαθών, την παροχή υπηρεσιών, τη συμμετοχή στη διαδικασία σύναψης δημόσιων συμβάσεων, την ελκυστικότητα των επενδύσεων, την ποιοτική απασχόληση, τη δημιουργία περισσότερων και καλύτερα αμειβόμενων θέσεων εργασίας, καθώς και τη βελτίωση των συνθηκών εργασίας και του βιοτικού επιπέδου· ωστόσο, σημειώνει ότι η ΣΟΕΣ πρέπει να ενισχύσει τη βιώσιμη ανάπτυξη, να σεβαστεί τα ανθρώπινα και εργασιακά δικαιώματα και να προστατέψει το κλίμα·</w:t>
      </w:r>
    </w:p>
    <w:p w:rsidR="002D5EA4" w:rsidRPr="009710E6" w:rsidRDefault="009710E6" w:rsidP="009710E6">
      <w:pPr>
        <w:pStyle w:val="NormalHanging12a"/>
        <w:widowControl/>
        <w:ind w:left="570" w:hanging="570"/>
      </w:pPr>
      <w:r w:rsidRPr="009710E6">
        <w:t>2.</w:t>
      </w:r>
      <w:r w:rsidRPr="009710E6">
        <w:tab/>
      </w:r>
      <w:r w:rsidR="002D5EA4" w:rsidRPr="009710E6">
        <w:t>σημειώνει με ικανοποίηση ότι το εμπόριο αγαθών μεταξύ της ΕΕ και του Καναδά αυξήθηκε κατά 66</w:t>
      </w:r>
      <w:r w:rsidR="009E3E82" w:rsidRPr="009710E6">
        <w:t> </w:t>
      </w:r>
      <w:r w:rsidR="002D5EA4" w:rsidRPr="009710E6">
        <w:t>% μεταξύ του 2016 και του 2022, ενώ το εμπόριο υπηρεσιών ΕΕ-Καναδά αυξήθηκε κατά 46</w:t>
      </w:r>
      <w:r w:rsidR="009E3E82" w:rsidRPr="009710E6">
        <w:t> </w:t>
      </w:r>
      <w:r w:rsidR="002D5EA4" w:rsidRPr="009710E6">
        <w:t>%, υπερβαίνοντας τις άλλες συναλλαγές εκτός ΕΕ· επισημαίνει το γεγονός ότι οι εξαγωγές αγαθών της ΕΕ προς τον Καναδά αυξήθηκαν κατά 47</w:t>
      </w:r>
      <w:r w:rsidR="009E3E82" w:rsidRPr="009710E6">
        <w:t> </w:t>
      </w:r>
      <w:r w:rsidR="002D5EA4" w:rsidRPr="009710E6">
        <w:t>% κατά τα πρώτα πέντε έτη προσωρινής εφαρμογής, όταν καταγράφηκαν τα μεγαλύτερα κέρδη στις περιπτώσεις των μεταποιημένων προϊόντων, των χημικών προϊόντων, καθώς και των τροφίμων και των ζωικών προϊόντων· σημειώνει ότι οι περισσότερες από τις ανησυχίες που εκφράστηκαν πριν από την προσωρινή εφαρμογή της συμφωνίας σχετικά με την εισροή καναδικών γεωργικών προϊόντων στην αγορά της ΕΕ αποδείχθηκαν αβάσιμες· παρατηρεί ότι οι καναδικές εξαγωγές προς την ΕΕ έχουν αυξηθεί κατά 46,4%, εκ των οποίων τα μεγαλύτερα κέρδη καταγράφονται σε μεταλλεύματα, πολύτιμους λίθους και μέταλλα, καθώς και σε ορυκτά καύσιμα και έλαια·</w:t>
      </w:r>
    </w:p>
    <w:p w:rsidR="002D5EA4" w:rsidRPr="009710E6" w:rsidRDefault="009710E6" w:rsidP="009710E6">
      <w:pPr>
        <w:pStyle w:val="NormalHanging12a"/>
        <w:widowControl/>
        <w:ind w:left="570" w:hanging="570"/>
        <w:rPr>
          <w:bCs/>
          <w:iCs/>
        </w:rPr>
      </w:pPr>
      <w:r w:rsidRPr="009710E6">
        <w:rPr>
          <w:bCs/>
          <w:iCs/>
        </w:rPr>
        <w:t>3.</w:t>
      </w:r>
      <w:r w:rsidRPr="009710E6">
        <w:rPr>
          <w:bCs/>
          <w:iCs/>
        </w:rPr>
        <w:tab/>
      </w:r>
      <w:r w:rsidR="002D5EA4" w:rsidRPr="009710E6">
        <w:t>υπογραμμίζει τη σημαντική αύξηση του διμερούς εμπορίου τροφίμων και γεωργικών προϊόντων μεταξύ της ΕΕ και του Καναδά, με τις εξαγωγές της ΕΕ στον Καναδά να αυξάνονται κατά 62</w:t>
      </w:r>
      <w:r w:rsidR="009E3E82" w:rsidRPr="009710E6">
        <w:t> </w:t>
      </w:r>
      <w:r w:rsidR="002D5EA4" w:rsidRPr="009710E6">
        <w:t>% και τις εισαγωγές τέτοιων προϊόντων από τον Καναδά στην ΕΕ κατά 52</w:t>
      </w:r>
      <w:r w:rsidR="009E3E82" w:rsidRPr="009710E6">
        <w:t> </w:t>
      </w:r>
      <w:r w:rsidR="002D5EA4" w:rsidRPr="009710E6">
        <w:t xml:space="preserve">% από την έναρξη της προσωρινής εφαρμογής της ΣΟΕΣ· σημειώνει ότι αυτό έχει ωφελήσει σημαντικά παραγωγούς και εξαγωγείς και από τις δύο πλευρές και έχει </w:t>
      </w:r>
      <w:r w:rsidR="002D5EA4" w:rsidRPr="009710E6">
        <w:lastRenderedPageBreak/>
        <w:t>επίσης συμβάλει στη δημιουργία θέσεων εργασίας· επικροτεί τη σημαντική αύξηση του αριθμού των πολύ μικρών, μικρών και μεσαίων επιχειρήσεων της Ένωσης που πραγματοποιούν εξαγωγές στον Καναδά, καθώς και της αξίας των εξαγόμενων προϊόντων τους, επισημαίνοντας ότι η συμφωνία εξυπηρετεί σημαντικά τα συμφέροντά τους·</w:t>
      </w:r>
    </w:p>
    <w:p w:rsidR="002D5EA4" w:rsidRPr="009710E6" w:rsidRDefault="009710E6" w:rsidP="009710E6">
      <w:pPr>
        <w:pStyle w:val="NormalHanging12a"/>
        <w:widowControl/>
        <w:ind w:left="570" w:hanging="570"/>
        <w:rPr>
          <w:szCs w:val="24"/>
        </w:rPr>
      </w:pPr>
      <w:r w:rsidRPr="009710E6">
        <w:rPr>
          <w:szCs w:val="24"/>
        </w:rPr>
        <w:t>4.</w:t>
      </w:r>
      <w:r w:rsidRPr="009710E6">
        <w:rPr>
          <w:szCs w:val="24"/>
        </w:rPr>
        <w:tab/>
      </w:r>
      <w:r w:rsidR="002D5EA4" w:rsidRPr="009710E6">
        <w:t>τονίζει ότι, κατά την εφαρμογή της ΣΟΕΣ, καθώς και όλων των άλλων εμπορικών συμφωνιών της ΕΕ, πρέπει να λαμβάνονται δεόντως υπόψη ο σεβασμός της βιώσιμης γεωργικής παραγωγής, η αμοιβαιότητα και η διατήρηση υψηλών προτύπων, ιδίως των υγειονομικών, φυτοϋγειονομικών και κτηνιατρικών προτύπων, καθώς και των κατάλληλων ελέγχων και παρακολούθησης της αμοιβαίας συμμόρφωσης με τα εν λόγω πρότυπα·</w:t>
      </w:r>
    </w:p>
    <w:p w:rsidR="002D5EA4" w:rsidRPr="009710E6" w:rsidRDefault="009710E6" w:rsidP="009710E6">
      <w:pPr>
        <w:pStyle w:val="NormalHanging12a"/>
        <w:widowControl/>
        <w:ind w:left="570" w:hanging="570"/>
      </w:pPr>
      <w:r w:rsidRPr="009710E6">
        <w:t>5.</w:t>
      </w:r>
      <w:r w:rsidRPr="009710E6">
        <w:tab/>
      </w:r>
      <w:r w:rsidR="002D5EA4" w:rsidRPr="009710E6">
        <w:t>εκφράζει την ικανοποίησή του που οι εμπορικές ροές μεταξύ των μερών έχουν αποδειχθεί ανθεκτικές καθ’ όλη τη διάρκεια της πανδημίας, καθώς και τη δύσκολη κατάσταση που προκάλεσε ο επιθετικός πόλεμος της Ρωσίας στην Ουκρανία, αντιδρώντας έτσι στις πιέσεις στις αλυσίδες εφοδιασμού και συμβάλλοντας στην ενίσχυση της επισιτιστικής ασφάλειας· θεωρεί ότι η ΣΟΕΣ πρέπει να χρησιμεύσει ως εργαλείο για τη διευκόλυνση της συνεργασίας και της κοινής δράσης για την ανασυγκρότηση της Ουκρανίας μετά τη λήξη του πολέμου·</w:t>
      </w:r>
    </w:p>
    <w:p w:rsidR="002D5EA4" w:rsidRPr="009710E6" w:rsidRDefault="009710E6" w:rsidP="009710E6">
      <w:pPr>
        <w:pStyle w:val="NormalHanging12a"/>
        <w:widowControl/>
        <w:ind w:left="570" w:hanging="570"/>
      </w:pPr>
      <w:r w:rsidRPr="009710E6">
        <w:t>6.</w:t>
      </w:r>
      <w:r w:rsidRPr="009710E6">
        <w:tab/>
      </w:r>
      <w:r w:rsidR="002D5EA4" w:rsidRPr="009710E6">
        <w:t>υπογραμμίζει ότι οι εξαγωγές της ΕΕ είναι καίριας σημασίας για την απασχόληση· εκφράζει την ικανοποίησή του για το γεγονός ότι η ΣΟΕΣ έχει συμβάλει στη δημιουργία νέων ευκαιριών απασχόλησης, καθώς ο αριθμός των θέσεων εργασίας που υποστηρίζονται από τις εξαγωγές της ΕΕ προς τον Καναδά αυξήθηκε από 624.000 το 2017 σε περισσότερες από 700</w:t>
      </w:r>
      <w:r w:rsidR="009E3E82" w:rsidRPr="009710E6">
        <w:t> </w:t>
      </w:r>
      <w:r w:rsidR="002D5EA4" w:rsidRPr="009710E6">
        <w:t>000 το 2021·</w:t>
      </w:r>
    </w:p>
    <w:p w:rsidR="002D5EA4" w:rsidRPr="009710E6" w:rsidRDefault="009710E6" w:rsidP="009710E6">
      <w:pPr>
        <w:pStyle w:val="NormalHanging12a"/>
        <w:widowControl/>
        <w:ind w:left="570" w:hanging="570"/>
      </w:pPr>
      <w:r w:rsidRPr="009710E6">
        <w:t>7.</w:t>
      </w:r>
      <w:r w:rsidRPr="009710E6">
        <w:tab/>
      </w:r>
      <w:r w:rsidR="002D5EA4" w:rsidRPr="009710E6">
        <w:t>τονίζει τη σημασία του να διευκολυνθεί η κινητικότητα του εργατικού δυναμικού που εξασφαλίζεται στο πλαίσιο της ΣΟΕΣ, καθώς συμβάλλει στη διασφάλιση επαρκούς μεταφοράς δεξιοτήτων μεταξύ της ΕΕ και του Καναδά και στην αποφυγή ελλείψεων ειδικευμένου εργατικού δυναμικού· χαιρετίζει, στο πλαίσιο αυτό, την επιτυχή σύναψη της πρώτης συμφωνίας αμοιβαίας αναγνώρισης στο πλαίσιο της ΣΟΕΣ, το 2022, για τα προσόντα των αρχιτεκτόνων· θεωρεί ότι η μπλε κάρτα της ΕΕ μπορεί να διευκολύνει περαιτέρω τις ανταλλαγές μεταξύ δύο ανταγωνιστικών οικονομιών με πληθυσμό υψηλού επιπέδου εκπαίδευσης· υπογραμμίζει ότι τα προγράμματα ανταλλαγών μεταξύ των ακαδημαϊκών ιδρυμάτων της ΕΕ και του Καναδά μπορούν μακροπρόθεσμα να συμβάλουν περαιτέρω στην αναγκαία κινητικότητα του εργατικού δυναμικού·</w:t>
      </w:r>
    </w:p>
    <w:p w:rsidR="002D5EA4" w:rsidRPr="009710E6" w:rsidRDefault="009710E6" w:rsidP="009710E6">
      <w:pPr>
        <w:pStyle w:val="NormalHanging12a"/>
        <w:widowControl/>
        <w:ind w:left="570" w:hanging="570"/>
      </w:pPr>
      <w:r w:rsidRPr="009710E6">
        <w:t>8.</w:t>
      </w:r>
      <w:r w:rsidRPr="009710E6">
        <w:tab/>
      </w:r>
      <w:r w:rsidR="002D5EA4" w:rsidRPr="009710E6">
        <w:t>σημειώνει ότι οι δύο σημαντικότερες κατηγορίες προϊόντων που εξάγουν αμοιβαία η ΕΕ και ο Καναδάς είναι μηχανήματα και εξοπλισμός μεταφορών, που αντιπροσωπεύουν περίπου το 34</w:t>
      </w:r>
      <w:r w:rsidR="009E3E82" w:rsidRPr="009710E6">
        <w:t> </w:t>
      </w:r>
      <w:r w:rsidR="002D5EA4" w:rsidRPr="009710E6">
        <w:t>% τόσο των εξαγωγών όσο και των εισαγωγών, και χημικά, φαρμακευτικά και πλαστικά προϊόντα, που αντιπροσωπεύουν περίπου το 20</w:t>
      </w:r>
      <w:r w:rsidR="009E3E82" w:rsidRPr="009710E6">
        <w:t> </w:t>
      </w:r>
      <w:r w:rsidR="002D5EA4" w:rsidRPr="009710E6">
        <w:t>% των συνολικών εξαγωγών και εισαγωγών· σημειώνει, ωστόσο, ότι ο εξορυκτικός τομέας είναι ιδιαίτερα σημαντικός όσον αφορά τις εισαγωγές από τον Καναδά, σε σύγκριση με άλλους εμπορικούς εταίρους που αντιπροσωπεύουν σχεδόν το 20</w:t>
      </w:r>
      <w:r w:rsidR="009E3E82" w:rsidRPr="009710E6">
        <w:t> </w:t>
      </w:r>
      <w:r w:rsidR="002D5EA4" w:rsidRPr="009710E6">
        <w:t>% των συνολικών εισαγωγών της ΕΕ από τον Καναδά· τονίζει ότι η πρόσβαση σε κρίσιμες πρώτες ύλες από αξιόπιστους εμπορικούς εταίρους, συμπεριλαμβανομένου του Καναδά, αποτελεί βασικό στοιχείο της στρατηγικής της ΕΕ για τις κρίσιμες πρώτες ύλες και είναι ζωτικής σημασίας για την επίτευξη μιας βιώσιμης πράσινης μετάβασης·</w:t>
      </w:r>
    </w:p>
    <w:p w:rsidR="002D5EA4" w:rsidRPr="009710E6" w:rsidRDefault="009710E6" w:rsidP="009710E6">
      <w:pPr>
        <w:pStyle w:val="NormalHanging12a"/>
        <w:widowControl/>
        <w:ind w:left="570" w:hanging="570"/>
      </w:pPr>
      <w:r w:rsidRPr="009710E6">
        <w:lastRenderedPageBreak/>
        <w:t>9.</w:t>
      </w:r>
      <w:r w:rsidRPr="009710E6">
        <w:tab/>
      </w:r>
      <w:r w:rsidR="002D5EA4" w:rsidRPr="009710E6">
        <w:t>τονίζει ότι η συνεργασία για την πρόσβαση σε κρίσιμες πρώτες ύλες είναι απαραίτητη στο τρέχον γεωπολιτικό τοπίο, καθώς και για την πράσινη και δίκαιη μετάβαση, και εκφράζει την ικανοποίησή του για την υπογραφή, τον Ιούλιο του 2021, της στρατηγικής εταιρικής σχέσης ΕΕ-Καναδά για τις κρίσιμες πρώτες ύλες στο πλαίσιο της CETA, η οποία αναμένεται να συμβάλει στην ενοποίηση των αλυσίδων αξίας πρώτων υλών ΕΕ-Καναδά και στην προώθηση της συνεργασίας στους τομείς της επιστήμης, της τεχνολογίας και της καινοτομίας· σημειώνει ότι αυτό αποτελεί σημαντική συνιστώσα της ευρωπαϊκής στρατηγικής για την οικονομική ασφάλεια· είναι πεπεισμένο ότι η εξόρυξη πρώτων υλών πρέπει να διενεργείται με σεβασμό προς τα περιβαλλοντικά πρότυπα, τα εργασιακά και τα ανθρώπινα δικαιώματα, συμπεριλαμβανομένων των δικαιωμάτων των αυτόχθονων πληθυσμών·</w:t>
      </w:r>
    </w:p>
    <w:p w:rsidR="002D5EA4" w:rsidRPr="009710E6" w:rsidRDefault="009710E6" w:rsidP="009710E6">
      <w:pPr>
        <w:pStyle w:val="NormalHanging12a"/>
        <w:widowControl/>
        <w:ind w:left="570" w:hanging="570"/>
      </w:pPr>
      <w:r w:rsidRPr="009710E6">
        <w:t>10.</w:t>
      </w:r>
      <w:r w:rsidRPr="009710E6">
        <w:tab/>
      </w:r>
      <w:r w:rsidR="002D5EA4" w:rsidRPr="009710E6">
        <w:t>εκφράζει την ικανοποίησή του που οι ευρωπαϊκές και καναδικές εταιρείες κάνουν αυξανόμενη και συνεχή χρήση των προτιμήσεων που χορηγούνται από τη ΣΟΕΣ, με τα ποσοστά χρησιμοποίησης προτιμήσεων τόσο για την ΕΕ όσο και για τον Καναδά να ανέρχονται σε 60</w:t>
      </w:r>
      <w:r w:rsidR="009E3E82" w:rsidRPr="009710E6">
        <w:t> </w:t>
      </w:r>
      <w:r w:rsidR="002D5EA4" w:rsidRPr="009710E6">
        <w:t>% το 2022 σε σύγκριση με 40</w:t>
      </w:r>
      <w:r w:rsidR="009E3E82" w:rsidRPr="009710E6">
        <w:t> </w:t>
      </w:r>
      <w:r w:rsidR="002D5EA4" w:rsidRPr="009710E6">
        <w:t>% και 52</w:t>
      </w:r>
      <w:r w:rsidR="009E3E82" w:rsidRPr="009710E6">
        <w:t> </w:t>
      </w:r>
      <w:r w:rsidR="002D5EA4" w:rsidRPr="009710E6">
        <w:t>% αντίστοιχα το 2018· σημειώνει με ενδιαφέρον ότι οι μικρότερες εταιρείες χρησιμοποιούν τις προτιμήσεις σε μεγαλύτερο βαθμό από ό,τι οι μεγάλες εταιρείες και ότι τα ποσοστά χρησιμοποίησης στον τομέα γεωργικών προϊόντων διατροφής είναι σημαντικά υψηλότερα σε σύγκριση με τον τομέα μεταποίησης· τονίζει ότι τα χαμηλά ποσοστά χρησιμοποίησης σε βασικούς τομείς για αρκετά μέλη της ΕΕ δείχνουν απώλεια στην εξοικονόμηση κόστους και μειωμένα οφέλη ευημερίας από τη συμφωνία· ενθαρρύνει τους δύο εταίρους να συνεχίσουν να προάγουν τη δράση για την ενημέρωση των ενδιαφερομένων παραγόντων σε αμφότερες τις πλευρές σχετικά με τη ΣΟΕΣ, μεταξύ άλλων μέσω της πλατφόρμας «Access2Markets» της ΕΕ· υπογραμμίζει τη σημασία της διευκόλυνσης νέων ευκαιριών για τις επιχειρήσεις και τους καταναλωτές μέσω του ψηφιακού εμπορίου σύμφωνα με τα πρότυπα της ΕΕ·</w:t>
      </w:r>
    </w:p>
    <w:p w:rsidR="002D5EA4" w:rsidRPr="009710E6" w:rsidRDefault="009710E6" w:rsidP="009710E6">
      <w:pPr>
        <w:pStyle w:val="NormalHanging12a"/>
        <w:widowControl/>
        <w:ind w:left="570" w:hanging="570"/>
      </w:pPr>
      <w:r w:rsidRPr="009710E6">
        <w:t>11.</w:t>
      </w:r>
      <w:r w:rsidRPr="009710E6">
        <w:tab/>
      </w:r>
      <w:r w:rsidR="002D5EA4" w:rsidRPr="009710E6">
        <w:t>σημειώνει ότι το ποσοστό χρησιμοποίησης της δασμολογικής ποσόστωσης για τις εισαγωγές βοείου κρέατος στην ΕΕ ήταν μόλις 3</w:t>
      </w:r>
      <w:r w:rsidR="009E3E82" w:rsidRPr="009710E6">
        <w:t> </w:t>
      </w:r>
      <w:r w:rsidR="002D5EA4" w:rsidRPr="009710E6">
        <w:t xml:space="preserve">% το 2021, και ότι οι εξαγωγείς της ΕΕ έχουν διευρύνει το μερίδιο αγοράς τους στον Καναδά, με αποτέλεσμα η ΕΕ να εξάγει περισσότερο κατεψυγμένο βόειο κρέας στον Καναδά από ό,τι εισάγει από αυτόν· ωστόσο, σημειώνει ότι το ποσοστό χρησιμοποίησης της εν λόγω δασμολογικής ποσόστωσης μπορεί να μεταβληθεί με την πάροδο του χρόνου λόγω διακυμάνσεων στις άλλες εξαγωγικές αγορές του Καναδά, ιδίως στις ΗΠΑ και την Κίνα· </w:t>
      </w:r>
    </w:p>
    <w:p w:rsidR="002D5EA4" w:rsidRPr="009710E6" w:rsidRDefault="009710E6" w:rsidP="009710E6">
      <w:pPr>
        <w:pStyle w:val="NormalHanging12a"/>
        <w:widowControl/>
        <w:ind w:left="570" w:hanging="570"/>
      </w:pPr>
      <w:r w:rsidRPr="009710E6">
        <w:t>12.</w:t>
      </w:r>
      <w:r w:rsidRPr="009710E6">
        <w:tab/>
      </w:r>
      <w:r w:rsidR="002D5EA4" w:rsidRPr="009710E6">
        <w:t>επισημαίνει ότι, σύμφωνα με την έκθεση ελέγχου της Γενικής Διεύθυνσης Υγείας και Ασφάλειας των Τροφίμων της Επιτροπής, ο Καναδάς δεν έχει ακόμη εφαρμόσει ικανοποιητικά τις συστάσεις που διατυπώθηκαν στο πλαίσιο του ελέγχου της Γενικής Διεύθυνσης σχετικά με την ιχνηλασιμότητα και την ποιότητα των συστημάτων ελέγχου που διέπουν την παραγωγή βοείου και χοιρείου κρέατος που προορίζεται για εξαγωγή στην Ευρωπαϊκή Ένωση·</w:t>
      </w:r>
    </w:p>
    <w:p w:rsidR="002D5EA4" w:rsidRPr="009710E6" w:rsidRDefault="009710E6" w:rsidP="009710E6">
      <w:pPr>
        <w:pStyle w:val="NormalHanging12a"/>
        <w:widowControl/>
        <w:ind w:left="570" w:hanging="570"/>
      </w:pPr>
      <w:r w:rsidRPr="009710E6">
        <w:t>13.</w:t>
      </w:r>
      <w:r w:rsidRPr="009710E6">
        <w:tab/>
      </w:r>
      <w:r w:rsidR="002D5EA4" w:rsidRPr="009710E6">
        <w:t xml:space="preserve">εκφράζει την ικανοποίησή του για τη θέσπιση εναρμονισμένου πιστοποιητικού εξαγωγής της ΕΕ για την εξαγωγή νωπών πουλερικών από εγκεκριμένα κράτη μέλη, το οποίο τέθηκε σε λειτουργία το 2021· καλεί την Επιτροπή να επιδιώξει περαιτέρω πρόοδο όσον αφορά παρόμοια πιστοποιητικά για το παρασκευασμένο κρέας και το αιγοπρόβειο κρέας, αυξάνοντας παράλληλα τις προσπάθειες για τη διασφάλιση ισχυρότερων συστημάτων ιχνηλασιμότητας για τα προϊόντα κρέατος· καλεί την Επιτροπή, στο πλαίσιο της επιτροπής διαχείρισης και σε συνεργασία με τις καναδικές αρχές και τα κράτη μέλη, να σημειώσει πρόοδο όσον αφορά την αναγνώριση των </w:t>
      </w:r>
      <w:r w:rsidR="002D5EA4" w:rsidRPr="009710E6">
        <w:lastRenderedPageBreak/>
        <w:t>υπόλοιπων συστημάτων επιθεώρησης κρέατος, προκειμένου να επιτραπεί στα υπόλοιπα κράτη μέλη να εξάγουν κρέας στον Καναδά·</w:t>
      </w:r>
    </w:p>
    <w:p w:rsidR="002D5EA4" w:rsidRPr="009710E6" w:rsidRDefault="009710E6" w:rsidP="009710E6">
      <w:pPr>
        <w:pStyle w:val="NormalHanging12a"/>
        <w:widowControl/>
        <w:ind w:left="570" w:hanging="570"/>
      </w:pPr>
      <w:r w:rsidRPr="009710E6">
        <w:t>14.</w:t>
      </w:r>
      <w:r w:rsidRPr="009710E6">
        <w:tab/>
      </w:r>
      <w:r w:rsidR="002D5EA4" w:rsidRPr="009710E6">
        <w:t>εκφράζει τη λύπη του για το γεγονός ότι η ΣΟΕΣ δεν εφαρμόζει την αρχή της περιφερειοποίησης γενικότερα και εκλαμβάνει την ΕΕ ως ενιαίο χώρο μόνο όσον αφορά τη ζωική παραγωγή, αλλά όχι όσον αφορά τον τομέα των οπωροκηπευτικών, γεγονός που σημαίνει ότι κάθε κράτος μέλος πρέπει να διαπραγματεύεται και να συμφωνεί μεμονωμένα σχετικά με τις εξαγωγικές απαιτήσεις για κάθε προϊόν· ζητεί να διορθωθεί αυτό το ελάττωμα το συντομότερο δυνατόν στο πλαίσιο της μεικτής επιτροπής διαχείρισης ΕΕ-Καναδά·</w:t>
      </w:r>
    </w:p>
    <w:p w:rsidR="002D5EA4" w:rsidRPr="009710E6" w:rsidRDefault="009710E6" w:rsidP="009710E6">
      <w:pPr>
        <w:pStyle w:val="NormalHanging12a"/>
        <w:widowControl/>
        <w:ind w:left="570" w:hanging="570"/>
        <w:rPr>
          <w:szCs w:val="24"/>
        </w:rPr>
      </w:pPr>
      <w:r w:rsidRPr="009710E6">
        <w:rPr>
          <w:szCs w:val="24"/>
        </w:rPr>
        <w:t>15.</w:t>
      </w:r>
      <w:r w:rsidRPr="009710E6">
        <w:rPr>
          <w:szCs w:val="24"/>
        </w:rPr>
        <w:tab/>
      </w:r>
      <w:r w:rsidR="002D5EA4" w:rsidRPr="009710E6">
        <w:t>καλεί την Επιτροπή να διευκολύνει τη συνεχή συνεργασία με τις καναδικές αρχές με στόχο να δοθεί μεγαλύτερη προσοχή στις διασφαλίσεις για τα πρότυπα καλής διαβίωσης των ζώων στο πλαίσιο της ΣΟΕΣ και να αξιολογηθεί η σκοπιμότητα θέσπισης, στο μέλλον, κατοπτρικών ρητρών σε αυτόν τον τομέα, ώστε να διασφαλιστεί η ισοδυναμία των προτύπων καλής διαβίωσης των ζώων και, ως εκ τούτου, ίσοι όροι ανταγωνισμού μεταξύ των ενωσιακών και των εισαγόμενων ζωικών προϊόντων·</w:t>
      </w:r>
    </w:p>
    <w:p w:rsidR="002D5EA4" w:rsidRPr="009710E6" w:rsidRDefault="009710E6" w:rsidP="009710E6">
      <w:pPr>
        <w:pStyle w:val="NormalHanging12a"/>
        <w:widowControl/>
        <w:ind w:left="570" w:hanging="570"/>
      </w:pPr>
      <w:r w:rsidRPr="009710E6">
        <w:t>16.</w:t>
      </w:r>
      <w:r w:rsidRPr="009710E6">
        <w:tab/>
      </w:r>
      <w:r w:rsidR="002D5EA4" w:rsidRPr="009710E6">
        <w:t>επισημαίνει ότι η εμπορική πολιτική της ΕΕ, και ειδικότερα η ΣΟΕΣ, έχει σημαντικό οικονομικό αντίκτυπο στις εξόχως απόκεντρες περιοχές (ΕΑΠ) και, ως εκ τούτου, τονίζει την ανάγκη προστασίας των συμφερόντων των εν λόγω περιοχών στο πλαίσιο μελλοντικών διαπραγματεύσεων ή ενδεχόμενης αναθεώρησης της συμφωνίας·</w:t>
      </w:r>
    </w:p>
    <w:p w:rsidR="002D5EA4" w:rsidRPr="009710E6" w:rsidRDefault="009710E6" w:rsidP="009710E6">
      <w:pPr>
        <w:pStyle w:val="NormalHanging12a"/>
        <w:widowControl/>
        <w:ind w:left="570" w:hanging="570"/>
      </w:pPr>
      <w:r w:rsidRPr="009710E6">
        <w:t>17.</w:t>
      </w:r>
      <w:r w:rsidRPr="009710E6">
        <w:tab/>
      </w:r>
      <w:r w:rsidR="002D5EA4" w:rsidRPr="009710E6">
        <w:t>υποστηρίζει ότι μέρος των δασμών και των δασμολογικών ποσοστώσεων που χορηγούνται στα προϊόντα της ΕΕ θα πρέπει να κατανέμεται σε φορείς που είναι εγγεγραμμένοι στις ΕΑΠ με συνεκτίμηση της οικονομικής τους κατάστασης· τονίζει ότι η διαφοροποιημένη μεταχείριση των εγγεγραμμένων στις ΕΑΠ φορέων είναι καίριας σημασίας για τη διασφάλιση της ανταγωνιστικότητας των επιχειρήσεων και της δίκαιης κατανομής των δασμών και των δασμολογικών ποσοστώσεων μεταξύ των εμπορικών αντιπροσώπων, αποφεύγοντας τη συγκέντρωση πλεονεκτημάτων σε μικρό αριθμό φορέων·</w:t>
      </w:r>
    </w:p>
    <w:p w:rsidR="002D5EA4" w:rsidRPr="009710E6" w:rsidRDefault="009710E6" w:rsidP="009710E6">
      <w:pPr>
        <w:pStyle w:val="NormalHanging12a"/>
        <w:widowControl/>
        <w:ind w:left="570" w:hanging="570"/>
      </w:pPr>
      <w:r w:rsidRPr="009710E6">
        <w:t>18.</w:t>
      </w:r>
      <w:r w:rsidRPr="009710E6">
        <w:tab/>
      </w:r>
      <w:r w:rsidR="002D5EA4" w:rsidRPr="009710E6">
        <w:t>λαμβάνει υπόψη το γεγονός ότι το ποσοστό χρησιμοποίησης των δασμολογικών ποσοστώσεων ανέρχεται κατά μέσο όρο σε 98% για τις εξαγωγές τυριού της ΕΕ· ζητά, ωστόσο, ένα πιο διαφανές και ευέλικτο καναδικό σύστημα διαχείρισης των δασμολογικών ποσοστώσεων για τα γαλακτοκομικά προϊόντα, ιδίως την ποσόστωση τυριών, και παροτρύνει τις καναδικές αρχές να προχωρήσουν σε πιθανή αναθεώρηση του συστήματος το συντομότερο δυνατόν·</w:t>
      </w:r>
    </w:p>
    <w:p w:rsidR="002D5EA4" w:rsidRPr="009710E6" w:rsidRDefault="009710E6" w:rsidP="009710E6">
      <w:pPr>
        <w:pStyle w:val="NormalHanging12a"/>
        <w:widowControl/>
        <w:ind w:left="570" w:hanging="570"/>
      </w:pPr>
      <w:r w:rsidRPr="009710E6">
        <w:t>19.</w:t>
      </w:r>
      <w:r w:rsidRPr="009710E6">
        <w:tab/>
      </w:r>
      <w:r w:rsidR="002D5EA4" w:rsidRPr="009710E6">
        <w:t>τονίζει ότι η αναγνώριση του συστήματος γεωγραφικών ενδείξεων ως βασικής συνιστώσας της συμφωνίας είναι σημαντική· τονίζει την ανάγκη να επιβληθεί αποτελεσματικά περαιτέρω η προστασία των γεωγραφικών ενδείξεων για τους κατόχους ενωσιακών δικαιωμάτων στον Καναδά, για να διασφαλιστεί η εμπιστοσύνη στην ορθή λειτουργία της συμφωνίας·</w:t>
      </w:r>
    </w:p>
    <w:p w:rsidR="002D5EA4" w:rsidRPr="009710E6" w:rsidRDefault="009710E6" w:rsidP="009710E6">
      <w:pPr>
        <w:pStyle w:val="NormalHanging12a"/>
        <w:widowControl/>
        <w:ind w:left="570" w:hanging="570"/>
        <w:rPr>
          <w:szCs w:val="24"/>
        </w:rPr>
      </w:pPr>
      <w:r w:rsidRPr="009710E6">
        <w:rPr>
          <w:szCs w:val="24"/>
        </w:rPr>
        <w:t>20.</w:t>
      </w:r>
      <w:r w:rsidRPr="009710E6">
        <w:rPr>
          <w:szCs w:val="24"/>
        </w:rPr>
        <w:tab/>
      </w:r>
      <w:r w:rsidR="002D5EA4" w:rsidRPr="009710E6">
        <w:t>λαμβάνει υπόψη το γεγονός ότι, κατά τη διάρκεια των πρώτων έξι ετών της προσωρινής εφαρμογής της ΣΟΕΣ, οι εξαγωγές και οι εισαγωγές της ΕΕ προς και από τον Καναδά στον τομέα των υπηρεσιών αυξήθηκαν κατά 54</w:t>
      </w:r>
      <w:r w:rsidR="009E3E82" w:rsidRPr="009710E6">
        <w:t> </w:t>
      </w:r>
      <w:r w:rsidR="002D5EA4" w:rsidRPr="009710E6">
        <w:t>% και 74</w:t>
      </w:r>
      <w:r w:rsidR="009E3E82" w:rsidRPr="009710E6">
        <w:t> </w:t>
      </w:r>
      <w:r w:rsidR="002D5EA4" w:rsidRPr="009710E6">
        <w:t xml:space="preserve">% αντίστοιχα, με τα υψηλότερα κέρδη να σημειώνονται στις υπηρεσίες μεταφορών, στις επιχειρηματικές υπηρεσίες και τις υπηρεσίες πληροφοριών, στις υπηρεσίες πληροφορικής και </w:t>
      </w:r>
      <w:r w:rsidR="002D5EA4" w:rsidRPr="009710E6">
        <w:lastRenderedPageBreak/>
        <w:t>τηλεπικοινωνιών, ιδίως προς όφελος μικρότερων κρατών μελών της ΕΕ όπου οι υπηρεσίες έχουν σημαντική θέση στην οικονομική δομή της χώρας·</w:t>
      </w:r>
    </w:p>
    <w:p w:rsidR="002D5EA4" w:rsidRPr="009710E6" w:rsidRDefault="009710E6" w:rsidP="009710E6">
      <w:pPr>
        <w:pStyle w:val="NormalHanging12a"/>
        <w:widowControl/>
        <w:ind w:left="570" w:hanging="570"/>
        <w:rPr>
          <w:szCs w:val="24"/>
        </w:rPr>
      </w:pPr>
      <w:r w:rsidRPr="009710E6">
        <w:rPr>
          <w:szCs w:val="24"/>
        </w:rPr>
        <w:t>21.</w:t>
      </w:r>
      <w:r w:rsidRPr="009710E6">
        <w:rPr>
          <w:szCs w:val="24"/>
        </w:rPr>
        <w:tab/>
      </w:r>
      <w:r w:rsidR="002D5EA4" w:rsidRPr="009710E6">
        <w:t>χαιρετίζει τις συγκεκριμένες προσπάθειες για τη διευκόλυνση της πρόσβασης σε δημόσιες συμβάσεις, όπως το ενιαίο σημείο πρόσβασης στον Καναδά· θεωρεί ότι, ακόμη κι αν πολύ περισσότερες επιχειρήσεις της ΕΕ συμμετέχουν επιτυχώς σε καναδικούς διαγωνισμούς, όπως για περιφερειακές σιδηροδρομικές μεταφορές επιβατών στο Οντάριο ή για γέφυρες στο Μόντρεαλ, οι προμηθευτές της ΕΕ θα μπορούσαν να επωφεληθούν ακόμη περισσότερο από τις ευκαιρίες που προσφέρονται, ιδίως όσον αφορά τα έργα υποδομής και τις προσκλήσεις υποβολής προσφορών για επαρχιακές και δημοτικές συμβάσεις·</w:t>
      </w:r>
    </w:p>
    <w:p w:rsidR="002D5EA4" w:rsidRPr="009710E6" w:rsidRDefault="009710E6" w:rsidP="009710E6">
      <w:pPr>
        <w:pStyle w:val="NormalHanging12a"/>
        <w:widowControl/>
        <w:ind w:left="570" w:hanging="570"/>
      </w:pPr>
      <w:r w:rsidRPr="009710E6">
        <w:t>22.</w:t>
      </w:r>
      <w:r w:rsidRPr="009710E6">
        <w:tab/>
      </w:r>
      <w:r w:rsidR="002D5EA4" w:rsidRPr="009710E6">
        <w:t>καλεί τα μέρη να διαθέσουν όλη τη νομική και διοικητική στήριξη και τα εργαλεία που χρειάζονται οι ΜΜΕ για να συμμετάσχουν στο εμπόριο και τις επενδύσεις στο πλαίσιο της ΣΟΕΣ, προκειμένου να προωθηθεί η αύξηση των ανταλλαγών και να ενισχυθεί η συμμετοχή τους, ώστε να μπορέσουν να αξιοποιήσουν τα οφέλη της ΣΟΕΣ, μεταξύ άλλων μέσω ενεργητικών μέτρων για τη διευκόλυνση της διεθνοποίησης των ΜΜΕ, την απλούστευση των διαδικασιών και την αντιμετώπιση των τεχνικών εμποδίων στο εμπόριο που πλήττουν δυσανάλογα τις ΜΜΕ· χαιρετίζει, στο πλαίσιο αυτό, τη σύσταση για τις ΜΜΕ που εγκρίθηκε από τη μεικτή επιτροπή το 2018 και τα σχέδια δράσης που ακολούθησαν, συμπεριλαμβανομένων συγκεκριμένων δράσεων, όπως η δρομολόγηση της πλατφόρμας Access2Markets τον Οκτώβριο του 2020, η οποία στηρίζει τις ΜΜΕ με πρακτικές πληροφορίες σχετικά με τις εμπορικές συμφωνίες και τους εμπορικούς φραγμούς· αναμένει ότι η εκ των υστέρων αξιολόγηση θα παράσχει στοιχεία σχετικά με την εξέλιξη του μεριδίου του εμπορίου που πραγματοποιείται από ΜΜΕ μεταξύ ΕΕ και Καναδά· καλεί τα συμβαλλόμενα μέρη να εξετάσουν τη δυνατότητα ενός πλήρους κεφαλαίου για τις ΜΜΕ, ανάλογου με εκείνο των συμφωνιών με τη Νέα Ζηλανδία και τη Χιλή·</w:t>
      </w:r>
    </w:p>
    <w:p w:rsidR="002D5EA4" w:rsidRPr="009710E6" w:rsidRDefault="009710E6" w:rsidP="009710E6">
      <w:pPr>
        <w:pStyle w:val="NormalHanging12a"/>
        <w:widowControl/>
        <w:ind w:left="570" w:hanging="570"/>
      </w:pPr>
      <w:r w:rsidRPr="009710E6">
        <w:t>23.</w:t>
      </w:r>
      <w:r w:rsidRPr="009710E6">
        <w:tab/>
      </w:r>
      <w:r w:rsidR="002D5EA4" w:rsidRPr="009710E6">
        <w:t>δεδομένης της σημασίας του τομέα της κοινωνικής και αλληλέγγυας οικονομίας στον Καναδά και του σχεδίου δράσης για την κοινωνική οικονομία που εγκρίθηκε από την Επιτροπή στις 9 Δεκεμβρίου 2021</w:t>
      </w:r>
      <w:r w:rsidR="002D5EA4" w:rsidRPr="009710E6">
        <w:rPr>
          <w:rStyle w:val="FootnoteReference"/>
        </w:rPr>
        <w:footnoteReference w:id="6"/>
      </w:r>
      <w:r w:rsidR="002D5EA4" w:rsidRPr="009710E6">
        <w:t>, καλεί τη μεικτή επιτροπή να προσδιορίσει ποια συγκεκριμένα μέτρα θα μπορούσαν να ληφθούν για την προώθηση μεγαλύτερης συνεργασίας μεταξύ κοινωνικών φορέων και φορέων αλληλεγγύης σε ολόκληρο τον Ατλαντικό·</w:t>
      </w:r>
    </w:p>
    <w:p w:rsidR="002D5EA4" w:rsidRPr="009710E6" w:rsidRDefault="009710E6" w:rsidP="009710E6">
      <w:pPr>
        <w:pStyle w:val="NormalHanging12a"/>
        <w:widowControl/>
        <w:ind w:left="570" w:hanging="570"/>
      </w:pPr>
      <w:r w:rsidRPr="009710E6">
        <w:t>24.</w:t>
      </w:r>
      <w:r w:rsidRPr="009710E6">
        <w:tab/>
      </w:r>
      <w:r w:rsidR="002D5EA4" w:rsidRPr="009710E6">
        <w:t>ενθαρρύνει τα δύο μέρη να συνεχίσουν τις δραστηριότητες προβολής τους, εστιάζοντας ιδίως στις ΜΜΕ και στους φορείς κοινωνικής και αλληλέγγυας οικονομίας, να αυξήσουν την ενημέρωση σχετικά με τις ευκαιρίες που προσφέρει η ΣΟΕΣ μέσω στοχευμένων ενημερωτικών εκστρατειών, διασφαλίζοντας παράλληλα ότι τα οφέλη της συμφωνίας κατανέμονται εξίσου μεταξύ ανδρών και γυναικών·</w:t>
      </w:r>
    </w:p>
    <w:p w:rsidR="002D5EA4" w:rsidRPr="009710E6" w:rsidRDefault="009710E6" w:rsidP="009710E6">
      <w:pPr>
        <w:pStyle w:val="NormalHanging12a"/>
        <w:widowControl/>
        <w:ind w:left="570" w:hanging="570"/>
      </w:pPr>
      <w:r w:rsidRPr="009710E6">
        <w:t>25.</w:t>
      </w:r>
      <w:r w:rsidRPr="009710E6">
        <w:tab/>
      </w:r>
      <w:r w:rsidR="002D5EA4" w:rsidRPr="009710E6">
        <w:t xml:space="preserve">εκφράζει την ικανοποίησή του για την έγκριση της σύστασης σχετικά με το εμπόριο και την ισότητα των φύλων από τη μεικτή επιτροπή ΣΟΕΣ ήδη από το 2018, η οποία περιλαμβάνει δέσμευση για την ανταλλαγή μεθόδων και διαδικασιών για τη συλλογή δεδομένων ανά φύλο, τη χρήση δεικτών και μεθοδολογιών παρακολούθησης και αξιολόγησης, και την ανάλυση στατιστικών με επίκεντρο το φύλο που σχετίζονται με </w:t>
      </w:r>
      <w:r w:rsidR="002D5EA4" w:rsidRPr="009710E6">
        <w:lastRenderedPageBreak/>
        <w:t>το εμπόριο· υπογραμμίζει ότι το εμπόριο θα πρέπει να ωφελεί όλους τους ανθρώπους και συγκεκριμένα να ενισχύει την οικονομική ενδυνάμωση των γυναικών· παροτρύνει θερμά τη μεικτή επιτροπή ΣΟΕΣ να συνεχίσει να παρακολουθεί τις επιπτώσεις της συμφωνίας στο φύλο· είναι της άποψης ότι το έργο που επιτελείται στο πλαίσιο του από κοινού εγκριθέντος σχεδίου δράσης μπορεί να χρησιμεύσει ως παράδειγμα για άλλες εμπορικές συμφωνίες, ακόμη κι όταν δεν υπάρχουν ειδικά κεφάλαια για το εμπόριο και την ισότητα των φύλων στην ίδια τη συμφωνία· υπενθυμίζει το ψήφισμα του Κοινοβουλίου σχετικά με το σχέδιο δράσης για θέματα φύλου ΙΙΙ</w:t>
      </w:r>
      <w:r w:rsidR="002D5EA4" w:rsidRPr="009710E6">
        <w:rPr>
          <w:rStyle w:val="FootnoteReference"/>
        </w:rPr>
        <w:footnoteReference w:id="7"/>
      </w:r>
      <w:r w:rsidR="002D5EA4" w:rsidRPr="009710E6">
        <w:t xml:space="preserve"> και ενθαρρύνει την Επιτροπή να δημοσιεύσει πιο εύκολα προσβάσιμα δεδομένα ανά φύλο σχετικά με τη χρήση της συμφωνίας, ιδίως σε σχέση με τα κεφάλαια για τις δημόσιες συμβάσεις και για το εμπόριο και την εργασία·</w:t>
      </w:r>
    </w:p>
    <w:p w:rsidR="002D5EA4" w:rsidRPr="009710E6" w:rsidRDefault="009710E6" w:rsidP="009710E6">
      <w:pPr>
        <w:pStyle w:val="NormalHanging12a"/>
        <w:widowControl/>
        <w:ind w:left="570" w:hanging="570"/>
      </w:pPr>
      <w:r w:rsidRPr="009710E6">
        <w:t>26.</w:t>
      </w:r>
      <w:r w:rsidRPr="009710E6">
        <w:tab/>
      </w:r>
      <w:r w:rsidR="002D5EA4" w:rsidRPr="009710E6">
        <w:t>καλεί την Επιτροπή να αποτρέψει την αποδυνάμωση της αρχής της προφύλαξης ως βασικής αρχής της Ευρωπαϊκής Ένωσης που κατοχυρώνεται στις Συνθήκες και ως εγγυητή της προστασίας των Ευρωπαίων γεωργών και πολιτών· τονίζει τη σημασία της προώθησης της αρχής της προφύλαξης σε όλες τις πτυχές του εμπορίου και της διασφάλισης της εφαρμογής της, αποφεύγοντας παράλληλα τους αδικαιολόγητους φραγμούς στο εμπόριο.</w:t>
      </w:r>
    </w:p>
    <w:p w:rsidR="002D5EA4" w:rsidRPr="009710E6" w:rsidRDefault="009710E6" w:rsidP="009710E6">
      <w:pPr>
        <w:pStyle w:val="NormalHanging12a"/>
        <w:widowControl/>
        <w:ind w:left="570" w:hanging="570"/>
      </w:pPr>
      <w:r w:rsidRPr="009710E6">
        <w:t>27.</w:t>
      </w:r>
      <w:r w:rsidRPr="009710E6">
        <w:tab/>
      </w:r>
      <w:r w:rsidR="002D5EA4" w:rsidRPr="009710E6">
        <w:t>υπογραμμίζει ότι η ΣΟΕΣ παρέχει ένα πλαίσιο που προωθεί τόσο το εμπόριο όσο και τη δράση για το κλίμα, συμπεριλαμβάνοντας δεσμεύσεις για συνεργασία σε περιβαλλοντικά ζητήματα κοινού ενδιαφέροντος που σχετίζονται με το εμπόριο, όπως η κλιματική αλλαγή, πράγμα που καταδεικνύεται από τη σύσταση για το εμπόριο, τη δράση για το κλίμα και τη συμφωνία του Παρισιού, ιδίως με την προώθηση των καθαρών τεχνολογιών· υπογραμμίζει τη σημασία της παγκόσμιας παραγωγής ηλεκτρικής ενέργειας στον Καναδά για την επιτάχυνση της μετάβασης σε καθαρές μορφές ενέργειας μέσω της παραγωγής ενέργειας από ανανεώσιμες πηγές· εκφράζει την ικανοποίησή του για την αύξηση του εμπορίου περιβαλλοντικών αγαθών κατά 27</w:t>
      </w:r>
      <w:r w:rsidR="009E3E82" w:rsidRPr="009710E6">
        <w:t> </w:t>
      </w:r>
      <w:r w:rsidR="002D5EA4" w:rsidRPr="009710E6">
        <w:t>% από την έναρξη της προσωρινής εφαρμογής· σημειώνει, ωστόσο, ότι ο Καναδάς έχει θεωρήσει τα στοιχεία των ευρωπαϊκών νομοθετικών και μη νομοθετικών πρωτοβουλιών όσον αφορά την Ευρωπαϊκή Πράσινη Συμφωνία ως τεχνικά εμπόδια στο εμπόριο· καλεί τα μέρη να βρουν συνέργειες με την εφαρμογή του μηχανισμού συνοριακής προσαρμογής άνθρακα (CBAM) και άλλων πρωτοβουλιών στην ΕΕ, και να στηρίξουν από κοινού τις εργασίες για την ανάπτυξη κοινών ή συγκρίσιμων μεθοδολογιών για τις εκπομπές διοξειδίου του άνθρακα σε διεθνές επίπεδο·</w:t>
      </w:r>
    </w:p>
    <w:p w:rsidR="002D5EA4" w:rsidRPr="009710E6" w:rsidRDefault="009710E6" w:rsidP="009710E6">
      <w:pPr>
        <w:pStyle w:val="NormalHanging12a"/>
        <w:widowControl/>
        <w:ind w:left="570" w:hanging="570"/>
      </w:pPr>
      <w:r w:rsidRPr="009710E6">
        <w:t>28.</w:t>
      </w:r>
      <w:r w:rsidRPr="009710E6">
        <w:tab/>
      </w:r>
      <w:r w:rsidR="002D5EA4" w:rsidRPr="009710E6">
        <w:t>εκφράζει την ικανοποίησή του για τη δρομολόγηση της ψηφιακής εταιρικής σχέσης ΕΕ-Καναδά ως βασικού παράγοντα διευκόλυνσης της πράσινης και της ψηφιακής μετάβασης· καλεί τα δύο μέρη να ενισχύσουν τη συνεργασία τους στο πλαίσιο της εφαρμογής της ΣΟΕΣ σε θέματα στρατηγικού αμοιβαίου ενδιαφέροντος, όπως η τεχνητή νοημοσύνη, η κυβερνοασφάλεια και η καταπολέμηση της παραπληροφόρησης·</w:t>
      </w:r>
    </w:p>
    <w:p w:rsidR="002D5EA4" w:rsidRPr="009710E6" w:rsidRDefault="009710E6" w:rsidP="009710E6">
      <w:pPr>
        <w:pStyle w:val="NormalHanging12a"/>
        <w:widowControl/>
        <w:ind w:left="570" w:hanging="570"/>
      </w:pPr>
      <w:r w:rsidRPr="009710E6">
        <w:t>29.</w:t>
      </w:r>
      <w:r w:rsidRPr="009710E6">
        <w:tab/>
      </w:r>
      <w:r w:rsidR="002D5EA4" w:rsidRPr="009710E6">
        <w:t xml:space="preserve">χαιρετίζει την ενεργό συμμετοχή και παρακολούθηση της εφαρμογής της ΣΟΕΣ από τις ΕΣΟ και το φόρουμ της κοινωνίας των πολιτών, που συγκεντρώνουν εκατοντάδες εκπροσώπους από ολόκληρη την ΕΕ και τον Καναδά, συμπεριλαμβανομένων επιχειρήσεων, περιβαλλοντικών και εργασιακών οργανώσεων, της κοινωνίας των πολιτών, της ακαδημαϊκής κοινότητας, καθώς και εκπροσώπων των αυτοχθόνων πληθυσμών από τον Καναδά, και συμβάλλουν ενεργά στο έργο ιδίως της Επιτροπής </w:t>
      </w:r>
      <w:r w:rsidR="002D5EA4" w:rsidRPr="009710E6">
        <w:lastRenderedPageBreak/>
        <w:t>Εμπορίου και Βιώσιμης Ανάπτυξης μέσω των κοινών τους δηλώσεων· παροτρύνει την Επιτροπή και το συμβούλιο εμπορίου και βιώσιμης ανάπτυξης να δίνουν συνέχεια στις προτάσεις τους· τονίζει ότι εντολή των ΕΣΟ θα πρέπει να είναι επίσης η εξέταση του αντικτύπου της πλήρους συμφωνίας στη βιωσιμότητα· υπογραμμίζει την αξία της συμπερίληψης εκτιμήσεων σχετικά με τον αντίκτυπο του κεφαλαίου για την προστασία των επενδύσεων στη βιωσιμότητα και τα ανθρώπινα δικαιώματα στο έργο τους·</w:t>
      </w:r>
    </w:p>
    <w:p w:rsidR="002D5EA4" w:rsidRPr="009710E6" w:rsidRDefault="009710E6" w:rsidP="009710E6">
      <w:pPr>
        <w:pStyle w:val="NormalHanging12a"/>
        <w:widowControl/>
        <w:ind w:left="570" w:hanging="570"/>
      </w:pPr>
      <w:r w:rsidRPr="009710E6">
        <w:t>30.</w:t>
      </w:r>
      <w:r w:rsidRPr="009710E6">
        <w:tab/>
      </w:r>
      <w:r w:rsidR="002D5EA4" w:rsidRPr="009710E6">
        <w:t>καλεί τα δύο μέρη να διασφαλίσουν καλύτερη ένταξη των γεωργών και των καταναλωτών μικρής κλίμακας στις ΕΣΟ στο πλαίσιο της ανανέωσης των ομάδων αυτών·</w:t>
      </w:r>
    </w:p>
    <w:p w:rsidR="002D5EA4" w:rsidRPr="009710E6" w:rsidRDefault="009710E6" w:rsidP="009710E6">
      <w:pPr>
        <w:pStyle w:val="NormalHanging12a"/>
        <w:widowControl/>
        <w:ind w:left="570" w:hanging="570"/>
      </w:pPr>
      <w:r w:rsidRPr="009710E6">
        <w:t>31.</w:t>
      </w:r>
      <w:r w:rsidRPr="009710E6">
        <w:tab/>
      </w:r>
      <w:r w:rsidR="002D5EA4" w:rsidRPr="009710E6">
        <w:t>εμμένει στην αποτελεσματική εφαρμογή των ειδικών δεσμεύσεων που σχετίζονται με τις διατάξεις για το εμπόριο και τη βιώσιμη ανάπτυξη, συμπεριλαμβανομένης της έγκαιρης επανεξέτασης ΕΒΑ που έχει δεσμευτεί στο πλαίσιο της κοινής ερμηνευτικής πράξης, η οποία δεν έχει εγκριθεί, ως αναπόσπαστα μέρη της ΣΟΕΣ και απαραίτητη για την επίτευξη των στόχων που έχουν τεθεί· σημειώνει ότι, το 2024, η Επιτροπή θα διενεργήσει εκ των υστέρων αξιολόγηση της CETA, συμπεριλαμβανομένου του κεφαλαίου της για το εμπόριο και τη βιώσιμη ανάπτυξη, με τη συμμετοχή ανεξάρτητων εμπειρογνωμόνων, η οποία θα αποτελέσει ευκαιρία να την αξιολογήσει σε σχέση με τη νέα προσέγγιση της Επιτροπής του Ιουνίου</w:t>
      </w:r>
      <w:r w:rsidR="009E3E82" w:rsidRPr="009710E6">
        <w:t xml:space="preserve"> του</w:t>
      </w:r>
      <w:r w:rsidR="002D5EA4" w:rsidRPr="009710E6">
        <w:t xml:space="preserve"> 2022 και να εξετάσει το ενδεχόμενο να λάβει υπόψη συγκεκριμένες προτάσεις που υπέβαλε ο Καναδάς το 2020 προκειμένου να δοθεί πιο δεσμευτικό πεδίο εφαρμογής σε ορισμένες διατάξεις του κεφαλαίου αυτού· υπενθυμίζει ότι η μεικτή επιτροπή μπορεί να παράσχει δεσμευτική απόφαση για τη θέσπιση χαρτών πορείας για την ενίσχυση της συνεργασίας σε τομείς στους οποίους η εκ των υστέρων αξιολόγηση θα εντοπίσει ελλείψεις, και αναμένει ότι θα το πράξει ενεργά· πιστεύει ότι προτού καταβληθούν προσπάθειες για καλύτερη εφαρμογή του κεφαλαίου για το εμπόριο και την βιώσιμη ανάπτυξη ή την επανεξέτασή του θα πρέπει να προηγηθεί ουσιαστική διαβούλευση με όλα τα ενδιαφερόμενα μέρη·</w:t>
      </w:r>
    </w:p>
    <w:p w:rsidR="002D5EA4" w:rsidRPr="009710E6" w:rsidRDefault="009710E6" w:rsidP="009710E6">
      <w:pPr>
        <w:pStyle w:val="NormalHanging12a"/>
        <w:widowControl/>
        <w:ind w:left="570" w:hanging="570"/>
      </w:pPr>
      <w:r w:rsidRPr="009710E6">
        <w:t>32.</w:t>
      </w:r>
      <w:r w:rsidRPr="009710E6">
        <w:tab/>
      </w:r>
      <w:r w:rsidR="002D5EA4" w:rsidRPr="009710E6">
        <w:t>σημειώνει ότι το Ηνωμένο Βασίλειο έπαψε να είναι μέλος της Ευρωπαϊκής Ένωσης μετά την προσωρινή εφαρμογή της ΣΟΕΣ· σημειώνει ότι το Ηνωμένο Βασίλειο και ο Καναδάς έχουν συμφωνήσει σε μια σειρά διμερών εμπορικών ρυθμίσεων για να ληφθεί υπόψη το γεγονός αυτό, μεταξύ άλλων όσον αφορά τη χρήση και τη σώρευση δασμολογικών ποσοστώσεων· σημειώνει ότι ορισμένες από αυτές τις συμφωνίες θα παύσουν να ισχύουν μετά το 2024, γεγονός που ενδέχεται να προκαλέσει μικρές διαταραχές στις καθιερωμένες εφοδιαστικές αλυσίδες· καλεί την Επιτροπή να διερευνήσει τη δυνατότητα σύναψης νέων συμφωνιών στις περιπτώσεις όπου οι εν λόγω διαταραχές ενδέχεται να επηρεάσουν αρνητικά τους οικονομικούς φορείς της Ένωσης·</w:t>
      </w:r>
    </w:p>
    <w:p w:rsidR="002D5EA4" w:rsidRPr="009710E6" w:rsidRDefault="009710E6" w:rsidP="009710E6">
      <w:pPr>
        <w:widowControl/>
        <w:spacing w:after="240"/>
        <w:ind w:left="570" w:hanging="570"/>
      </w:pPr>
      <w:r w:rsidRPr="009710E6">
        <w:t>33.</w:t>
      </w:r>
      <w:r w:rsidRPr="009710E6">
        <w:tab/>
      </w:r>
      <w:r w:rsidR="002D5EA4" w:rsidRPr="009710E6">
        <w:t xml:space="preserve">καλεί τα μέρη να επανεξετάσουν τη ΣΟΕΣ μετά την κύρωσή της, κάνοντας χρήση της ρήτρας επανεξέτασης, προκειμένου να θεσπίσουν έναν κατάλληλο και αποτελεσματικό μηχανισμό επίλυσης διαφορών για το εμπόριο και τη βιώσιμη ανάπτυξη, ο οποίος θα περιλαμβάνει, μεταξύ διαφόρων μεθόδων επιβολής, την εξέταση αποτρεπτικών κυρώσεων που θα χρησιμοποιούνται, ως έσχατη λύση, σε περίπτωση σοβαρών παραβιάσεων· τονίζει την επιθυμία του να εξετάσει το ενδεχόμενο θεσμοθέτησης της συνεχιζόμενης συνεργασίας για το εμπόριο και την ισότητα των φύλων στην εν λόγω επανεξέταση· τονίζει ότι η επανεξέταση αυτή θα πρέπει να εξετάσει το ενδεχόμενο θέσπισης ειδικών ισχυρών διατάξεων σχετικά με τα δικαιώματα των αυτοχθόνων πληθυσμών, συμπεριλαμβανομένης της Σύμβασης αριθ. 169 της Διεθνούς Οργάνωσης </w:t>
      </w:r>
      <w:r w:rsidR="002D5EA4" w:rsidRPr="009710E6">
        <w:lastRenderedPageBreak/>
        <w:t xml:space="preserve">Εργασίας και της Διακήρυξης των Ηνωμένων Εθνών για τα δικαιώματα των αυτοχθόνων πληθυσμών·  </w:t>
      </w:r>
    </w:p>
    <w:p w:rsidR="002D5EA4" w:rsidRPr="009710E6" w:rsidRDefault="009710E6" w:rsidP="009710E6">
      <w:pPr>
        <w:pStyle w:val="NormalHanging12a"/>
        <w:widowControl/>
        <w:ind w:left="570" w:hanging="570"/>
      </w:pPr>
      <w:r w:rsidRPr="009710E6">
        <w:t>34.</w:t>
      </w:r>
      <w:r w:rsidRPr="009710E6">
        <w:tab/>
      </w:r>
      <w:r w:rsidR="002D5EA4" w:rsidRPr="009710E6">
        <w:t>παροτρύνει το Βέλγιο, τη Βουλγαρία, την Κύπρο, τη Γαλλία, την Ελλάδα, την Ουγγαρία, την Ιρλανδία, την Ιταλία, την Πολωνία και τη Σλοβενία να κυρώσουν άμεσα τη ΣΟΕΣ, καθώς και αυτό θα είναι απαραίτητο για την επικαιροποίηση της συμφωνίας, και επαναλαμβάνει τη σημασία της πλήρους εφαρμογής της ΣΟΕΣ, συμπεριλαμβανομένων των διατάξεών της για την προστασία των επενδύσεων·</w:t>
      </w:r>
    </w:p>
    <w:p w:rsidR="002D5EA4" w:rsidRPr="009710E6" w:rsidRDefault="002D5EA4" w:rsidP="009E3E82">
      <w:pPr>
        <w:widowControl/>
        <w:spacing w:after="240"/>
        <w:ind w:left="567" w:hanging="567"/>
      </w:pPr>
      <w:r w:rsidRPr="009710E6">
        <w:t>35.</w:t>
      </w:r>
      <w:r w:rsidRPr="009710E6">
        <w:tab/>
        <w:t>αναθέτει στην Πρόεδρό του να διαβιβάσει το παρόν ψήφισμα στο Συμβούλιο και στην Επιτροπή, καθώς και στην κυβέρνηση και το Κοινοβούλιο του Καναδά.</w:t>
      </w:r>
    </w:p>
    <w:p w:rsidR="00E365E1" w:rsidRPr="009710E6" w:rsidRDefault="00E365E1" w:rsidP="009E3E82">
      <w:pPr>
        <w:widowControl/>
        <w:spacing w:after="240"/>
        <w:ind w:left="567" w:hanging="567"/>
      </w:pPr>
      <w:bookmarkStart w:id="9" w:name="TextBodyEnd"/>
      <w:bookmarkEnd w:id="9"/>
    </w:p>
    <w:p w:rsidR="009E3E82" w:rsidRPr="009710E6" w:rsidRDefault="009E3E82">
      <w:pPr>
        <w:widowControl/>
        <w:spacing w:after="240"/>
        <w:ind w:left="567" w:hanging="567"/>
      </w:pPr>
    </w:p>
    <w:sectPr w:rsidR="009E3E82" w:rsidRPr="009710E6" w:rsidSect="009E657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6258" w:rsidRPr="009E6570" w:rsidRDefault="00E06258">
      <w:r w:rsidRPr="009E6570">
        <w:separator/>
      </w:r>
    </w:p>
  </w:endnote>
  <w:endnote w:type="continuationSeparator" w:id="0">
    <w:p w:rsidR="00E06258" w:rsidRPr="009E6570" w:rsidRDefault="00E06258">
      <w:r w:rsidRPr="009E65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657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657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657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6258" w:rsidRPr="009E6570" w:rsidRDefault="00E06258">
      <w:r w:rsidRPr="009E6570">
        <w:separator/>
      </w:r>
    </w:p>
  </w:footnote>
  <w:footnote w:type="continuationSeparator" w:id="0">
    <w:p w:rsidR="00E06258" w:rsidRPr="009E6570" w:rsidRDefault="00E06258">
      <w:r w:rsidRPr="009E6570">
        <w:continuationSeparator/>
      </w:r>
    </w:p>
  </w:footnote>
  <w:footnote w:id="1">
    <w:p w:rsidR="002D5EA4" w:rsidRPr="009E6570" w:rsidRDefault="002D5EA4" w:rsidP="009E3E82">
      <w:pPr>
        <w:pStyle w:val="FootnoteText"/>
        <w:spacing w:line="240" w:lineRule="auto"/>
        <w:ind w:left="567" w:hanging="567"/>
        <w:rPr>
          <w:sz w:val="24"/>
          <w:lang w:val="el-GR"/>
        </w:rPr>
      </w:pPr>
      <w:r w:rsidRPr="009E6570">
        <w:rPr>
          <w:rStyle w:val="FootnoteReference"/>
          <w:sz w:val="24"/>
          <w:lang w:val="el-GR"/>
        </w:rPr>
        <w:footnoteRef/>
      </w:r>
      <w:r w:rsidR="009E6570" w:rsidRPr="009E6570">
        <w:rPr>
          <w:sz w:val="24"/>
          <w:lang w:val="el-GR"/>
        </w:rPr>
        <w:t xml:space="preserve"> </w:t>
      </w:r>
      <w:r w:rsidR="009E6570" w:rsidRPr="009E6570">
        <w:rPr>
          <w:sz w:val="24"/>
          <w:lang w:val="el-GR"/>
        </w:rPr>
        <w:tab/>
      </w:r>
      <w:r w:rsidRPr="009E3E82">
        <w:rPr>
          <w:sz w:val="24"/>
          <w:lang w:val="el-GR"/>
        </w:rPr>
        <w:t>ΕΕ L 11 της 14.1.2017, σ. 23</w:t>
      </w:r>
      <w:r w:rsidRPr="009E6570">
        <w:rPr>
          <w:sz w:val="24"/>
          <w:lang w:val="el-GR"/>
        </w:rPr>
        <w:t>.</w:t>
      </w:r>
    </w:p>
  </w:footnote>
  <w:footnote w:id="2">
    <w:p w:rsidR="002D5EA4" w:rsidRPr="009E6570" w:rsidRDefault="002D5EA4" w:rsidP="009E3E82">
      <w:pPr>
        <w:pStyle w:val="FootnoteText"/>
        <w:spacing w:line="240" w:lineRule="auto"/>
        <w:ind w:left="567" w:hanging="567"/>
        <w:rPr>
          <w:sz w:val="24"/>
          <w:lang w:val="el-GR"/>
        </w:rPr>
      </w:pPr>
      <w:r w:rsidRPr="009E6570">
        <w:rPr>
          <w:rStyle w:val="FootnoteReference"/>
          <w:sz w:val="24"/>
          <w:lang w:val="el-GR"/>
        </w:rPr>
        <w:footnoteRef/>
      </w:r>
      <w:r w:rsidR="009E6570" w:rsidRPr="009E6570">
        <w:rPr>
          <w:sz w:val="24"/>
          <w:lang w:val="el-GR"/>
        </w:rPr>
        <w:t xml:space="preserve"> </w:t>
      </w:r>
      <w:r w:rsidR="009E6570" w:rsidRPr="009E6570">
        <w:rPr>
          <w:sz w:val="24"/>
          <w:lang w:val="el-GR"/>
        </w:rPr>
        <w:tab/>
      </w:r>
      <w:r w:rsidRPr="009E3E82">
        <w:rPr>
          <w:sz w:val="24"/>
          <w:lang w:val="el-GR"/>
        </w:rPr>
        <w:t>ΕΕ L 11</w:t>
      </w:r>
      <w:r w:rsidR="009E3E82">
        <w:rPr>
          <w:sz w:val="24"/>
          <w:lang w:val="el-GR"/>
        </w:rPr>
        <w:t xml:space="preserve"> της</w:t>
      </w:r>
      <w:r w:rsidRPr="009E3E82">
        <w:rPr>
          <w:sz w:val="24"/>
          <w:lang w:val="el-GR"/>
        </w:rPr>
        <w:t xml:space="preserve"> 14.1.2017, σ. 3</w:t>
      </w:r>
      <w:r w:rsidRPr="009E6570">
        <w:rPr>
          <w:sz w:val="24"/>
          <w:lang w:val="el-GR"/>
        </w:rPr>
        <w:t>.</w:t>
      </w:r>
    </w:p>
  </w:footnote>
  <w:footnote w:id="3">
    <w:p w:rsidR="002D5EA4" w:rsidRPr="009E6570" w:rsidRDefault="002D5EA4" w:rsidP="009E3E82">
      <w:pPr>
        <w:pStyle w:val="FootnoteText"/>
        <w:spacing w:line="240" w:lineRule="auto"/>
        <w:ind w:left="567" w:hanging="567"/>
        <w:rPr>
          <w:sz w:val="24"/>
          <w:lang w:val="el-GR"/>
        </w:rPr>
      </w:pPr>
      <w:r w:rsidRPr="009E6570">
        <w:rPr>
          <w:rStyle w:val="FootnoteReference"/>
          <w:sz w:val="24"/>
          <w:lang w:val="el-GR"/>
        </w:rPr>
        <w:footnoteRef/>
      </w:r>
      <w:r w:rsidR="009E6570" w:rsidRPr="009E6570">
        <w:rPr>
          <w:sz w:val="24"/>
          <w:lang w:val="el-GR"/>
        </w:rPr>
        <w:t xml:space="preserve"> </w:t>
      </w:r>
      <w:r w:rsidR="009E6570" w:rsidRPr="009E6570">
        <w:rPr>
          <w:sz w:val="24"/>
          <w:lang w:val="el-GR"/>
        </w:rPr>
        <w:tab/>
      </w:r>
      <w:r w:rsidRPr="009E3E82">
        <w:rPr>
          <w:sz w:val="24"/>
          <w:lang w:val="el-GR"/>
        </w:rPr>
        <w:t>ΕΕ C 252 της 18.7.2018, σ. 348.</w:t>
      </w:r>
    </w:p>
  </w:footnote>
  <w:footnote w:id="4">
    <w:p w:rsidR="002D5EA4" w:rsidRPr="009E6570" w:rsidRDefault="002D5EA4" w:rsidP="009E3E82">
      <w:pPr>
        <w:pStyle w:val="FootnoteText"/>
        <w:spacing w:line="240" w:lineRule="auto"/>
        <w:ind w:left="567" w:hanging="567"/>
        <w:rPr>
          <w:sz w:val="24"/>
          <w:lang w:val="el-GR"/>
        </w:rPr>
      </w:pPr>
      <w:r w:rsidRPr="009E6570">
        <w:rPr>
          <w:rStyle w:val="FootnoteReference"/>
          <w:sz w:val="24"/>
          <w:lang w:val="el-GR"/>
        </w:rPr>
        <w:footnoteRef/>
      </w:r>
      <w:r w:rsidR="009E6570" w:rsidRPr="009E6570">
        <w:rPr>
          <w:sz w:val="24"/>
          <w:lang w:val="el-GR"/>
        </w:rPr>
        <w:t xml:space="preserve"> </w:t>
      </w:r>
      <w:r w:rsidR="009E6570" w:rsidRPr="009E6570">
        <w:rPr>
          <w:sz w:val="24"/>
          <w:lang w:val="el-GR"/>
        </w:rPr>
        <w:tab/>
      </w:r>
      <w:r w:rsidR="0073143C">
        <w:rPr>
          <w:sz w:val="24"/>
          <w:lang w:val="el-GR"/>
        </w:rPr>
        <w:t xml:space="preserve">Γνώμη </w:t>
      </w:r>
      <w:bookmarkStart w:id="8" w:name="_GoBack"/>
      <w:bookmarkEnd w:id="8"/>
      <w:r w:rsidRPr="009E6570">
        <w:rPr>
          <w:sz w:val="24"/>
          <w:lang w:val="el-GR"/>
        </w:rPr>
        <w:t>του Δικαστηρίου της Ευρωπαϊκής Ένωσης της 16ης Μαΐου 2017 δυνάμει του άρθρου 218 παράγραφος 11 ΣΛΕΕ σχετικά με τη Συμφωνία Ελευθέρων Συναλλαγών μεταξύ της Ευρωπαϊκής Ένωσης και της Δημοκρατίας της Σινγκαπούρης, ECLI:EU:C:2017:376.</w:t>
      </w:r>
    </w:p>
  </w:footnote>
  <w:footnote w:id="5">
    <w:p w:rsidR="002D5EA4" w:rsidRPr="009E6570" w:rsidRDefault="002D5EA4" w:rsidP="009E3E82">
      <w:pPr>
        <w:pStyle w:val="FootnoteText"/>
        <w:spacing w:line="240" w:lineRule="auto"/>
        <w:ind w:left="567" w:hanging="567"/>
        <w:rPr>
          <w:sz w:val="24"/>
          <w:lang w:val="el-GR"/>
        </w:rPr>
      </w:pPr>
      <w:r w:rsidRPr="009E6570">
        <w:rPr>
          <w:rStyle w:val="FootnoteReference"/>
          <w:sz w:val="24"/>
          <w:lang w:val="el-GR"/>
        </w:rPr>
        <w:footnoteRef/>
      </w:r>
      <w:r w:rsidR="009E6570" w:rsidRPr="009E6570">
        <w:rPr>
          <w:sz w:val="24"/>
          <w:lang w:val="el-GR"/>
        </w:rPr>
        <w:t xml:space="preserve"> </w:t>
      </w:r>
      <w:r w:rsidR="009E6570" w:rsidRPr="009E6570">
        <w:rPr>
          <w:sz w:val="24"/>
          <w:lang w:val="el-GR"/>
        </w:rPr>
        <w:tab/>
      </w:r>
      <w:r w:rsidRPr="009E6570">
        <w:rPr>
          <w:sz w:val="24"/>
          <w:lang w:val="el-GR"/>
        </w:rPr>
        <w:t>ΕΕ C 32 της 27.1.2023, σ. 96.</w:t>
      </w:r>
    </w:p>
  </w:footnote>
  <w:footnote w:id="6">
    <w:p w:rsidR="002D5EA4" w:rsidRPr="009E6570" w:rsidRDefault="002D5EA4" w:rsidP="009E3E82">
      <w:pPr>
        <w:pStyle w:val="FootnoteText"/>
        <w:spacing w:line="240" w:lineRule="auto"/>
        <w:ind w:left="567" w:hanging="567"/>
        <w:rPr>
          <w:sz w:val="24"/>
          <w:lang w:val="el-GR"/>
        </w:rPr>
      </w:pPr>
      <w:r w:rsidRPr="009E6570">
        <w:rPr>
          <w:rStyle w:val="FootnoteReference"/>
          <w:sz w:val="24"/>
          <w:lang w:val="el-GR"/>
        </w:rPr>
        <w:footnoteRef/>
      </w:r>
      <w:r w:rsidR="009E6570" w:rsidRPr="009E6570">
        <w:rPr>
          <w:sz w:val="24"/>
          <w:lang w:val="el-GR"/>
        </w:rPr>
        <w:t xml:space="preserve"> </w:t>
      </w:r>
      <w:r w:rsidR="009E6570" w:rsidRPr="009E6570">
        <w:rPr>
          <w:sz w:val="24"/>
          <w:lang w:val="el-GR"/>
        </w:rPr>
        <w:tab/>
      </w:r>
      <w:r w:rsidRPr="009E6570">
        <w:rPr>
          <w:sz w:val="24"/>
          <w:lang w:val="el-GR"/>
        </w:rPr>
        <w:t>Ανακοίνωση της Επιτροπής, της 9ης Δεκεμβρίου 2021, με τίτλο «Οικοδόμηση μιας οικονομίας στην υπηρεσία των ανθρώπων: σχέδιο δράσης για την κοινωνική οικονομία» (COM(2021)0778).</w:t>
      </w:r>
    </w:p>
  </w:footnote>
  <w:footnote w:id="7">
    <w:p w:rsidR="002D5EA4" w:rsidRPr="009E6570" w:rsidRDefault="002D5EA4" w:rsidP="009E3E82">
      <w:pPr>
        <w:pStyle w:val="FootnoteText"/>
        <w:spacing w:line="240" w:lineRule="auto"/>
        <w:ind w:left="567" w:hanging="567"/>
        <w:rPr>
          <w:sz w:val="24"/>
          <w:lang w:val="el-GR"/>
        </w:rPr>
      </w:pPr>
      <w:r w:rsidRPr="009E6570">
        <w:rPr>
          <w:rStyle w:val="FootnoteReference"/>
          <w:sz w:val="24"/>
          <w:lang w:val="el-GR"/>
        </w:rPr>
        <w:footnoteRef/>
      </w:r>
      <w:r w:rsidR="009E6570" w:rsidRPr="009E6570">
        <w:rPr>
          <w:sz w:val="24"/>
          <w:lang w:val="el-GR"/>
        </w:rPr>
        <w:t xml:space="preserve"> </w:t>
      </w:r>
      <w:r w:rsidR="009E6570" w:rsidRPr="009E6570">
        <w:rPr>
          <w:sz w:val="24"/>
          <w:lang w:val="el-GR"/>
        </w:rPr>
        <w:tab/>
      </w:r>
      <w:r w:rsidRPr="009E6570">
        <w:rPr>
          <w:sz w:val="24"/>
          <w:lang w:val="el-GR"/>
        </w:rPr>
        <w:t>Ψήφισμα του Ευρωπαϊκού Κοινοβουλίου της 10ης Μαρτίου 2022 σχετικά με το σχέδιο δράσης της ΕΕ για θέματα φύλου III (ΕΕ C 347 της 9.9.2022, σ. 150).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657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657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657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A91483E"/>
    <w:multiLevelType w:val="hybridMultilevel"/>
    <w:tmpl w:val="8BE8B9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9CD134B"/>
    <w:multiLevelType w:val="hybridMultilevel"/>
    <w:tmpl w:val="B75A9E48"/>
    <w:lvl w:ilvl="0" w:tplc="098EF8A0">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0/2023"/>
    <w:docVar w:name="dvlangue" w:val="EL"/>
    <w:docVar w:name="dvnumam" w:val="0"/>
    <w:docVar w:name="dvpe" w:val="753.671"/>
    <w:docVar w:name="dvrapporteur" w:val="Εισηγητής: "/>
    <w:docVar w:name="dvtitre" w:val="Ψήφισμα του Ευρωπαϊκού Κοινοβουλίου σχετικά με την εφαρμογή της συνολικής οικονομικής και εμπορικής συμφωνίας (ΣΟΕΣ) ΕΕ-Καναδά(2023/2001(INI))"/>
  </w:docVars>
  <w:rsids>
    <w:rsidRoot w:val="00E06258"/>
    <w:rsid w:val="00002272"/>
    <w:rsid w:val="00064002"/>
    <w:rsid w:val="000677B9"/>
    <w:rsid w:val="000831BA"/>
    <w:rsid w:val="000A42CC"/>
    <w:rsid w:val="000E7DD9"/>
    <w:rsid w:val="0010095E"/>
    <w:rsid w:val="00125B37"/>
    <w:rsid w:val="00187494"/>
    <w:rsid w:val="001F32AE"/>
    <w:rsid w:val="002767FF"/>
    <w:rsid w:val="002B18FE"/>
    <w:rsid w:val="002B5493"/>
    <w:rsid w:val="002D5EA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43C"/>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10E6"/>
    <w:rsid w:val="00981893"/>
    <w:rsid w:val="009E3E82"/>
    <w:rsid w:val="009E657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5AFB"/>
    <w:rsid w:val="00C941CB"/>
    <w:rsid w:val="00CC2357"/>
    <w:rsid w:val="00CF071A"/>
    <w:rsid w:val="00D058B8"/>
    <w:rsid w:val="00D56C11"/>
    <w:rsid w:val="00D834A0"/>
    <w:rsid w:val="00D872DF"/>
    <w:rsid w:val="00D91E21"/>
    <w:rsid w:val="00DA7FCD"/>
    <w:rsid w:val="00E0625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CDDD87"/>
  <w15:chartTrackingRefBased/>
  <w15:docId w15:val="{4CF2FD8E-6F74-4DF9-A153-7E29AB1AA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aliases w:val="Footnote,Footnote1,Footnote10,Footnote11,Footnote2,Footnote21,Footnote3,Footnote31,Footnote4,Footnote41,Footnote5,Footnote51,Footnote6,Footnote61,Footnote7,Footnote71,Footnote8,Footnote9,Fußnotentextf,Fußnotentextr,fn,footnote text,stile 1"/>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Char,Footnote1 Char,Footnote10 Char,Footnote11 Char,Footnote2 Char,Footnote21 Char,Footnote3 Char,Footnote31 Char,Footnote4 Char,Footnote41 Char,Footnote5 Char,Footnote51 Char,Footnote6 Char,Footnote61 Char,Footnote7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2D5EA4"/>
    <w:rPr>
      <w:b/>
    </w:rPr>
  </w:style>
  <w:style w:type="paragraph" w:customStyle="1" w:styleId="NormalHanging12a">
    <w:name w:val="NormalHanging12a"/>
    <w:basedOn w:val="Normal"/>
    <w:link w:val="NormalHanging12aChar"/>
    <w:rsid w:val="002D5EA4"/>
    <w:pPr>
      <w:spacing w:after="240"/>
      <w:ind w:left="567" w:hanging="567"/>
    </w:pPr>
  </w:style>
  <w:style w:type="paragraph" w:customStyle="1" w:styleId="EPComma">
    <w:name w:val="EPComma"/>
    <w:basedOn w:val="Normal"/>
    <w:rsid w:val="002D5EA4"/>
    <w:pPr>
      <w:spacing w:before="480" w:after="240"/>
    </w:pPr>
  </w:style>
  <w:style w:type="character" w:styleId="Hyperlink">
    <w:name w:val="Hyperlink"/>
    <w:basedOn w:val="DefaultParagraphFont"/>
    <w:rsid w:val="002D5EA4"/>
    <w:rPr>
      <w:color w:val="0563C1" w:themeColor="hyperlink"/>
      <w:u w:val="single"/>
    </w:rPr>
  </w:style>
  <w:style w:type="character" w:customStyle="1" w:styleId="NormalHanging12aChar">
    <w:name w:val="NormalHanging12a Char"/>
    <w:basedOn w:val="DefaultParagraphFont"/>
    <w:link w:val="NormalHanging12a"/>
    <w:rsid w:val="002D5EA4"/>
    <w:rPr>
      <w:sz w:val="24"/>
      <w:lang w:val="el-GR"/>
    </w:rPr>
  </w:style>
  <w:style w:type="paragraph" w:styleId="ListParagraph">
    <w:name w:val="List Paragraph"/>
    <w:basedOn w:val="Normal"/>
    <w:uiPriority w:val="34"/>
    <w:qFormat/>
    <w:rsid w:val="009E3E82"/>
    <w:pPr>
      <w:ind w:left="720"/>
      <w:contextualSpacing/>
    </w:pPr>
  </w:style>
  <w:style w:type="paragraph" w:styleId="BalloonText">
    <w:name w:val="Balloon Text"/>
    <w:basedOn w:val="Normal"/>
    <w:link w:val="BalloonTextChar"/>
    <w:rsid w:val="009E3E82"/>
    <w:rPr>
      <w:rFonts w:ascii="Segoe UI" w:hAnsi="Segoe UI" w:cs="Segoe UI"/>
      <w:sz w:val="18"/>
      <w:szCs w:val="18"/>
    </w:rPr>
  </w:style>
  <w:style w:type="character" w:customStyle="1" w:styleId="BalloonTextChar">
    <w:name w:val="Balloon Text Char"/>
    <w:basedOn w:val="DefaultParagraphFont"/>
    <w:link w:val="BalloonText"/>
    <w:rsid w:val="009E3E82"/>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60475A-FC15-4F33-8E4A-27B85E565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4264</Words>
  <Characters>25846</Characters>
  <Application>Microsoft Office Word</Application>
  <DocSecurity>0</DocSecurity>
  <Lines>453</Lines>
  <Paragraphs>144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 </dc:creator>
  <cp:keywords/>
  <cp:lastModifiedBy>TSOBANOU Stella</cp:lastModifiedBy>
  <cp:revision>2</cp:revision>
  <cp:lastPrinted>2004-11-19T15:42:00Z</cp:lastPrinted>
  <dcterms:created xsi:type="dcterms:W3CDTF">2024-02-14T14:51:00Z</dcterms:created>
  <dcterms:modified xsi:type="dcterms:W3CDTF">2024-02-14T14:51:00Z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A9-0400/2023</vt:lpwstr>
  </property>
  <property fmtid="{D5CDD505-2E9C-101B-9397-08002B2CF9AE}" pid="4" name="&lt;Type&gt;">
    <vt:lpwstr>RR</vt:lpwstr>
  </property>
</Properties>
</file>