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42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4277" w:rsidRDefault="009E2DF6" w:rsidP="0010095E">
            <w:pPr>
              <w:pStyle w:val="EPName"/>
            </w:pPr>
            <w:r w:rsidRPr="00644277">
              <w:t>Europski parlament</w:t>
            </w:r>
          </w:p>
          <w:p w:rsidR="00751A4A" w:rsidRPr="0064427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427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44277" w:rsidRDefault="00187494" w:rsidP="0010095E">
            <w:pPr>
              <w:pStyle w:val="EPLogo"/>
            </w:pPr>
            <w:r w:rsidRPr="00644277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4277" w:rsidRDefault="00D058B8" w:rsidP="004C5D52">
      <w:pPr>
        <w:pStyle w:val="LineTop"/>
      </w:pPr>
    </w:p>
    <w:p w:rsidR="00680577" w:rsidRPr="00644277" w:rsidRDefault="009E2DF6" w:rsidP="00680577">
      <w:pPr>
        <w:pStyle w:val="EPBodyTA1"/>
      </w:pPr>
      <w:r w:rsidRPr="00644277">
        <w:t>USVOJENI TEKSTOVI</w:t>
      </w:r>
    </w:p>
    <w:p w:rsidR="00D058B8" w:rsidRPr="00644277" w:rsidRDefault="00D058B8" w:rsidP="00D058B8">
      <w:pPr>
        <w:pStyle w:val="LineBottom"/>
      </w:pPr>
    </w:p>
    <w:p w:rsidR="009E2DF6" w:rsidRPr="00644277" w:rsidRDefault="009E2DF6" w:rsidP="009E2DF6">
      <w:pPr>
        <w:pStyle w:val="ATHeading1"/>
      </w:pPr>
      <w:bookmarkStart w:id="0" w:name="TANumber"/>
      <w:r w:rsidRPr="00644277">
        <w:t>P9_TA(2024)00</w:t>
      </w:r>
      <w:r w:rsidR="00AD67A7">
        <w:t>26</w:t>
      </w:r>
      <w:bookmarkStart w:id="1" w:name="_GoBack"/>
      <w:bookmarkEnd w:id="0"/>
      <w:bookmarkEnd w:id="1"/>
    </w:p>
    <w:p w:rsidR="009E2DF6" w:rsidRPr="00644277" w:rsidRDefault="006A4451" w:rsidP="009E2DF6">
      <w:pPr>
        <w:pStyle w:val="ATHeading2"/>
      </w:pPr>
      <w:bookmarkStart w:id="2" w:name="title"/>
      <w:r w:rsidRPr="006A4451">
        <w:rPr>
          <w:bCs/>
          <w:szCs w:val="28"/>
          <w:shd w:val="clear" w:color="auto" w:fill="FFFFFF"/>
        </w:rPr>
        <w:t>Provedba Sveobuhvatnog gospodarskog i trgovinskog sporazuma između EU-a i Kanade (CETA)</w:t>
      </w:r>
      <w:bookmarkEnd w:id="2"/>
    </w:p>
    <w:p w:rsidR="009E2DF6" w:rsidRPr="00644277" w:rsidRDefault="009E2DF6" w:rsidP="009E2DF6">
      <w:pPr>
        <w:rPr>
          <w:i/>
          <w:vanish/>
        </w:rPr>
      </w:pPr>
      <w:r w:rsidRPr="00644277">
        <w:rPr>
          <w:i/>
        </w:rPr>
        <w:fldChar w:fldCharType="begin"/>
      </w:r>
      <w:r w:rsidRPr="00644277">
        <w:rPr>
          <w:i/>
        </w:rPr>
        <w:instrText xml:space="preserve"> TC"(</w:instrText>
      </w:r>
      <w:bookmarkStart w:id="3" w:name="DocNumber"/>
      <w:r w:rsidRPr="00644277">
        <w:rPr>
          <w:i/>
        </w:rPr>
        <w:instrText>A9-0400/2023</w:instrText>
      </w:r>
      <w:bookmarkEnd w:id="3"/>
      <w:r w:rsidRPr="00644277">
        <w:rPr>
          <w:i/>
        </w:rPr>
        <w:instrText xml:space="preserve"> - Izvjestitelj: </w:instrText>
      </w:r>
      <w:proofErr w:type="spellStart"/>
      <w:r w:rsidRPr="00644277">
        <w:rPr>
          <w:i/>
        </w:rPr>
        <w:instrText>Javier</w:instrText>
      </w:r>
      <w:proofErr w:type="spellEnd"/>
      <w:r w:rsidRPr="00644277">
        <w:rPr>
          <w:i/>
        </w:rPr>
        <w:instrText xml:space="preserve"> Moreno </w:instrText>
      </w:r>
      <w:proofErr w:type="spellStart"/>
      <w:r w:rsidRPr="00644277">
        <w:rPr>
          <w:i/>
        </w:rPr>
        <w:instrText>Sánchez</w:instrText>
      </w:r>
      <w:proofErr w:type="spellEnd"/>
      <w:r w:rsidRPr="00644277">
        <w:rPr>
          <w:i/>
        </w:rPr>
        <w:instrText xml:space="preserve">)"\l3 \n&gt; \* MERGEFORMAT </w:instrText>
      </w:r>
      <w:r w:rsidRPr="00644277">
        <w:rPr>
          <w:i/>
        </w:rPr>
        <w:fldChar w:fldCharType="end"/>
      </w:r>
    </w:p>
    <w:p w:rsidR="009E2DF6" w:rsidRPr="00644277" w:rsidRDefault="009E2DF6" w:rsidP="009E2DF6">
      <w:pPr>
        <w:rPr>
          <w:vanish/>
        </w:rPr>
      </w:pPr>
      <w:bookmarkStart w:id="4" w:name="Commission"/>
      <w:r w:rsidRPr="00644277">
        <w:rPr>
          <w:vanish/>
        </w:rPr>
        <w:t>Odbor za međunarodnu trgovinu</w:t>
      </w:r>
      <w:bookmarkEnd w:id="4"/>
    </w:p>
    <w:p w:rsidR="009E2DF6" w:rsidRPr="00644277" w:rsidRDefault="009E2DF6" w:rsidP="009E2DF6">
      <w:pPr>
        <w:rPr>
          <w:vanish/>
        </w:rPr>
      </w:pPr>
      <w:bookmarkStart w:id="5" w:name="PE"/>
      <w:r w:rsidRPr="00644277">
        <w:rPr>
          <w:vanish/>
        </w:rPr>
        <w:t>PE753.671</w:t>
      </w:r>
      <w:bookmarkEnd w:id="5"/>
    </w:p>
    <w:p w:rsidR="009E2DF6" w:rsidRPr="00644277" w:rsidRDefault="009E2DF6" w:rsidP="009E2DF6">
      <w:pPr>
        <w:pStyle w:val="ATHeading3"/>
      </w:pPr>
      <w:bookmarkStart w:id="6" w:name="Sujet"/>
      <w:r w:rsidRPr="00644277">
        <w:t>Rezolu</w:t>
      </w:r>
      <w:r w:rsidR="00644277">
        <w:t>cija Europskog parlamenta od 17</w:t>
      </w:r>
      <w:r w:rsidRPr="00644277">
        <w:t xml:space="preserve">. </w:t>
      </w:r>
      <w:r w:rsidR="00644277">
        <w:t xml:space="preserve">siječnja </w:t>
      </w:r>
      <w:r w:rsidRPr="00644277">
        <w:t>2024. o provedbi Sveobuhvatnog gospodarskog i trgovinskog sporazuma između EU-a i Kanade (CETA)</w:t>
      </w:r>
      <w:bookmarkEnd w:id="6"/>
      <w:r w:rsidRPr="00644277">
        <w:t xml:space="preserve"> </w:t>
      </w:r>
      <w:bookmarkStart w:id="7" w:name="References"/>
      <w:r w:rsidRPr="00644277">
        <w:t>(2023/2001(INI))</w:t>
      </w:r>
      <w:bookmarkEnd w:id="7"/>
    </w:p>
    <w:p w:rsidR="00571A9E" w:rsidRPr="00644277" w:rsidRDefault="00571A9E" w:rsidP="00571A9E">
      <w:pPr>
        <w:pStyle w:val="EPComma"/>
      </w:pPr>
      <w:bookmarkStart w:id="8" w:name="TextBodyBegin"/>
      <w:bookmarkEnd w:id="8"/>
      <w:r w:rsidRPr="00644277">
        <w:rPr>
          <w:i/>
        </w:rPr>
        <w:t>Europski parlament</w:t>
      </w:r>
      <w:r w:rsidRPr="00644277">
        <w:t>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Sveobuhvatni gospodarski i trgovinski sporazum (CETA) između Kanade, s jedne strane, i Europske unije i njezinih država članica, s druge strane</w:t>
      </w:r>
      <w:r w:rsidRPr="00644277">
        <w:rPr>
          <w:rStyle w:val="FootnoteReference"/>
        </w:rPr>
        <w:footnoteReference w:id="1"/>
      </w:r>
      <w:r w:rsidRPr="00644277">
        <w:t>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Zajednički instrument za tumačenje Sveobuhvatnoga gospodarskog i trgovinskog sporazuma (CETA) između Kanade i Europske unije i njezinih država članica</w:t>
      </w:r>
      <w:r w:rsidRPr="00644277">
        <w:rPr>
          <w:rStyle w:val="FootnoteReference"/>
        </w:rPr>
        <w:footnoteReference w:id="2"/>
      </w:r>
      <w:r w:rsidRPr="00644277">
        <w:t>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strateško partnerstvo za ključne sirovine između Kanade, s jedne strane, i Europske unije i njezinih država članica, s druge strane, koje je dogovoreno i pokrenuto na sastanku na vrhu EU-a i Kanade 14. i 15. lipnja 2021.,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Odluku br. X/2023 Zajedničkog odbora CETA-e o tumačenju određenih pojmova iz članka 8.10., Priloga 8.-A i članka 8.39.,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svoje stajalište od 15. veljače 2017. o Nacrtu odluke Vijeća o sklapanju Sveobuhvatnog gospodarskog i trgovinskog sporazuma (CETA) između Kanade, s jedne strane, i Europske unije i njezinih država članica, s druge strane</w:t>
      </w:r>
      <w:r w:rsidRPr="00644277">
        <w:rPr>
          <w:rStyle w:val="FootnoteReference"/>
        </w:rPr>
        <w:footnoteReference w:id="3"/>
      </w:r>
      <w:r w:rsidRPr="00644277">
        <w:t>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Mišljenje 2/15 Suda Europske unije od 16. svibnja 2017. u skladu s člankom 218. stavkom 11. UFEU-a o Sporazumu o slobodnoj trgovini između Europske unije i Republike Singapura</w:t>
      </w:r>
      <w:r w:rsidRPr="00644277">
        <w:rPr>
          <w:rStyle w:val="FootnoteReference"/>
        </w:rPr>
        <w:footnoteReference w:id="4"/>
      </w:r>
      <w:r w:rsidRPr="00644277">
        <w:t>,</w:t>
      </w:r>
    </w:p>
    <w:p w:rsidR="00571A9E" w:rsidRPr="00644277" w:rsidRDefault="00571A9E" w:rsidP="00571A9E">
      <w:pPr>
        <w:pStyle w:val="NormalHanging12a"/>
      </w:pPr>
      <w:r w:rsidRPr="00644277">
        <w:lastRenderedPageBreak/>
        <w:t>–</w:t>
      </w:r>
      <w:r w:rsidRPr="00644277">
        <w:tab/>
        <w:t>uzimajući u obzir zajedničke izjave domaćih savjetodavnih skupina EU-a i Kanade,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Izvješće Komisije od 11. listopada 2022. o provedbi i izvršenju trgovinskih sporazuma EU-a (COM(2022)0730),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komunikaciju Komisije od 22. lipnja 2022. naslovljenu „Snaga trgovinskih partnerstava: zajedno za zeleni i pravedan gospodarski rast” (COM(2022)0409),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izvješće Zajedničkog odbora CETA-e od 31. ožujka 2023. nakon njegova trećeg sastanka,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svoju Rezoluciju od 23. lipnja 2022. o budućnosti međunarodne investicijske politike EU-a</w:t>
      </w:r>
      <w:r w:rsidRPr="00644277">
        <w:rPr>
          <w:rStyle w:val="FootnoteReference"/>
        </w:rPr>
        <w:footnoteReference w:id="5"/>
      </w:r>
      <w:r w:rsidRPr="00644277">
        <w:t>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preporuke Zajedničkog odbora CETA-e od 26. rujna 2018. o trgovini, djelovanju u području klime i Pariškom sporazumu, o trgovini i rodu te o malim i srednjim poduzećima (MSP-ovi),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komunikaciju Komisije od 5. ožujka 2020. naslovljenu „Unija ravnopravnosti: Strategija za rodnu ravnopravnost 2020. – 2025.”(COM(2020)0152),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izvješća različitih specijaliziranih odbora, Foruma civilnog društva i Foruma za regulatornu suradnju,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Šesto izvješće o procjeni Međuvladinog panela o klimatskim promjenama (IPCC) objavljeno 20. ožujka 2023.,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 xml:space="preserve">uzimajući u obzir uzastopne revizije koje je Glavna uprava Komisije za zdravlje i sigurnost hrane provela 2014., 2019. i 2022. u pogledu </w:t>
      </w:r>
      <w:proofErr w:type="spellStart"/>
      <w:r w:rsidRPr="00644277">
        <w:t>sljedivosti</w:t>
      </w:r>
      <w:proofErr w:type="spellEnd"/>
      <w:r w:rsidRPr="00644277">
        <w:t xml:space="preserve"> i kvalitete postojećih sustava kontrole kojima se uređuje proizvodnja govedine i svinjetine namijenjene izvozu u Europsku uniju,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članak 54. Poslovnika, kao i članak 1. stavak 1. točku (e) te Prilog III. Odluci Konferencije predsjednika od 12. prosinca 2002. o postupku odobrenja izrade izvješća o vlastitoj inicijativi,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mišljenje Odbora za poljoprivredu i ruralni razvoj,</w:t>
      </w:r>
    </w:p>
    <w:p w:rsidR="00571A9E" w:rsidRPr="00644277" w:rsidRDefault="00571A9E" w:rsidP="00571A9E">
      <w:pPr>
        <w:pStyle w:val="NormalHanging12a"/>
      </w:pPr>
      <w:r w:rsidRPr="00644277">
        <w:t>–</w:t>
      </w:r>
      <w:r w:rsidRPr="00644277">
        <w:tab/>
        <w:t>uzimajući u obzir izvješće Odbora za međunarodnu trgovinu (A9-0400/2023),</w:t>
      </w:r>
    </w:p>
    <w:p w:rsidR="00571A9E" w:rsidRPr="00644277" w:rsidRDefault="00571A9E" w:rsidP="00571A9E">
      <w:pPr>
        <w:pStyle w:val="NormalHanging12a"/>
      </w:pPr>
      <w:r w:rsidRPr="00644277">
        <w:t>A.</w:t>
      </w:r>
      <w:r w:rsidRPr="00644277">
        <w:tab/>
        <w:t xml:space="preserve">budući da je CETA jedan od prvih trgovinskih sporazuma koji je EU sklopio s nekim drugim velikim gospodarstvom OECD-a nakon Južne Koreje; budući da je to bio i najambiciozniji sveobuhvatni sporazum koji su EU ili Kanada sklopili u to vrijeme, uključujući dosad nezabilježen pristup javnoj nabavi na </w:t>
      </w:r>
      <w:proofErr w:type="spellStart"/>
      <w:r w:rsidRPr="00644277">
        <w:t>podsaveznoj</w:t>
      </w:r>
      <w:proofErr w:type="spellEnd"/>
      <w:r w:rsidRPr="00644277">
        <w:t xml:space="preserve"> i saveznoj razini;</w:t>
      </w:r>
    </w:p>
    <w:p w:rsidR="00571A9E" w:rsidRPr="00644277" w:rsidRDefault="00571A9E" w:rsidP="00571A9E">
      <w:pPr>
        <w:pStyle w:val="NormalHanging12a"/>
      </w:pPr>
      <w:r w:rsidRPr="00644277">
        <w:t>B.</w:t>
      </w:r>
      <w:r w:rsidRPr="00644277">
        <w:tab/>
        <w:t>budući da se CETA privremeno primjenjuje od 21. rujna 2017., tj. više od šest godina;</w:t>
      </w:r>
    </w:p>
    <w:p w:rsidR="00571A9E" w:rsidRPr="00644277" w:rsidRDefault="00571A9E" w:rsidP="00571A9E">
      <w:pPr>
        <w:pStyle w:val="NormalHanging12a"/>
      </w:pPr>
      <w:r w:rsidRPr="00644277">
        <w:t>C.</w:t>
      </w:r>
      <w:r w:rsidRPr="00644277">
        <w:tab/>
        <w:t xml:space="preserve">budući da važne odredbe, posebno one koje se odnose na zaštitu ulaganja, još uvijek </w:t>
      </w:r>
      <w:r w:rsidRPr="00644277">
        <w:lastRenderedPageBreak/>
        <w:t>nisu primijenjene jer nisu sve države članice ratificirale Sporazum;</w:t>
      </w:r>
    </w:p>
    <w:p w:rsidR="00571A9E" w:rsidRPr="00644277" w:rsidRDefault="00571A9E" w:rsidP="00571A9E">
      <w:pPr>
        <w:pStyle w:val="NormalHanging12a"/>
      </w:pPr>
      <w:r w:rsidRPr="00644277">
        <w:t>D.</w:t>
      </w:r>
      <w:r w:rsidRPr="00644277">
        <w:tab/>
        <w:t>budući da Kanada i EU dovršavaju Nacrt odluke Zajedničkog odbora CETA-e o tumačenju određenih pojmova iz članka 8.10., Priloga 8.-A i članka 8.39. kojima se utvrđuje područje prava na reguliranje u kontekstu poglavlja o zaštiti ulaganja i o olakšavanju pristupa MSP-ova sustavu sudova za ulaganja u okviru CETA-e;</w:t>
      </w:r>
    </w:p>
    <w:p w:rsidR="00571A9E" w:rsidRPr="00644277" w:rsidRDefault="00571A9E" w:rsidP="00571A9E">
      <w:pPr>
        <w:pStyle w:val="NormalHanging12a"/>
      </w:pPr>
      <w:r w:rsidRPr="00644277">
        <w:t>E.</w:t>
      </w:r>
      <w:r w:rsidRPr="00644277">
        <w:tab/>
        <w:t>budući da je EU 2022. nakon Sjedinjenih Američkih Država i Kine bio treći najveći trgovinski partner Kanade koji je činio 8,2 % njezine svjetske trgovine robom; budući da je Kanada iste godine bila na 14. mjestu među međunarodnim trgovinskim partnerima EU-a te je činila gotovo 1,4 % njegove ukupne vanjske trgovine robom;</w:t>
      </w:r>
    </w:p>
    <w:p w:rsidR="00571A9E" w:rsidRPr="00644277" w:rsidRDefault="00571A9E" w:rsidP="00571A9E">
      <w:pPr>
        <w:pStyle w:val="NormalHanging12a"/>
      </w:pPr>
      <w:r w:rsidRPr="00644277">
        <w:t>F.</w:t>
      </w:r>
      <w:r w:rsidRPr="00644277">
        <w:tab/>
        <w:t>budući da je agresivni rat Rusije protiv Ukrajine pokazao da je potrebno diversificirati trgovinske sporazume i smanjiti ovisnost o uvozu i izvozu od ograničenog broja trgovinskih partnera te da je važno sklapati trgovinske sporazume s partnerima koji imaju slične interese;</w:t>
      </w:r>
    </w:p>
    <w:p w:rsidR="00571A9E" w:rsidRPr="00644277" w:rsidRDefault="00571A9E" w:rsidP="00571A9E">
      <w:pPr>
        <w:pStyle w:val="NormalHanging12a"/>
      </w:pPr>
      <w:r w:rsidRPr="00644277">
        <w:t>G.</w:t>
      </w:r>
      <w:r w:rsidRPr="00644277">
        <w:tab/>
        <w:t>budući da je djelotvorna provedba i praćenje trgovinskih sporazuma EU-a ključan prioritet Parlamenta, Vijeća i Komisije za praćenje, ocjenu i prilagodbu zajedničke trgovinske politike EU-a; budući da je izvješćivanje o provedbi Sporazuma s Kanadom pravovremen i koristan doprinos razmatranju o funkcioniranju trgovinskih sporazuma EU-a;</w:t>
      </w:r>
    </w:p>
    <w:p w:rsidR="00571A9E" w:rsidRPr="00644277" w:rsidRDefault="00571A9E" w:rsidP="00571A9E">
      <w:pPr>
        <w:pStyle w:val="NormalHanging12a"/>
      </w:pPr>
      <w:r w:rsidRPr="00644277">
        <w:t>H.</w:t>
      </w:r>
      <w:r w:rsidRPr="00644277">
        <w:tab/>
        <w:t>budući da je institucionalni okvir u sklopu CETA-e sada u potpunosti uspostavljen, s 19 specijaliziranih odbora, Forumom za regulatornu suradnju i Forumom civilnog društva, a njihovi programi i izvješća javno su dostupni;</w:t>
      </w:r>
    </w:p>
    <w:p w:rsidR="00571A9E" w:rsidRPr="00644277" w:rsidRDefault="00571A9E" w:rsidP="00571A9E">
      <w:pPr>
        <w:pStyle w:val="NormalHanging12a"/>
      </w:pPr>
      <w:r w:rsidRPr="00644277">
        <w:t>I.</w:t>
      </w:r>
      <w:r w:rsidRPr="00644277">
        <w:tab/>
        <w:t>budući da je Kanada bila prva zemlja s kojom je EU uspostavio strateško partnerstvo za ključne sirovine, koje je naknadno dopunjeno inicijativom Zelenog saveza, digitalnim partnerstvom EU-a i Kanade i partnerstvom u području oceana;</w:t>
      </w:r>
    </w:p>
    <w:p w:rsidR="00571A9E" w:rsidRPr="00644277" w:rsidRDefault="00571A9E" w:rsidP="00571A9E">
      <w:pPr>
        <w:pStyle w:val="NormalHanging12a"/>
      </w:pPr>
      <w:r w:rsidRPr="00644277">
        <w:t>J.</w:t>
      </w:r>
      <w:r w:rsidRPr="00644277">
        <w:tab/>
        <w:t>budući da Kanada aktivno sudjeluje u dijalogu WTO-a o onečišćenju plastikom i okolišno održivoj trgovini plastikom i Odboru WTO-a za trgovinu i okoliš, ali nije članica inicijative za reformu subvencija za fosilna goriva;</w:t>
      </w:r>
    </w:p>
    <w:p w:rsidR="00571A9E" w:rsidRPr="00644277" w:rsidRDefault="00571A9E" w:rsidP="00571A9E">
      <w:pPr>
        <w:pStyle w:val="NormalHanging12a"/>
      </w:pPr>
      <w:r w:rsidRPr="00644277">
        <w:t>K.</w:t>
      </w:r>
      <w:r w:rsidRPr="00644277">
        <w:tab/>
        <w:t>budući da sada postoji dovoljno iskustva, podataka i statističkih informacija za ocjenu privremene provedbe CETA-e;</w:t>
      </w:r>
    </w:p>
    <w:p w:rsidR="00571A9E" w:rsidRPr="00644277" w:rsidRDefault="00571A9E" w:rsidP="00571A9E">
      <w:pPr>
        <w:pStyle w:val="NormalHanging12a"/>
      </w:pPr>
      <w:r w:rsidRPr="00644277">
        <w:t>L.</w:t>
      </w:r>
      <w:r w:rsidRPr="00644277">
        <w:tab/>
        <w:t xml:space="preserve">budući da je Kanada svjetski predvodnik u zajedničkom oblikovanju javne politike za socijalno i solidarno gospodarstvo te budući da socijalno i solidarno gospodarstvo čini gotovo 10 % bruto domaćeg proizvoda (BDP) u određenim pokrajinama kao što je </w:t>
      </w:r>
      <w:proofErr w:type="spellStart"/>
      <w:r w:rsidRPr="00644277">
        <w:t>Quebec</w:t>
      </w:r>
      <w:proofErr w:type="spellEnd"/>
      <w:r w:rsidRPr="00644277">
        <w:t xml:space="preserve"> i na njega otpada otprilike 210 000 radnih mjesta;</w:t>
      </w:r>
    </w:p>
    <w:p w:rsidR="00571A9E" w:rsidRPr="00644277" w:rsidRDefault="00571A9E" w:rsidP="00571A9E">
      <w:pPr>
        <w:pStyle w:val="NormalHanging12a"/>
        <w:rPr>
          <w:b/>
          <w:szCs w:val="24"/>
        </w:rPr>
      </w:pPr>
      <w:r w:rsidRPr="00644277">
        <w:rPr>
          <w:b/>
          <w:i/>
        </w:rPr>
        <w:t>Glavni zaključci i preporuke</w:t>
      </w:r>
    </w:p>
    <w:p w:rsidR="00571A9E" w:rsidRPr="00644277" w:rsidRDefault="00571A9E" w:rsidP="00571A9E">
      <w:pPr>
        <w:pStyle w:val="NormalHanging12a"/>
      </w:pPr>
      <w:r w:rsidRPr="00644277">
        <w:t>1.</w:t>
      </w:r>
      <w:r w:rsidRPr="00644277">
        <w:tab/>
        <w:t xml:space="preserve">ističe da se CETA oslanja na partnerstvo utemeljeno na pravilima i vrijednostima kojim se promiče sigurnije i stabilnije gospodarsko okruženje među trgovinskim partnerima, što je posebno važno u kontekstu povećanih geopolitičkih neizvjesnosti, i koji se temelji na načelima održivog razvoja i poštovanja ljudskih prava te radnim i ekološkim standardima; smatra da takva predvidljivost može potaknuti gospodarski rast, razmjenu robe, pružanje usluga, sudjelovanje u javnoj nabavi, privlačnost ulaganja, kvalitetno zapošljavanje, stvaranje većeg broja i bolje plaćenih radnih mjesta te poboljšanje radnih </w:t>
      </w:r>
      <w:r w:rsidRPr="00644277">
        <w:lastRenderedPageBreak/>
        <w:t>uvjeta i životnog standarda; napominje, međutim, da se u okviru CETA-e treba dodatno ojačati održivi razvoj, poštovanje ljudskih i radničkih prava te zaštititi klimu;</w:t>
      </w:r>
    </w:p>
    <w:p w:rsidR="00571A9E" w:rsidRPr="00644277" w:rsidRDefault="00571A9E" w:rsidP="00571A9E">
      <w:pPr>
        <w:pStyle w:val="NormalHanging12a"/>
      </w:pPr>
      <w:r w:rsidRPr="00644277">
        <w:t>2.</w:t>
      </w:r>
      <w:r w:rsidRPr="00644277">
        <w:tab/>
        <w:t>sa zadovoljstvom napominje da se trgovina robom između EU-a i Kanade povećala za 66 % od 2016. do 2022., dok se trgovina uslugama između EU-a i Kanade povećala za 46 %, što je nadmašilo ostalu trgovinu izvan EU-a; konstatira činjenicu da se tijekom prvih pet godina privremene primjene izvoz robe iz EU-a u Kanadu povećao za 47 %, a najveći dobitak zabilježen je kod izrađenih proizvoda, kemijskih proizvoda te hrane i proizvoda životinjskog podrijetla; napominje da se većina bojazni koje su iznesene prije privremene primjene sporazuma u vezi s priljevom kanadskih poljoprivrednih proizvoda na tržište EU-a nije ostvarila; primjećuje da je kanadski izvoz u EU porastao za 46,4 %, a najveća je dobit zabilježena u rudama, dragom kamenju i metalima te mineralnim gorivima i uljima;</w:t>
      </w:r>
    </w:p>
    <w:p w:rsidR="00571A9E" w:rsidRPr="00644277" w:rsidRDefault="00571A9E" w:rsidP="00571A9E">
      <w:pPr>
        <w:pStyle w:val="NormalHanging12a"/>
        <w:rPr>
          <w:bCs/>
          <w:iCs/>
        </w:rPr>
      </w:pPr>
      <w:r w:rsidRPr="00644277">
        <w:t>3.</w:t>
      </w:r>
      <w:r w:rsidRPr="00644277">
        <w:tab/>
        <w:t xml:space="preserve">ističe da se bilateralna trgovina prehrambenim i poljoprivrednim proizvodima između EU-a i Kanade znatno povećala, pri čemu se izvoz poljoprivrednih proizvoda iz EU-a u Kanadu povećao za 62 %, dok se uvoz tih proizvoda u EU iz Kanade povećao za 52 % od početka privremene primjene CETA-e; napominje da je to znatno koristilo proizvođačima i izvoznicima s obje strane te da je također doprinijelo otvaranju radnih mjesta; pozdravlja znatno povećanje broja </w:t>
      </w:r>
      <w:proofErr w:type="spellStart"/>
      <w:r w:rsidRPr="00644277">
        <w:t>mikropoduzeća</w:t>
      </w:r>
      <w:proofErr w:type="spellEnd"/>
      <w:r w:rsidRPr="00644277">
        <w:t xml:space="preserve"> te malih i srednjih poduzeća u Uniji koja izvoze u Kanadu, kao i povećanje vrijednosti izvezenih proizvoda te primjećuje da sporazum prema tome značajno pridonosi njihovim interesima;</w:t>
      </w:r>
    </w:p>
    <w:p w:rsidR="00571A9E" w:rsidRPr="00644277" w:rsidRDefault="00571A9E" w:rsidP="00571A9E">
      <w:pPr>
        <w:pStyle w:val="NormalHanging12a"/>
        <w:rPr>
          <w:szCs w:val="24"/>
        </w:rPr>
      </w:pPr>
      <w:r w:rsidRPr="00644277">
        <w:t>4.</w:t>
      </w:r>
      <w:r w:rsidRPr="00644277">
        <w:tab/>
        <w:t xml:space="preserve">naglašava da se pri provedbi CETA-e, kao i pri provedbi svih drugih trgovinskih sporazuma EU-a, mora voditi računa o poštovanju održive poljoprivredne proizvodnje, reciprocitetu i održavanju visokih standarda, posebno sanitarnih, </w:t>
      </w:r>
      <w:proofErr w:type="spellStart"/>
      <w:r w:rsidRPr="00644277">
        <w:t>fitosanitarnih</w:t>
      </w:r>
      <w:proofErr w:type="spellEnd"/>
      <w:r w:rsidRPr="00644277">
        <w:t xml:space="preserve"> i veterinarskih standarda, te o provedbi odgovarajućih kontrola i praćenju međusobne usklađenosti s tim standardima;</w:t>
      </w:r>
    </w:p>
    <w:p w:rsidR="00571A9E" w:rsidRPr="00644277" w:rsidRDefault="00571A9E" w:rsidP="00571A9E">
      <w:pPr>
        <w:pStyle w:val="NormalHanging12a"/>
      </w:pPr>
      <w:r w:rsidRPr="00644277">
        <w:t>5.</w:t>
      </w:r>
      <w:r w:rsidRPr="00644277">
        <w:tab/>
        <w:t xml:space="preserve">pozdravlja činjenicu da su se trgovinski tokovi između dviju strana općenito pokazali otpornima tijekom </w:t>
      </w:r>
      <w:proofErr w:type="spellStart"/>
      <w:r w:rsidRPr="00644277">
        <w:t>pandemije</w:t>
      </w:r>
      <w:proofErr w:type="spellEnd"/>
      <w:r w:rsidRPr="00644277">
        <w:t xml:space="preserve"> i u teškoj situaciji uzrokovanoj ruskom ratnom agresijom na Ukrajinu, kad su se oduprli pritisku na lance opskrbe i doprinosili jačanju sigurnosti opskrbe hranom; smatra da bi CETA trebala služiti kao alat za olakšavanje suradnje i zajedničkog djelovanja u obnovi Ukrajine nakon što rat završi;</w:t>
      </w:r>
    </w:p>
    <w:p w:rsidR="00571A9E" w:rsidRPr="00644277" w:rsidRDefault="00571A9E" w:rsidP="00571A9E">
      <w:pPr>
        <w:pStyle w:val="NormalHanging12a"/>
      </w:pPr>
      <w:r w:rsidRPr="00644277">
        <w:t>6.</w:t>
      </w:r>
      <w:r w:rsidRPr="00644277">
        <w:tab/>
        <w:t>ističe da je izvoz iz EU-a ključan za zapošljavanje; pozdravlja činjenicu da je CETA doprinijela stvaranju novih mogućnosti zapošljavanja jer se broj radnih mjesta povezanih s izvozom iz EU-a u Kanadu povećao s 624 000 u 2017. na više od 700 000 u 2021.;</w:t>
      </w:r>
    </w:p>
    <w:p w:rsidR="00571A9E" w:rsidRPr="00644277" w:rsidRDefault="00571A9E" w:rsidP="00571A9E">
      <w:pPr>
        <w:pStyle w:val="NormalHanging12a"/>
      </w:pPr>
      <w:r w:rsidRPr="00644277">
        <w:t>7.</w:t>
      </w:r>
      <w:r w:rsidRPr="00644277">
        <w:tab/>
        <w:t>naglašava važnost olakšavanja mobilnosti radne snage u okviru CETA-e jer se time osigurava odgovarajući prijenos vještina između EU-a i Kanade te sprječava nestašica kvalificirane radne snage; u tom pogledu pozdravlja činjenicu da je 2022. uspješno sklopljen prvi sporazum o uzajamnom priznavanju u okviru CETA-e, i to za kvalifikacije arhitekata; smatra da bi plava karta EU-a mogla dodatno olakšati razmjene između dvaju konkurentnih gospodarstava s visokoobrazovanim stanovništvom; ističe da programi razmjene između akademskih institucija EU-a i Kanade mogu dugoročno dodatno doprinijeti potrebnoj mobilnosti radne snage;</w:t>
      </w:r>
    </w:p>
    <w:p w:rsidR="00571A9E" w:rsidRPr="00644277" w:rsidRDefault="00571A9E" w:rsidP="00571A9E">
      <w:pPr>
        <w:pStyle w:val="NormalHanging12a"/>
      </w:pPr>
      <w:r w:rsidRPr="00644277">
        <w:t>8.</w:t>
      </w:r>
      <w:r w:rsidRPr="00644277">
        <w:tab/>
        <w:t xml:space="preserve">napominje da su dvije najvažnije kategorije proizvoda koje EU i Kanada međusobno izvoze strojevi i prijevozna oprema koji čine oko 34 % izvoza i uvoza, te kemijski i </w:t>
      </w:r>
      <w:r w:rsidRPr="00644277">
        <w:lastRenderedPageBreak/>
        <w:t xml:space="preserve">farmaceutski proizvodi i proizvodi od plastike koji čine oko 20 % ukupnog izvoza i uvoza; napominje, međutim, da je sektor rudarstva i vađenja sirovina, posebno gnojiva, nikla, </w:t>
      </w:r>
      <w:proofErr w:type="spellStart"/>
      <w:r w:rsidRPr="00644277">
        <w:t>uranija</w:t>
      </w:r>
      <w:proofErr w:type="spellEnd"/>
      <w:r w:rsidRPr="00644277">
        <w:t xml:space="preserve"> i katranskog pijeska, vrlo značajan kad je riječ o uvozu iz Kanade, u usporedbi s drugim trgovinskim partnerima, koji čini gotovo 20 % ukupnog EU-ova uvoza iz Kanade; ističe da je pristup ključnim sirovinama od pouzdanih trgovinskih partnera, uključujući Kanadu, glavni element strategije EU-a za ključne sirovine i od iznimne je važnosti za ostvarivanje održive zelene tranzicije;</w:t>
      </w:r>
    </w:p>
    <w:p w:rsidR="00571A9E" w:rsidRPr="00644277" w:rsidRDefault="00571A9E" w:rsidP="00571A9E">
      <w:pPr>
        <w:pStyle w:val="NormalHanging12a"/>
      </w:pPr>
      <w:r w:rsidRPr="00644277">
        <w:t>9.</w:t>
      </w:r>
      <w:r w:rsidRPr="00644277">
        <w:tab/>
        <w:t>naglašava da je suradnja u pogledu pristupa ključnim sirovinama jako važna u trenutačnom geopolitičkom okruženju, kao i za zelenu i pravednu tranziciju, te pozdravlja potpisivanje Strateškog partnerstva EU-a i Kanade za ključne sirovine u srpnju 2021. u okviru CETA-e, koje bi trebalo poduprijeti integraciju lanaca vrijednosti sirovina između EU-a i Kanade te poticati suradnju u području znanosti, tehnologije i inovacija; napominje da je to važna sastavnica Europske strategije gospodarske sigurnosti; uvjeren je da se vađenje sirovina mora odvijati uz poštovanje ekoloških standarda te radničkih i ljudskih prava, uključujući prava autohtonih naroda;</w:t>
      </w:r>
    </w:p>
    <w:p w:rsidR="00571A9E" w:rsidRPr="00644277" w:rsidRDefault="00571A9E" w:rsidP="00571A9E">
      <w:pPr>
        <w:pStyle w:val="NormalHanging12a"/>
      </w:pPr>
      <w:r w:rsidRPr="00644277">
        <w:t>10.</w:t>
      </w:r>
      <w:r w:rsidRPr="00644277">
        <w:tab/>
        <w:t>pozdravlja činjenicu da se europska i kanadska poduzeća stalno i sve više koriste povlasticama dodijeljenima u okviru CETA-a, pri čemu su stope iskorištavanja povlastica i za EU i za Kanadu 2022. iznosile 60 % u usporedbi s 40 % odnosno 52 % iz 2018.; sa zanimanjem primjećuje da se manja poduzeća koriste povlasticama u većoj mjeri od velikih poduzeća te da su stope iskorištavanja znatno više za poljoprivredno-prehrambene industrije u usporedbi s proizvodnim industrijama; naglašava da za nekoliko država članica EU-a niske stope iskorištavanja u ključnim sektorima ukazuju na propuštene uštede troškova i smanjene socijalne pogodnosti od Sporazuma; potiče oba partnera da nastave promicati mjere za povećanje informiranosti o CETA-i među dionicima u obje regije, među ostalim na EU-ovoj platformi „Access2Markets”; naglašava važnost poticanja novih mogućnosti za poduzeća i potrošače u okviru digitalne trgovine u skladu sa standardima EU-a;</w:t>
      </w:r>
    </w:p>
    <w:p w:rsidR="00571A9E" w:rsidRPr="00644277" w:rsidRDefault="00571A9E" w:rsidP="00571A9E">
      <w:pPr>
        <w:pStyle w:val="NormalHanging12a"/>
      </w:pPr>
      <w:r w:rsidRPr="00644277">
        <w:t>11.</w:t>
      </w:r>
      <w:r w:rsidRPr="00644277">
        <w:tab/>
        <w:t xml:space="preserve">napominje da je stopa iskorištavanja carinske kvote za uvoz govedine i teletine u EU 2021. iznosila samo 3 % te da su izvoznici iz EU-a povećali svoj tržišni udio u Kanadi, tako da EU izvozi više smrznute govedine u Kanadu nego što iz nje uvozi; napominje, međutim, da se stopa iskorištavanja te carinske kvote s vremenom može promijeniti zbog varijacija na drugim kanadskim izvoznim tržištima, posebno u SAD-u i Kini; </w:t>
      </w:r>
    </w:p>
    <w:p w:rsidR="00571A9E" w:rsidRPr="00644277" w:rsidRDefault="00571A9E" w:rsidP="00571A9E">
      <w:pPr>
        <w:pStyle w:val="NormalHanging12a"/>
      </w:pPr>
      <w:r w:rsidRPr="00644277">
        <w:t>12.</w:t>
      </w:r>
      <w:r w:rsidRPr="00644277">
        <w:tab/>
        <w:t xml:space="preserve">ističe da, prema izvješću o reviziji Glavne uprave Komisije za zdravlje i sigurnost hrane, Kanada tek treba na zadovoljavajući način provesti preporuke Glavne uprave iz revizije </w:t>
      </w:r>
      <w:proofErr w:type="spellStart"/>
      <w:r w:rsidRPr="00644277">
        <w:t>sljedivosti</w:t>
      </w:r>
      <w:proofErr w:type="spellEnd"/>
      <w:r w:rsidRPr="00644277">
        <w:t xml:space="preserve"> i kvalitete postojećih sustava kontrole kojima se uređuje proizvodnja govedine i svinjetine namijenjene izvozu u Europsku uniju;</w:t>
      </w:r>
    </w:p>
    <w:p w:rsidR="00571A9E" w:rsidRPr="00644277" w:rsidRDefault="00571A9E" w:rsidP="00571A9E">
      <w:pPr>
        <w:pStyle w:val="NormalHanging12a"/>
      </w:pPr>
      <w:r w:rsidRPr="00644277">
        <w:t>13.</w:t>
      </w:r>
      <w:r w:rsidRPr="00644277">
        <w:tab/>
        <w:t xml:space="preserve">pozdravlja uvođenje usklađene potvrde EU-a o izvozu za izvoz svježe peradi iz odobrenih država članica, koja se primjenjuje od 2021.; poziva Komisiju da nastoji ostvariti daljnji napredak u pogledu sličnih certifikata za prerađeno meso te ovčje i kozje meso te da istodobno pojača napore za osiguravanje strožih sustava </w:t>
      </w:r>
      <w:proofErr w:type="spellStart"/>
      <w:r w:rsidRPr="00644277">
        <w:t>sljedivosti</w:t>
      </w:r>
      <w:proofErr w:type="spellEnd"/>
      <w:r w:rsidRPr="00644277">
        <w:t xml:space="preserve"> mesnih proizvoda; poziva Komisiju da u okviru upravljačkog odbora i u suradnji s kanadskim vlastima i državama članicama ostvari napredak u priznavanju preostalih sustava kontrole mesa kako bi se ostalim državama članicama omogućio izvoz mesa u Kanadu;</w:t>
      </w:r>
    </w:p>
    <w:p w:rsidR="00571A9E" w:rsidRPr="00644277" w:rsidRDefault="00571A9E" w:rsidP="00571A9E">
      <w:pPr>
        <w:pStyle w:val="NormalHanging12a"/>
      </w:pPr>
      <w:r w:rsidRPr="00644277">
        <w:t>14.</w:t>
      </w:r>
      <w:r w:rsidRPr="00644277">
        <w:tab/>
        <w:t xml:space="preserve">žali zbog toga što se u CETA-i općenito ne primjenjuje načelo regionalizacije te se EU </w:t>
      </w:r>
      <w:r w:rsidRPr="00644277">
        <w:lastRenderedPageBreak/>
        <w:t>smatra jedinstvenim područjem u pogledu stočarske proizvodnje, ali ne i u pogledu proizvodnje voća i povrća, što znači da svaka država članica mora pojedinačno pregovarati i dogovoriti izvozne zahtjeve za svaki proizvod; poziva da se taj nedostatak ispravi što je prije moguće u okviru Zajedničkog upravljačkog odbora EU-a i Kanade;</w:t>
      </w:r>
    </w:p>
    <w:p w:rsidR="00571A9E" w:rsidRPr="00644277" w:rsidRDefault="00571A9E" w:rsidP="00571A9E">
      <w:pPr>
        <w:pStyle w:val="NormalHanging12a"/>
        <w:rPr>
          <w:szCs w:val="24"/>
        </w:rPr>
      </w:pPr>
      <w:r w:rsidRPr="00644277">
        <w:t>15.</w:t>
      </w:r>
      <w:r w:rsidRPr="00644277">
        <w:tab/>
        <w:t>poziva Komisiju da olakša aktualnu suradnju s kanadskim vlastima kako bi se u CETA-i više pozornosti posvetilo zaštitnim mjerama za standarde dobrobiti životinja i ocijenila izvedivost buduće uspostave zrcalnih klauzula u tom području kako bi se zajamčila istovjetnost standarda dobrobiti životinja, a time i jednaki uvjeti za proizvode životinjskog podrijetla iz EU-a i uvezene proizvode životinjskog podrijetla;</w:t>
      </w:r>
    </w:p>
    <w:p w:rsidR="00571A9E" w:rsidRPr="00644277" w:rsidRDefault="00571A9E" w:rsidP="00571A9E">
      <w:pPr>
        <w:pStyle w:val="NormalHanging12a"/>
      </w:pPr>
      <w:r w:rsidRPr="00644277">
        <w:t>16.</w:t>
      </w:r>
      <w:r w:rsidRPr="00644277">
        <w:tab/>
        <w:t>podsjeća da trgovinska politika EU-a, a posebno CETA, ima znatan gospodarski učinak na najudaljenije regije te stoga naglašava potrebu za zaštitom interesa tih regija u budućim pregovorima ili mogućim revizijama tog sporazuma;</w:t>
      </w:r>
    </w:p>
    <w:p w:rsidR="00571A9E" w:rsidRPr="00644277" w:rsidRDefault="00571A9E" w:rsidP="00571A9E">
      <w:pPr>
        <w:pStyle w:val="NormalHanging12a"/>
      </w:pPr>
      <w:r w:rsidRPr="00644277">
        <w:t>17.</w:t>
      </w:r>
      <w:r w:rsidRPr="00644277">
        <w:tab/>
        <w:t>smatra da bi neke carinske kvote za proizvode EU-a trebalo dodijeliti gospodarskim subjektima registriranima u najudaljenijim regijama te da pritom treba voditi računa o njihovoj gospodarskoj situaciji; naglašava da je različito postupanje prema gospodarskim subjektima u najudaljenijim regijama ključno za osiguravanje konkurentnosti poduzeća i poštenu raspodjelu carinskih kvota među trgovačkim zastupnicima, čime se izbjegava koncentracija koristi među malim brojem gospodarskih subjekata;</w:t>
      </w:r>
    </w:p>
    <w:p w:rsidR="00571A9E" w:rsidRPr="00644277" w:rsidRDefault="00571A9E" w:rsidP="00571A9E">
      <w:pPr>
        <w:pStyle w:val="NormalHanging12a"/>
      </w:pPr>
      <w:r w:rsidRPr="00644277">
        <w:t>18.</w:t>
      </w:r>
      <w:r w:rsidRPr="00644277">
        <w:tab/>
        <w:t xml:space="preserve">prima na znanje činjenicu da stopa iskorištavanja carinske kvote u prosjeku iznosi 98 % za izvoz sira iz EU-a; međutim, poziva na </w:t>
      </w:r>
      <w:proofErr w:type="spellStart"/>
      <w:r w:rsidRPr="00644277">
        <w:t>transparentniji</w:t>
      </w:r>
      <w:proofErr w:type="spellEnd"/>
      <w:r w:rsidRPr="00644277">
        <w:t xml:space="preserve"> i fleksibilniji kanadski sustav upravljanja carinskim kvotama za mliječne proizvode, posebno za kvotu za sir, te potiče kanadske vlasti da što prije postignu napredak u pogledu moguće revizije sustava;</w:t>
      </w:r>
    </w:p>
    <w:p w:rsidR="00571A9E" w:rsidRPr="00644277" w:rsidRDefault="00571A9E" w:rsidP="00571A9E">
      <w:pPr>
        <w:pStyle w:val="NormalHanging12a"/>
      </w:pPr>
      <w:r w:rsidRPr="00644277">
        <w:t>19.</w:t>
      </w:r>
      <w:r w:rsidRPr="00644277">
        <w:tab/>
        <w:t>ističe važnost priznavanja sustava oznaka zemljopisnog podrijetla kao ključne sastavnice tog sporazuma; naglašava potrebu za daljnjom učinkovitom provedbom zaštite oznaka zemljopisnog podrijetla za nositelje prava iz EU-a u Kanadi kako bi se osiguralo povjerenje u pravilno funkcioniranje Sporazuma;</w:t>
      </w:r>
    </w:p>
    <w:p w:rsidR="00571A9E" w:rsidRPr="00644277" w:rsidRDefault="00571A9E" w:rsidP="00571A9E">
      <w:pPr>
        <w:pStyle w:val="NormalHanging12a"/>
        <w:rPr>
          <w:szCs w:val="24"/>
        </w:rPr>
      </w:pPr>
      <w:r w:rsidRPr="00644277">
        <w:t>20.</w:t>
      </w:r>
      <w:r w:rsidRPr="00644277">
        <w:tab/>
        <w:t>prima na znanje činjenicu da su se tijekom prvih šest godina privremene primjene CETA-e izvoz usluga iz EU-a u Kanadu i uvoz usluga iz Kanade u EU povećali za 54 % odnosno 74 %, s najvećim dobicima u području usluga prijevoza, poslovnih usluga te informacijskih, računalnih i telekomunikacijskih usluga, posebno u korist manjih država članica EU-a u kojima usluge imaju znatnu ulogu u gospodarskoj strukturi zemlje;</w:t>
      </w:r>
    </w:p>
    <w:p w:rsidR="00571A9E" w:rsidRPr="00644277" w:rsidRDefault="00571A9E" w:rsidP="00571A9E">
      <w:pPr>
        <w:pStyle w:val="NormalHanging12a"/>
        <w:rPr>
          <w:szCs w:val="24"/>
        </w:rPr>
      </w:pPr>
      <w:r w:rsidRPr="00644277">
        <w:t>21.</w:t>
      </w:r>
      <w:r w:rsidRPr="00644277">
        <w:tab/>
        <w:t>pozdravlja konkretna nastojanja da se olakša pristup javnoj nabavi, kao što je jedinstvena pristupna točka u Kanadi; smatra da bi, čak i ako brojna poduzeća iz EU-a uspješno sudjeluju u kanadskim natječajima, primjerice za regionalni željeznički prijevoz putnika u Ontariju ili mostove u Montrealu, dobavljači iz EU-a mogli dodatno iskoristiti ponuđene mogućnosti, posebno u pogledu infrastrukturnih projekata i nadmetanja za ugovore s pokrajinama ili općinama;</w:t>
      </w:r>
    </w:p>
    <w:p w:rsidR="00571A9E" w:rsidRPr="00644277" w:rsidRDefault="00571A9E" w:rsidP="00571A9E">
      <w:pPr>
        <w:pStyle w:val="NormalHanging12a"/>
      </w:pPr>
      <w:r w:rsidRPr="00644277">
        <w:t>22.</w:t>
      </w:r>
      <w:r w:rsidRPr="00644277">
        <w:tab/>
        <w:t xml:space="preserve">poziva strane da stave na raspolaganje svu pravnu i administrativnu potporu i alate koji su MSP-ovima potrebni za sudjelovanje u trgovini i ulaganjima u okviru CETA-e, kako bi se potaknula veća razmjena i bolje sudjelovanje s ciljem iskorištavanja prednosti CETA-e, među ostalim aktivnim mjerama za olakšavanje internacionalizacije MSP-ova, olakšali postupci i otklonile tehničke prepreke trgovini koje nerazmjerno pogađaju </w:t>
      </w:r>
      <w:r w:rsidRPr="00644277">
        <w:lastRenderedPageBreak/>
        <w:t xml:space="preserve">MSP-ove; u tom pogledu pozdravlja preporuku o MSP-ovima koju je Zajednički odbor donio 2018. i naknadne akcijske planove, uključujući konkretne mjere kao što je pokretanje platforme „Access2Markets” u listopadu 2020., putem koje se MSP-ovima pružaju praktične informacije o trgovinskim sporazumima i trgovinskim preprekama; očekuje da će se </w:t>
      </w:r>
      <w:r w:rsidRPr="00644277">
        <w:rPr>
          <w:i/>
        </w:rPr>
        <w:t>ex-post</w:t>
      </w:r>
      <w:r w:rsidRPr="00644277">
        <w:t xml:space="preserve"> evaluacijom pružiti podaci o razvoju udjela MSP-ova u trgovini između EU-a i Kanade; poziva stranke da razmotre mogućnost sveobuhvatnog poglavlja o MSP-ovima koje bi bilo slično onima u sporazumima s Novim Zelandom i Čileom;</w:t>
      </w:r>
    </w:p>
    <w:p w:rsidR="00571A9E" w:rsidRPr="00644277" w:rsidRDefault="00571A9E" w:rsidP="00571A9E">
      <w:pPr>
        <w:pStyle w:val="NormalHanging12a"/>
      </w:pPr>
      <w:r w:rsidRPr="00644277">
        <w:t>23.</w:t>
      </w:r>
      <w:r w:rsidRPr="00644277">
        <w:tab/>
        <w:t>s obzirom na važnost sektora socijalnog i solidarnog gospodarstva u Kanadi te na akcijski plan za socijalno gospodarstvo koji je Komisija donijela 9. prosinca 2021.</w:t>
      </w:r>
      <w:r w:rsidRPr="00644277">
        <w:rPr>
          <w:rStyle w:val="FootnoteReference"/>
        </w:rPr>
        <w:footnoteReference w:id="6"/>
      </w:r>
      <w:r w:rsidRPr="00644277">
        <w:t>, poziva Zajednički odbor da utvrdi koje bi se konkretne mjere mogle uvesti za promicanje veće suradnje između socijalnih i solidarnih aktera diljem Atlantika;</w:t>
      </w:r>
    </w:p>
    <w:p w:rsidR="00571A9E" w:rsidRPr="00644277" w:rsidRDefault="00571A9E" w:rsidP="00571A9E">
      <w:pPr>
        <w:pStyle w:val="NormalHanging12a"/>
      </w:pPr>
      <w:r w:rsidRPr="00644277">
        <w:t>24.</w:t>
      </w:r>
      <w:r w:rsidRPr="00644277">
        <w:tab/>
        <w:t>potiče obje strane da nastave sa svojim aktivnostima informiranja, s posebnim naglaskom na MSP-ovima i na akterima u socijalnom i solidarnom gospodarstvu, kako bi se ciljanim informativnim kampanjama povećala informiranost o mogućnostima koje nudi CETA te istodobno osiguralo da žene i muškarci imaju jednake koristi od Sporazuma;</w:t>
      </w:r>
    </w:p>
    <w:p w:rsidR="00571A9E" w:rsidRPr="00644277" w:rsidRDefault="00571A9E" w:rsidP="00571A9E">
      <w:pPr>
        <w:pStyle w:val="NormalHanging12a"/>
      </w:pPr>
      <w:r w:rsidRPr="00644277">
        <w:t>25.</w:t>
      </w:r>
      <w:r w:rsidRPr="00644277">
        <w:tab/>
        <w:t>pozdravlja činjenicu da je Zajednički odbor CETA-e već 2018. donio preporuku o trgovini i rodu, koja sadržava obvezu razmjene metoda i postupaka za prikupljanje podataka razvrstanih po rodu, upotrebu pokazatelja, metodologija praćenja i evaluacije te analizu rodno usmjerenih statističkih podataka povezanih s trgovinom; ističe da bi trgovina trebala koristiti svima, a posebno ojačati ekonomsko osnaživanje žena; snažno potiče Zajednički odbor CETA-e da nastavi pratiti učinke sporazuma na rodna pitanja; smatra da rad u okviru zajednički usvojenog akcijskog plana može poslužiti kao primjer drugim trgovinskim sporazumima, čak i ako u samom sporazumu ne postoje posebna poglavlja o trgovini i rodu; podsjeća na Rezoluciju Parlamenta o Akcijskom planu za rodnu ravnopravnost III</w:t>
      </w:r>
      <w:r w:rsidRPr="00644277">
        <w:rPr>
          <w:rStyle w:val="FootnoteReference"/>
        </w:rPr>
        <w:footnoteReference w:id="7"/>
      </w:r>
      <w:r w:rsidRPr="00644277">
        <w:t xml:space="preserve"> i potiče Komisiju da objavi podatke o primjeni sporazuma koji su lakše dostupni i razvrstani po rodu, posebno u vezi s poglavljima o javnoj nabavi te trgovini i radu;</w:t>
      </w:r>
    </w:p>
    <w:p w:rsidR="00571A9E" w:rsidRPr="00644277" w:rsidRDefault="00571A9E" w:rsidP="00571A9E">
      <w:pPr>
        <w:pStyle w:val="NormalHanging12a"/>
      </w:pPr>
      <w:r w:rsidRPr="00644277">
        <w:t>26.</w:t>
      </w:r>
      <w:r w:rsidRPr="00644277">
        <w:tab/>
        <w:t>poziva Komisiju da spriječi slabljenje načela predostrožnosti kao temeljnog načela Europske unije sadržanog u Ugovorima i jamca zaštite europskih poljoprivrednika i građana; ističe važnost promicanja načela predostrožnosti u svim aspektima trgovine i osiguravanja njegove primjene, izbjegavajući pritom neopravdane prepreke trgovini;</w:t>
      </w:r>
    </w:p>
    <w:p w:rsidR="00571A9E" w:rsidRPr="00644277" w:rsidRDefault="00571A9E" w:rsidP="00571A9E">
      <w:pPr>
        <w:pStyle w:val="NormalHanging12a"/>
      </w:pPr>
      <w:r w:rsidRPr="00644277">
        <w:t>27.</w:t>
      </w:r>
      <w:r w:rsidRPr="00644277">
        <w:tab/>
        <w:t xml:space="preserve">naglašava da CETA pruža okvir kojim se potiču i trgovina i mjere u području klime uključivanjem obveza suradnje u pitanjima okoliša od zajedničkog interesa povezanima s trgovinom, kao što su klimatske promjene, kao što je vidljivo iz preporuke o trgovini, mjera u području klime i Pariškog sporazuma, prvenstveno promicanjem čistih tehnologija; naglašava koliko je važno da se ubrza prelazak proizvodnje energije u Kanadi, koja je dio globalne proizvodnje energije, na čistu energiju proizvodnjom energije iz obnovljivih izvora; pozdravlja rast trgovine ekološkim dobrima za 27 % od početka privremene primjene; napominje, međutim, da Kanada smatra da su određeni </w:t>
      </w:r>
      <w:r w:rsidRPr="00644277">
        <w:lastRenderedPageBreak/>
        <w:t xml:space="preserve">elementi europskih zakonodavnih i </w:t>
      </w:r>
      <w:proofErr w:type="spellStart"/>
      <w:r w:rsidRPr="00644277">
        <w:t>nezakonodavnih</w:t>
      </w:r>
      <w:proofErr w:type="spellEnd"/>
      <w:r w:rsidRPr="00644277">
        <w:t xml:space="preserve"> inicijativa u pogledu europskog zelenog plana tehničke prepreke trgovini; poziva stranke da pronađu sinergije s provedbom mehanizma za ugljičnu prilagodbu na granicama i drugim inicijativama u EU-u te da zajednički podupru rad na razvoju zajedničkih ili usporedivih metodologija za emisije ugljika na međunarodnoj razini;</w:t>
      </w:r>
    </w:p>
    <w:p w:rsidR="00571A9E" w:rsidRPr="00644277" w:rsidRDefault="00571A9E" w:rsidP="00571A9E">
      <w:pPr>
        <w:pStyle w:val="NormalHanging12a"/>
      </w:pPr>
      <w:r w:rsidRPr="00644277">
        <w:t>28.</w:t>
      </w:r>
      <w:r w:rsidRPr="00644277">
        <w:tab/>
        <w:t xml:space="preserve">pozdravlja pokretanje digitalnog partnerstva EU-a i Kanade kao ključnog pokretača zelene i digitalne tranzicije; poziva obje strane da ojačaju suradnju u okviru provedbe CETA-e u pitanjima od zajedničkog strateškog interesa kao što su umjetna inteligencija, </w:t>
      </w:r>
      <w:proofErr w:type="spellStart"/>
      <w:r w:rsidRPr="00644277">
        <w:t>kibernetička</w:t>
      </w:r>
      <w:proofErr w:type="spellEnd"/>
      <w:r w:rsidRPr="00644277">
        <w:t xml:space="preserve"> sigurnost i borba protiv dezinformacija;</w:t>
      </w:r>
    </w:p>
    <w:p w:rsidR="00571A9E" w:rsidRPr="00644277" w:rsidRDefault="00571A9E" w:rsidP="00571A9E">
      <w:pPr>
        <w:pStyle w:val="NormalHanging12a"/>
      </w:pPr>
      <w:r w:rsidRPr="00644277">
        <w:t>29.</w:t>
      </w:r>
      <w:r w:rsidRPr="00644277">
        <w:tab/>
        <w:t>pozdravlja aktivno sudjelovanje i praćenje provedbe CETA-e od strane domaćih savjetodavnih skupina i Foruma civilnog društva koji okuplja stotine predstavnika iz cijelog EU-a i Kanade, uključujući poduzeća, organizacije za zaštitu okoliša i organizacije rada, civilno društvo, akademsku zajednicu i predstavnike autohtonih zajednica iz Kanade, te koji svojim zajedničkim izjavama aktivno doprinose radu Odbora za trgovinu i održivi razvoj; potiče Komisiju i Odbor za trgovinu i održivi razvoj da poduzmu daljnje korake u vezi s njihovim prijedlozima; naglašava da bi mandat domaćih savjetodavnih skupina trebao biti i razmatranje učinka cjelokupnog sporazuma na održivost; ističe da je važno u njihov rad uključiti razmatranja o utjecaju poglavlja o zaštiti ulaganja na održivost i ljudska prava;</w:t>
      </w:r>
    </w:p>
    <w:p w:rsidR="00571A9E" w:rsidRPr="00644277" w:rsidRDefault="00571A9E" w:rsidP="00571A9E">
      <w:pPr>
        <w:pStyle w:val="NormalHanging12a"/>
      </w:pPr>
      <w:r w:rsidRPr="00644277">
        <w:t>30.</w:t>
      </w:r>
      <w:r w:rsidRPr="00644277">
        <w:tab/>
        <w:t>poziva obje strane da osiguraju bolju integraciju malih poljoprivrednika i potrošača u domaće savjetodavne skupine u kontekstu obnove tih skupina;</w:t>
      </w:r>
    </w:p>
    <w:p w:rsidR="00571A9E" w:rsidRPr="00644277" w:rsidRDefault="00571A9E" w:rsidP="00571A9E">
      <w:pPr>
        <w:pStyle w:val="NormalHanging12a"/>
      </w:pPr>
      <w:r w:rsidRPr="00644277">
        <w:t>31.</w:t>
      </w:r>
      <w:r w:rsidRPr="00644277">
        <w:tab/>
        <w:t>ustraje na učinkovitoj provedbi posebnih obveza u vezi s odredbama o trgovini i održivom razvoju koje su sastavni dio CETA-e i koje su neophodne za ostvarivanje postavljenih ciljeva, uključujući ranu reviziju poglavlja o trgovini i održivom razvoju na koju su se strane obvezale u Zajedničkom instrumentu za tumačenje, a koja još nije provedena; prima na znanje da će Komisija 2024. provesti</w:t>
      </w:r>
      <w:r w:rsidRPr="00644277">
        <w:rPr>
          <w:i/>
        </w:rPr>
        <w:t xml:space="preserve"> ex-post</w:t>
      </w:r>
      <w:r w:rsidRPr="00644277">
        <w:t xml:space="preserve"> evaluaciju CETA-e, uključujući njezino poglavlje o trgovini i održivom razvoju, u kojoj će sudjelovati neovisni stručnjaci, što će biti prilika da se CETA ocijeni u odnosu na novi pristup Komisije iz lipnja 2022. i da se razmotri prihvaćanje konkretnih prijedloga koje je Kanada iznijela 2020., kako bi se za određene odredbe tog poglavlja utvrdilo snažnije obvezujuće područje primjene; podsjeća da Zajednički odbor može donijeti obvezujuću odluku o utvrđivanju provedbenih planova za jačanje suradnje u područjima u kojima bi se </w:t>
      </w:r>
      <w:r w:rsidRPr="00644277">
        <w:rPr>
          <w:i/>
        </w:rPr>
        <w:t>ex-post</w:t>
      </w:r>
      <w:r w:rsidRPr="00644277">
        <w:t xml:space="preserve"> evaluacijom utvrdili nedostaci i očekuje od njega da to učini; smatra da bi radu usmjerenom na bolju provedbu poglavlja o trgovini i održivom razvoju ili njegovoj reviziji trebalo prethoditi smisleno savjetovanje sa svim dionicima;</w:t>
      </w:r>
    </w:p>
    <w:p w:rsidR="00571A9E" w:rsidRPr="00644277" w:rsidRDefault="00571A9E" w:rsidP="00571A9E">
      <w:pPr>
        <w:pStyle w:val="NormalHanging12a"/>
      </w:pPr>
      <w:r w:rsidRPr="00644277">
        <w:t>32.</w:t>
      </w:r>
      <w:r w:rsidRPr="00644277">
        <w:tab/>
        <w:t>napominje da je Ujedinjena Kraljevina prestala biti članica Europske unije nakon privremene primjene CETA-e; napominje da su Ujedinjena Kraljevina i Kanada dogovorile niz bilateralnih trgovinskih sporazuma kako bi se ta činjenica uzela u obzir, među ostalim u pogledu upotrebe i kumulacije carinskih kvota; napominje da će se neki od tih sporazuma prestati primjenjivati nakon 2024., što može uzrokovati manje poremećaje u uspostavljenim lancima opskrbe; poziva Komisiju da istraži mogućnost sklapanja novih sporazuma u slučajevima u kojima bi ti poremećaji mogli negativno utjecati na gospodarske subjekte Unije;</w:t>
      </w:r>
    </w:p>
    <w:p w:rsidR="00571A9E" w:rsidRPr="00644277" w:rsidRDefault="00571A9E" w:rsidP="00571A9E">
      <w:pPr>
        <w:tabs>
          <w:tab w:val="left" w:pos="567"/>
        </w:tabs>
        <w:spacing w:after="240"/>
        <w:ind w:left="567" w:hanging="567"/>
      </w:pPr>
      <w:r w:rsidRPr="00644277">
        <w:t>33.</w:t>
      </w:r>
      <w:r w:rsidRPr="00644277">
        <w:tab/>
        <w:t xml:space="preserve">poziva strane da preispitaju CETA-u nakon ratifikacije i iskoriste revizijsku klauzulu kako bi se uveo odgovarajući i učinkovit mehanizam za rješavanje sporova u području </w:t>
      </w:r>
      <w:r w:rsidRPr="00644277">
        <w:lastRenderedPageBreak/>
        <w:t xml:space="preserve">trgovine i održivog razvoja te da među različitim metodama provedbe razmotre upotrebu sankcija kao instrumenta s </w:t>
      </w:r>
      <w:proofErr w:type="spellStart"/>
      <w:r w:rsidRPr="00644277">
        <w:t>odvraćajućim</w:t>
      </w:r>
      <w:proofErr w:type="spellEnd"/>
      <w:r w:rsidRPr="00644277">
        <w:t xml:space="preserve"> učinkom, odnosno krajnje mjere u slučaju ozbiljnih povreda; naglašava svoju želju da se u tom preispitivanju razmotri institucionalizacija postojeće suradnje u području trgovine i rodne ravnopravnosti; naglašava da bi se u okviru tog preispitivanja trebalo razmotriti uvođenje posebnih strogih odredbi o pravima autohtonih naroda, uključujući Konvenciju Međunarodne organizacije rada br. 169 i Deklaraciju Ujedinjenih naroda o pravima autohtonih naroda;</w:t>
      </w:r>
    </w:p>
    <w:p w:rsidR="00571A9E" w:rsidRPr="00644277" w:rsidRDefault="00571A9E" w:rsidP="00571A9E">
      <w:pPr>
        <w:pStyle w:val="NormalHanging12a"/>
      </w:pPr>
      <w:r w:rsidRPr="00644277">
        <w:t>34.</w:t>
      </w:r>
      <w:r w:rsidRPr="00644277">
        <w:tab/>
        <w:t>potiče Belgiju, Bugarsku, Cipar, Francusku, Grčku, Mađarsku, Irsku, Italiju, Poljsku i Sloveniju da brzo ratificiraju CETA-u jer će to biti ključno i za ažuriranje Sporazuma te ponovno ističe važnost potpune primjene CETA-e i njezinih odredbi o zaštiti ulaganja;</w:t>
      </w:r>
    </w:p>
    <w:p w:rsidR="00571A9E" w:rsidRPr="00644277" w:rsidRDefault="00644277" w:rsidP="00644277">
      <w:pPr>
        <w:ind w:left="567" w:hanging="567"/>
      </w:pPr>
      <w:r>
        <w:t>35.</w:t>
      </w:r>
      <w:r>
        <w:tab/>
        <w:t>nalaže svojoj predsjednici</w:t>
      </w:r>
      <w:r w:rsidR="00571A9E" w:rsidRPr="00644277">
        <w:t xml:space="preserve"> da ovu Rezoluciju proslijedi Vijeću i Komisiji te vladi i parlamentu Kanade.</w:t>
      </w:r>
    </w:p>
    <w:sectPr w:rsidR="00571A9E" w:rsidRPr="00644277" w:rsidSect="00F504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DF6" w:rsidRPr="00F504CC" w:rsidRDefault="009E2DF6">
      <w:r w:rsidRPr="00F504CC">
        <w:separator/>
      </w:r>
    </w:p>
  </w:endnote>
  <w:endnote w:type="continuationSeparator" w:id="0">
    <w:p w:rsidR="009E2DF6" w:rsidRPr="00F504CC" w:rsidRDefault="009E2DF6">
      <w:r w:rsidRPr="00F504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04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04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04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DF6" w:rsidRPr="00F504CC" w:rsidRDefault="009E2DF6">
      <w:r w:rsidRPr="00F504CC">
        <w:separator/>
      </w:r>
    </w:p>
  </w:footnote>
  <w:footnote w:type="continuationSeparator" w:id="0">
    <w:p w:rsidR="009E2DF6" w:rsidRPr="00F504CC" w:rsidRDefault="009E2DF6">
      <w:r w:rsidRPr="00F504CC">
        <w:continuationSeparator/>
      </w:r>
    </w:p>
  </w:footnote>
  <w:footnote w:id="1">
    <w:p w:rsidR="00571A9E" w:rsidRPr="00F504CC" w:rsidRDefault="00571A9E" w:rsidP="00F504CC">
      <w:pPr>
        <w:pStyle w:val="FootnoteText"/>
        <w:ind w:left="567" w:hanging="567"/>
        <w:rPr>
          <w:sz w:val="24"/>
          <w:lang w:val="hr-HR"/>
        </w:rPr>
      </w:pPr>
      <w:r w:rsidRPr="00F504CC">
        <w:rPr>
          <w:rStyle w:val="FootnoteReference"/>
          <w:sz w:val="24"/>
          <w:lang w:val="hr-HR"/>
        </w:rPr>
        <w:footnoteRef/>
      </w:r>
      <w:r w:rsidR="00F504CC" w:rsidRPr="00F504CC">
        <w:rPr>
          <w:sz w:val="24"/>
          <w:lang w:val="hr-HR"/>
        </w:rPr>
        <w:t xml:space="preserve"> </w:t>
      </w:r>
      <w:r w:rsidR="00F504CC" w:rsidRPr="00F504CC">
        <w:rPr>
          <w:sz w:val="24"/>
          <w:lang w:val="hr-HR"/>
        </w:rPr>
        <w:tab/>
      </w:r>
      <w:r w:rsidRPr="00644277">
        <w:rPr>
          <w:sz w:val="24"/>
          <w:lang w:val="hr-HR"/>
        </w:rPr>
        <w:t>SL L 11, 14.1.2017., str. 23.</w:t>
      </w:r>
    </w:p>
  </w:footnote>
  <w:footnote w:id="2">
    <w:p w:rsidR="00571A9E" w:rsidRPr="00F504CC" w:rsidRDefault="00571A9E" w:rsidP="00F504CC">
      <w:pPr>
        <w:pStyle w:val="FootnoteText"/>
        <w:ind w:left="567" w:hanging="567"/>
        <w:rPr>
          <w:sz w:val="24"/>
          <w:lang w:val="hr-HR"/>
        </w:rPr>
      </w:pPr>
      <w:r w:rsidRPr="00F504CC">
        <w:rPr>
          <w:rStyle w:val="FootnoteReference"/>
          <w:sz w:val="24"/>
          <w:lang w:val="hr-HR"/>
        </w:rPr>
        <w:footnoteRef/>
      </w:r>
      <w:r w:rsidR="00F504CC" w:rsidRPr="00F504CC">
        <w:rPr>
          <w:sz w:val="24"/>
          <w:lang w:val="hr-HR"/>
        </w:rPr>
        <w:t xml:space="preserve"> </w:t>
      </w:r>
      <w:r w:rsidR="00F504CC" w:rsidRPr="00F504CC">
        <w:rPr>
          <w:sz w:val="24"/>
          <w:lang w:val="hr-HR"/>
        </w:rPr>
        <w:tab/>
      </w:r>
      <w:r w:rsidRPr="00644277">
        <w:rPr>
          <w:sz w:val="24"/>
          <w:lang w:val="hr-HR"/>
        </w:rPr>
        <w:t>SL L 11, 14.1.2017., str. 3.</w:t>
      </w:r>
    </w:p>
  </w:footnote>
  <w:footnote w:id="3">
    <w:p w:rsidR="00571A9E" w:rsidRPr="00F504CC" w:rsidRDefault="00571A9E" w:rsidP="00F504CC">
      <w:pPr>
        <w:pStyle w:val="FootnoteText"/>
        <w:ind w:left="567" w:hanging="567"/>
        <w:rPr>
          <w:sz w:val="24"/>
          <w:lang w:val="hr-HR"/>
        </w:rPr>
      </w:pPr>
      <w:r w:rsidRPr="00F504CC">
        <w:rPr>
          <w:rStyle w:val="FootnoteReference"/>
          <w:sz w:val="24"/>
          <w:lang w:val="hr-HR"/>
        </w:rPr>
        <w:footnoteRef/>
      </w:r>
      <w:r w:rsidR="00F504CC" w:rsidRPr="00F504CC">
        <w:rPr>
          <w:sz w:val="24"/>
          <w:lang w:val="hr-HR"/>
        </w:rPr>
        <w:t xml:space="preserve"> </w:t>
      </w:r>
      <w:r w:rsidR="00F504CC" w:rsidRPr="00F504CC">
        <w:rPr>
          <w:sz w:val="24"/>
          <w:lang w:val="hr-HR"/>
        </w:rPr>
        <w:tab/>
      </w:r>
      <w:r w:rsidRPr="00644277">
        <w:rPr>
          <w:sz w:val="24"/>
          <w:lang w:val="hr-HR"/>
        </w:rPr>
        <w:t>SL C 252, 18.7.2018., str. 348.</w:t>
      </w:r>
    </w:p>
  </w:footnote>
  <w:footnote w:id="4">
    <w:p w:rsidR="00571A9E" w:rsidRPr="00F504CC" w:rsidRDefault="00571A9E" w:rsidP="00F504CC">
      <w:pPr>
        <w:pStyle w:val="FootnoteText"/>
        <w:ind w:left="567" w:hanging="567"/>
        <w:rPr>
          <w:sz w:val="24"/>
          <w:lang w:val="hr-HR"/>
        </w:rPr>
      </w:pPr>
      <w:r w:rsidRPr="00F504CC">
        <w:rPr>
          <w:rStyle w:val="FootnoteReference"/>
          <w:sz w:val="24"/>
          <w:lang w:val="hr-HR"/>
        </w:rPr>
        <w:footnoteRef/>
      </w:r>
      <w:r w:rsidR="00F504CC" w:rsidRPr="00F504CC">
        <w:rPr>
          <w:sz w:val="24"/>
          <w:lang w:val="hr-HR"/>
        </w:rPr>
        <w:t xml:space="preserve"> </w:t>
      </w:r>
      <w:r w:rsidR="00F504CC" w:rsidRPr="00F504CC">
        <w:rPr>
          <w:sz w:val="24"/>
          <w:lang w:val="hr-HR"/>
        </w:rPr>
        <w:tab/>
      </w:r>
      <w:r w:rsidRPr="00F504CC">
        <w:rPr>
          <w:sz w:val="24"/>
          <w:lang w:val="hr-HR"/>
        </w:rPr>
        <w:t>Mišljenje Suda od 16. svibnja 2017. u skladu s člankom 218. stavkom 11. UFEU-a o Sporazumu o slobodnoj trgovini između Europske unije i Republike Singapura, ECLI:EU:C:2017:376.</w:t>
      </w:r>
    </w:p>
  </w:footnote>
  <w:footnote w:id="5">
    <w:p w:rsidR="00571A9E" w:rsidRPr="00F504CC" w:rsidRDefault="00571A9E" w:rsidP="00F504CC">
      <w:pPr>
        <w:pStyle w:val="FootnoteText"/>
        <w:ind w:left="567" w:hanging="567"/>
        <w:rPr>
          <w:sz w:val="24"/>
          <w:lang w:val="hr-HR"/>
        </w:rPr>
      </w:pPr>
      <w:r w:rsidRPr="00F504CC">
        <w:rPr>
          <w:rStyle w:val="FootnoteReference"/>
          <w:sz w:val="24"/>
          <w:lang w:val="hr-HR"/>
        </w:rPr>
        <w:footnoteRef/>
      </w:r>
      <w:r w:rsidR="00F504CC" w:rsidRPr="00F504CC">
        <w:rPr>
          <w:sz w:val="24"/>
          <w:lang w:val="hr-HR"/>
        </w:rPr>
        <w:t xml:space="preserve"> </w:t>
      </w:r>
      <w:r w:rsidR="00F504CC" w:rsidRPr="00F504CC">
        <w:rPr>
          <w:sz w:val="24"/>
          <w:lang w:val="hr-HR"/>
        </w:rPr>
        <w:tab/>
      </w:r>
      <w:r w:rsidRPr="00F504CC">
        <w:rPr>
          <w:sz w:val="24"/>
          <w:lang w:val="hr-HR"/>
        </w:rPr>
        <w:t>SL C 32, 27.1.2023., str. 96.</w:t>
      </w:r>
    </w:p>
  </w:footnote>
  <w:footnote w:id="6">
    <w:p w:rsidR="00571A9E" w:rsidRPr="00F504CC" w:rsidRDefault="00571A9E" w:rsidP="00F504CC">
      <w:pPr>
        <w:pStyle w:val="FootnoteText"/>
        <w:ind w:left="567" w:hanging="567"/>
        <w:rPr>
          <w:sz w:val="24"/>
          <w:lang w:val="hr-HR"/>
        </w:rPr>
      </w:pPr>
      <w:r w:rsidRPr="00F504CC">
        <w:rPr>
          <w:rStyle w:val="FootnoteReference"/>
          <w:sz w:val="24"/>
          <w:lang w:val="hr-HR"/>
        </w:rPr>
        <w:footnoteRef/>
      </w:r>
      <w:r w:rsidR="00F504CC" w:rsidRPr="00F504CC">
        <w:rPr>
          <w:sz w:val="24"/>
          <w:lang w:val="hr-HR"/>
        </w:rPr>
        <w:t xml:space="preserve"> </w:t>
      </w:r>
      <w:r w:rsidR="00F504CC" w:rsidRPr="00F504CC">
        <w:rPr>
          <w:sz w:val="24"/>
          <w:lang w:val="hr-HR"/>
        </w:rPr>
        <w:tab/>
      </w:r>
      <w:r w:rsidRPr="00F504CC">
        <w:rPr>
          <w:sz w:val="24"/>
          <w:lang w:val="hr-HR"/>
        </w:rPr>
        <w:t>Komunikacija Komisije od 9. prosinca 2021. naslovljena „Izgradnja gospodarstva za ljude: akcijski plan za socijalnu ekonomiju” (COM(2021)0778).</w:t>
      </w:r>
    </w:p>
  </w:footnote>
  <w:footnote w:id="7">
    <w:p w:rsidR="00571A9E" w:rsidRPr="00F504CC" w:rsidRDefault="00571A9E" w:rsidP="00F504CC">
      <w:pPr>
        <w:pStyle w:val="FootnoteText"/>
        <w:ind w:left="567" w:hanging="567"/>
        <w:rPr>
          <w:sz w:val="24"/>
          <w:lang w:val="hr-HR"/>
        </w:rPr>
      </w:pPr>
      <w:r w:rsidRPr="00F504CC">
        <w:rPr>
          <w:rStyle w:val="FootnoteReference"/>
          <w:sz w:val="24"/>
          <w:lang w:val="hr-HR"/>
        </w:rPr>
        <w:footnoteRef/>
      </w:r>
      <w:r w:rsidR="00F504CC" w:rsidRPr="00F504CC">
        <w:rPr>
          <w:sz w:val="24"/>
          <w:lang w:val="hr-HR"/>
        </w:rPr>
        <w:t xml:space="preserve"> </w:t>
      </w:r>
      <w:r w:rsidR="00F504CC" w:rsidRPr="00F504CC">
        <w:rPr>
          <w:sz w:val="24"/>
          <w:lang w:val="hr-HR"/>
        </w:rPr>
        <w:tab/>
      </w:r>
      <w:r w:rsidRPr="00F504CC">
        <w:rPr>
          <w:sz w:val="24"/>
          <w:lang w:val="hr-HR"/>
        </w:rPr>
        <w:t>Rezolucija Europskog parlamenta od 10. ožujka 2022. o Akcijskom planu EU-a za rodnu ravnopravnost III (SL C 347, 9.9.2022., str. 150.).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04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04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04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0/2023"/>
    <w:docVar w:name="dvlangue" w:val="HR"/>
    <w:docVar w:name="dvnumam" w:val="0"/>
    <w:docVar w:name="dvpe" w:val="753.671"/>
    <w:docVar w:name="dvrapporteur" w:val="Izvjestitelj: "/>
    <w:docVar w:name="dvtitre" w:val="Rezolucija Europskog parlamenta od .... 2024. o provedbi Sveobuhvatnog gospodarskog i trgovinskog sporazuma između EU-a i Kanade (CETA)(2023/2001(INI))"/>
  </w:docVars>
  <w:rsids>
    <w:rsidRoot w:val="009E2DF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A9E"/>
    <w:rsid w:val="005C2568"/>
    <w:rsid w:val="006037C0"/>
    <w:rsid w:val="00644277"/>
    <w:rsid w:val="006631B6"/>
    <w:rsid w:val="00680577"/>
    <w:rsid w:val="006A445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DF6"/>
    <w:rsid w:val="00A1687D"/>
    <w:rsid w:val="00A43E52"/>
    <w:rsid w:val="00A4678D"/>
    <w:rsid w:val="00A778C7"/>
    <w:rsid w:val="00AB441E"/>
    <w:rsid w:val="00AB6293"/>
    <w:rsid w:val="00AD67A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4C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490B8"/>
  <w15:chartTrackingRefBased/>
  <w15:docId w15:val="{1C7B61F5-56B2-449F-B259-ACC89C5B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ußnotentextf,Fußnotentextr,stile 1,Footnote,Footnote1,Footnote2,Footnote3,Footnote4,Footnote5,Footnote6,Footnote7,Footnote8,Footnote9,Footnote10,Footnote11,Footnote21,Footnote31,Footnote41,Footnote51,Footnote61,Footnote71,fn,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ußnotentextr Char,stile 1 Char,Footnote Char,Footnote1 Char,Footnote2 Char,Footnote3 Char,Footnote4 Char,Footnote5 Char,Footnote6 Char,Footnote7 Char,Footnote8 Char,Footnote9 Char,Footnote10 Char,Footnote11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71A9E"/>
    <w:pPr>
      <w:spacing w:after="240"/>
      <w:ind w:left="567" w:hanging="567"/>
    </w:pPr>
  </w:style>
  <w:style w:type="paragraph" w:customStyle="1" w:styleId="EPComma">
    <w:name w:val="EPComma"/>
    <w:basedOn w:val="Normal"/>
    <w:rsid w:val="00571A9E"/>
    <w:pPr>
      <w:spacing w:before="480" w:after="240"/>
    </w:pPr>
  </w:style>
  <w:style w:type="character" w:styleId="Hyperlink">
    <w:name w:val="Hyperlink"/>
    <w:basedOn w:val="DefaultParagraphFont"/>
    <w:rsid w:val="00571A9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71A9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FFBD3-D703-4A1B-90F9-BA5A795AC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3644</Words>
  <Characters>21665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2024-01-17T12:02:00Z</dcterms:created>
  <dcterms:modified xsi:type="dcterms:W3CDTF">2024-01-17T12:02:00Z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A9-0400/2023</vt:lpwstr>
  </property>
  <property fmtid="{D5CDD505-2E9C-101B-9397-08002B2CF9AE}" pid="4" name="&lt;Type&gt;">
    <vt:lpwstr>RR</vt:lpwstr>
  </property>
</Properties>
</file>