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E761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E7617" w:rsidRDefault="00DD1F64" w:rsidP="0010095E">
            <w:pPr>
              <w:pStyle w:val="EPName"/>
            </w:pPr>
            <w:r w:rsidRPr="006E7617">
              <w:t>Európai Parlament</w:t>
            </w:r>
          </w:p>
          <w:p w:rsidR="00751A4A" w:rsidRPr="006E761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E761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E7617" w:rsidRDefault="00187494" w:rsidP="0010095E">
            <w:pPr>
              <w:pStyle w:val="EPLogo"/>
            </w:pPr>
            <w:r w:rsidRPr="006E761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E7617" w:rsidRDefault="00D058B8" w:rsidP="004C5D52">
      <w:pPr>
        <w:pStyle w:val="LineTop"/>
      </w:pPr>
    </w:p>
    <w:p w:rsidR="00680577" w:rsidRPr="006E7617" w:rsidRDefault="00DD1F64" w:rsidP="00680577">
      <w:pPr>
        <w:pStyle w:val="EPBodyTA1"/>
      </w:pPr>
      <w:r w:rsidRPr="006E7617">
        <w:t>ELFOGADOTT SZÖVEGEK</w:t>
      </w:r>
    </w:p>
    <w:p w:rsidR="00D058B8" w:rsidRPr="006E7617" w:rsidRDefault="00D058B8" w:rsidP="00D058B8">
      <w:pPr>
        <w:pStyle w:val="LineBottom"/>
      </w:pPr>
    </w:p>
    <w:p w:rsidR="00DD1F64" w:rsidRPr="00905995" w:rsidRDefault="00DD1F64" w:rsidP="00DD1F64">
      <w:pPr>
        <w:pStyle w:val="ATHeading1"/>
      </w:pPr>
      <w:bookmarkStart w:id="0" w:name="TANumber"/>
      <w:r w:rsidRPr="00905995">
        <w:t>P9_</w:t>
      </w:r>
      <w:proofErr w:type="gramStart"/>
      <w:r w:rsidRPr="00905995">
        <w:t>TA(</w:t>
      </w:r>
      <w:proofErr w:type="gramEnd"/>
      <w:r w:rsidRPr="00905995">
        <w:t>2024)00</w:t>
      </w:r>
      <w:r w:rsidR="00905995" w:rsidRPr="00905995">
        <w:t>26</w:t>
      </w:r>
      <w:bookmarkEnd w:id="0"/>
    </w:p>
    <w:p w:rsidR="00DD1F64" w:rsidRPr="00905995" w:rsidRDefault="00905995" w:rsidP="00DD1F64">
      <w:pPr>
        <w:pStyle w:val="ATHeading2"/>
      </w:pPr>
      <w:bookmarkStart w:id="1" w:name="title"/>
      <w:r w:rsidRPr="00905995">
        <w:rPr>
          <w:bCs/>
        </w:rPr>
        <w:t>Az EU és Kanada közötti átfogó gazdasági és kereskedelmi megállapodás (CETA) végrehajtása</w:t>
      </w:r>
      <w:bookmarkEnd w:id="1"/>
    </w:p>
    <w:p w:rsidR="00DD1F64" w:rsidRPr="00905995" w:rsidRDefault="00DD1F64" w:rsidP="00DD1F64">
      <w:pPr>
        <w:rPr>
          <w:i/>
          <w:vanish/>
        </w:rPr>
      </w:pPr>
      <w:r w:rsidRPr="00905995">
        <w:rPr>
          <w:i/>
        </w:rPr>
        <w:fldChar w:fldCharType="begin"/>
      </w:r>
      <w:r w:rsidRPr="00905995">
        <w:rPr>
          <w:i/>
        </w:rPr>
        <w:instrText xml:space="preserve"> TC"(</w:instrText>
      </w:r>
      <w:bookmarkStart w:id="2" w:name="DocNumber"/>
      <w:r w:rsidRPr="00905995">
        <w:rPr>
          <w:i/>
        </w:rPr>
        <w:instrText>A9-0400/2023</w:instrText>
      </w:r>
      <w:bookmarkEnd w:id="2"/>
      <w:r w:rsidRPr="00905995">
        <w:rPr>
          <w:i/>
        </w:rPr>
        <w:instrText xml:space="preserve"> - Előadó: Javier Moreno Sánchez)"\l3 \n&gt; \* MERGEFORMAT </w:instrText>
      </w:r>
      <w:r w:rsidRPr="00905995">
        <w:rPr>
          <w:i/>
        </w:rPr>
        <w:fldChar w:fldCharType="end"/>
      </w:r>
    </w:p>
    <w:p w:rsidR="00DD1F64" w:rsidRPr="00905995" w:rsidRDefault="00DD1F64" w:rsidP="00DD1F64">
      <w:pPr>
        <w:rPr>
          <w:vanish/>
        </w:rPr>
      </w:pPr>
      <w:bookmarkStart w:id="3" w:name="Commission"/>
      <w:r w:rsidRPr="00905995">
        <w:rPr>
          <w:vanish/>
        </w:rPr>
        <w:t>Nemzetközi Kereskedelmi Bizottság</w:t>
      </w:r>
      <w:bookmarkEnd w:id="3"/>
    </w:p>
    <w:p w:rsidR="00DD1F64" w:rsidRPr="00905995" w:rsidRDefault="00DD1F64" w:rsidP="00DD1F64">
      <w:pPr>
        <w:rPr>
          <w:vanish/>
        </w:rPr>
      </w:pPr>
      <w:bookmarkStart w:id="4" w:name="PE"/>
      <w:r w:rsidRPr="00905995">
        <w:rPr>
          <w:vanish/>
        </w:rPr>
        <w:t>PE753.671</w:t>
      </w:r>
      <w:bookmarkEnd w:id="4"/>
    </w:p>
    <w:p w:rsidR="00DD1F64" w:rsidRPr="00905995" w:rsidRDefault="00DD1F64" w:rsidP="00DD1F64">
      <w:pPr>
        <w:pStyle w:val="ATHeading3"/>
      </w:pPr>
      <w:bookmarkStart w:id="5" w:name="Sujet"/>
      <w:r w:rsidRPr="00905995">
        <w:t xml:space="preserve">Az Európai Parlament 2024. </w:t>
      </w:r>
      <w:r w:rsidR="002B4FFF" w:rsidRPr="00905995">
        <w:t>január</w:t>
      </w:r>
      <w:r w:rsidRPr="00905995">
        <w:t xml:space="preserve"> </w:t>
      </w:r>
      <w:r w:rsidR="00905995" w:rsidRPr="00905995">
        <w:t>17-</w:t>
      </w:r>
      <w:r w:rsidRPr="00905995">
        <w:t>i állásfoglalása az EU és Kanada közötti átfogó gazdasági és kereskedelmi megállapodás (CETA) végrehajtásáról</w:t>
      </w:r>
      <w:bookmarkEnd w:id="5"/>
      <w:r w:rsidRPr="00905995">
        <w:t xml:space="preserve"> </w:t>
      </w:r>
      <w:bookmarkStart w:id="6" w:name="References"/>
      <w:r w:rsidRPr="00905995">
        <w:t>(2023/</w:t>
      </w:r>
      <w:proofErr w:type="gramStart"/>
      <w:r w:rsidRPr="00905995">
        <w:t>2001(</w:t>
      </w:r>
      <w:proofErr w:type="gramEnd"/>
      <w:r w:rsidRPr="00905995">
        <w:t>INI))</w:t>
      </w:r>
      <w:bookmarkEnd w:id="6"/>
    </w:p>
    <w:p w:rsidR="00DD1F64" w:rsidRPr="006E7617" w:rsidRDefault="00DD1F64" w:rsidP="00DD1F64"/>
    <w:p w:rsidR="00EA513C" w:rsidRPr="006E7617" w:rsidRDefault="00EA513C" w:rsidP="002B4FFF">
      <w:pPr>
        <w:pStyle w:val="EPComma"/>
        <w:widowControl/>
        <w:spacing w:before="0"/>
        <w:ind w:left="567" w:hanging="567"/>
      </w:pPr>
      <w:bookmarkStart w:id="7" w:name="TextBodyBegin"/>
      <w:bookmarkEnd w:id="7"/>
      <w:r w:rsidRPr="006E7617">
        <w:rPr>
          <w:i/>
          <w:iCs/>
        </w:rPr>
        <w:t>Az Európai Parlament,</w:t>
      </w:r>
    </w:p>
    <w:p w:rsidR="00EA513C" w:rsidRPr="006E7617" w:rsidRDefault="00EA513C" w:rsidP="002B4FFF">
      <w:pPr>
        <w:pStyle w:val="NormalHanging12a"/>
        <w:widowControl/>
      </w:pPr>
      <w:r w:rsidRPr="006E7617">
        <w:t>–</w:t>
      </w:r>
      <w:r w:rsidRPr="006E7617">
        <w:tab/>
        <w:t>tekintettel az egyrészről Kanada, másrészről az Európai Unió és tagállamai közötti átfogó gazdasági és kereskedelmi megállapodásra (CETA)</w:t>
      </w:r>
      <w:r w:rsidRPr="006E7617">
        <w:rPr>
          <w:rStyle w:val="FootnoteReference"/>
        </w:rPr>
        <w:footnoteReference w:id="1"/>
      </w:r>
      <w:r w:rsidRPr="006E7617">
        <w:t>,</w:t>
      </w:r>
    </w:p>
    <w:p w:rsidR="00EA513C" w:rsidRPr="006E7617" w:rsidRDefault="00EA513C" w:rsidP="002B4FFF">
      <w:pPr>
        <w:pStyle w:val="NormalHanging12a"/>
        <w:widowControl/>
        <w:rPr>
          <w:b/>
          <w:i/>
        </w:rPr>
      </w:pPr>
      <w:r w:rsidRPr="006E7617">
        <w:t>–</w:t>
      </w:r>
      <w:r w:rsidRPr="006E7617">
        <w:tab/>
        <w:t>tekintettel a Kanada és az Európai Unió és tagállamai közötti átfogó gazdasági és kereskedelmi megállapodásról (CETA) szóló közös értelmező okmányra</w:t>
      </w:r>
      <w:r w:rsidRPr="006E7617">
        <w:rPr>
          <w:rStyle w:val="FootnoteReference"/>
        </w:rPr>
        <w:footnoteReference w:id="2"/>
      </w:r>
      <w:r w:rsidRPr="006E7617">
        <w:t>,</w:t>
      </w:r>
    </w:p>
    <w:p w:rsidR="00EA513C" w:rsidRPr="006E7617" w:rsidRDefault="00EA513C" w:rsidP="002B4FFF">
      <w:pPr>
        <w:pStyle w:val="NormalHanging12a"/>
        <w:widowControl/>
      </w:pPr>
      <w:r w:rsidRPr="006E7617">
        <w:t>–</w:t>
      </w:r>
      <w:r w:rsidRPr="006E7617">
        <w:tab/>
        <w:t>tekintettel az egyrészről Kanada, másrészről az Európai Unió és tagállamai közötti, a kritikus fontosságú nyersanyagokra vonatkozó stratégiai partnerségre, amelyet a 2021. június 14–15-i EU–Kanada csúcstalálkozón fogadtak és indítottak el,</w:t>
      </w:r>
    </w:p>
    <w:p w:rsidR="00EA513C" w:rsidRPr="006E7617" w:rsidRDefault="00EA513C" w:rsidP="002B4FFF">
      <w:pPr>
        <w:pStyle w:val="NormalHanging12a"/>
        <w:widowControl/>
      </w:pPr>
      <w:r w:rsidRPr="006E7617">
        <w:t>–</w:t>
      </w:r>
      <w:r w:rsidRPr="006E7617">
        <w:tab/>
        <w:t>tekintettel a CETA Vegyes Bizottságnak a 8.10. cikk, a 8-A. melléklet és a 8.39. cikk egyes feltételeinek értelmezéséről szóló X/2023 határozatára,</w:t>
      </w:r>
    </w:p>
    <w:p w:rsidR="00EA513C" w:rsidRPr="006E7617" w:rsidRDefault="00EA513C" w:rsidP="002B4FFF">
      <w:pPr>
        <w:pStyle w:val="NormalHanging12a"/>
        <w:widowControl/>
      </w:pPr>
      <w:r w:rsidRPr="006E7617">
        <w:t>–</w:t>
      </w:r>
      <w:r w:rsidRPr="006E7617">
        <w:tab/>
        <w:t>tekintettel a Tanács 2017. február 15-i határozattervezetére az egyrészről Kanada, másrészről az Európai Unió és tagállamai közötti átfogó gazdasági és kereskedelmi megállapodás (CETA) megkötéséről</w:t>
      </w:r>
      <w:r w:rsidRPr="006E7617">
        <w:rPr>
          <w:rStyle w:val="FootnoteReference"/>
        </w:rPr>
        <w:footnoteReference w:id="3"/>
      </w:r>
      <w:r w:rsidRPr="006E7617">
        <w:t>,</w:t>
      </w:r>
    </w:p>
    <w:p w:rsidR="00EA513C" w:rsidRPr="006E7617" w:rsidRDefault="00EA513C" w:rsidP="002B4FFF">
      <w:pPr>
        <w:pStyle w:val="NormalHanging12a"/>
        <w:widowControl/>
      </w:pPr>
      <w:r w:rsidRPr="006E7617">
        <w:t>–</w:t>
      </w:r>
      <w:r w:rsidRPr="006E7617">
        <w:tab/>
        <w:t>tekintettel az Európai Unió Bíróságának az Európai Unió és a Szingapúri Köztársaság közötti szabadkereskedelmi megállapodásról szóló, az EUMSZ 218. cikkének (11) bekezdése szerinti, 2017. május 16-i, 2/15. számú véleményére</w:t>
      </w:r>
      <w:r w:rsidRPr="006E7617">
        <w:rPr>
          <w:rStyle w:val="FootnoteReference"/>
        </w:rPr>
        <w:footnoteReference w:id="4"/>
      </w:r>
      <w:r w:rsidRPr="006E7617">
        <w:t>,</w:t>
      </w:r>
    </w:p>
    <w:p w:rsidR="00EA513C" w:rsidRPr="006E7617" w:rsidRDefault="00EA513C" w:rsidP="002B4FFF">
      <w:pPr>
        <w:pStyle w:val="NormalHanging12a"/>
        <w:widowControl/>
      </w:pPr>
      <w:r w:rsidRPr="006E7617">
        <w:lastRenderedPageBreak/>
        <w:t>–</w:t>
      </w:r>
      <w:r w:rsidRPr="006E7617">
        <w:tab/>
        <w:t>tekintettel az EU és a kanadai belső tanácsadó csoportok együttes nyilatkozataira,</w:t>
      </w:r>
    </w:p>
    <w:p w:rsidR="00EA513C" w:rsidRPr="006E7617" w:rsidRDefault="00EA513C" w:rsidP="002B4FFF">
      <w:pPr>
        <w:pStyle w:val="NormalHanging12a"/>
        <w:widowControl/>
      </w:pPr>
      <w:r w:rsidRPr="006E7617">
        <w:t>–</w:t>
      </w:r>
      <w:r w:rsidRPr="006E7617">
        <w:tab/>
        <w:t>tekintettel az uniós kereskedelmi megállapodások végrehajtásáról és érvényesítéséről szóló, 2022. október 11-i b</w:t>
      </w:r>
      <w:r w:rsidR="000273E4">
        <w:t>izottsági jelentésre (COM(2022</w:t>
      </w:r>
      <w:bookmarkStart w:id="8" w:name="_GoBack"/>
      <w:bookmarkEnd w:id="8"/>
      <w:r w:rsidRPr="006E7617">
        <w:t>)0730),</w:t>
      </w:r>
    </w:p>
    <w:p w:rsidR="00EA513C" w:rsidRPr="006E7617" w:rsidRDefault="00EA513C" w:rsidP="002B4FFF">
      <w:pPr>
        <w:pStyle w:val="NormalHanging12a"/>
        <w:widowControl/>
      </w:pPr>
      <w:r w:rsidRPr="006E7617">
        <w:t>–</w:t>
      </w:r>
      <w:r w:rsidRPr="006E7617">
        <w:tab/>
        <w:t>tekintettel „</w:t>
      </w:r>
      <w:proofErr w:type="gramStart"/>
      <w:r w:rsidRPr="006E7617">
        <w:t>A</w:t>
      </w:r>
      <w:proofErr w:type="gramEnd"/>
      <w:r w:rsidRPr="006E7617">
        <w:t xml:space="preserve"> kereskedelmi partnerségek ereje: együtt a zöld és igazságos gazdasági növekedésért” című, 2022. június 22-i bizottsági közleményre (COM(2022)0409),</w:t>
      </w:r>
    </w:p>
    <w:p w:rsidR="00EA513C" w:rsidRPr="006E7617" w:rsidRDefault="00EA513C" w:rsidP="002B4FFF">
      <w:pPr>
        <w:pStyle w:val="NormalHanging12a"/>
        <w:widowControl/>
      </w:pPr>
      <w:r w:rsidRPr="006E7617">
        <w:t>–</w:t>
      </w:r>
      <w:r w:rsidRPr="006E7617">
        <w:tab/>
        <w:t>tekintettel a CETA Vegyes Bizottság harmadik ülését követő, 2023. március 31-i jelentésére,</w:t>
      </w:r>
    </w:p>
    <w:p w:rsidR="00EA513C" w:rsidRPr="006E7617" w:rsidRDefault="00EA513C" w:rsidP="002B4FFF">
      <w:pPr>
        <w:pStyle w:val="NormalHanging12a"/>
        <w:widowControl/>
      </w:pPr>
      <w:r w:rsidRPr="006E7617">
        <w:t>–</w:t>
      </w:r>
      <w:r w:rsidRPr="006E7617">
        <w:tab/>
        <w:t>tekintettel az uniós nemzetközi beruházási politika jövőjéről szóló, 2022. június 23-i állásfoglalására</w:t>
      </w:r>
      <w:r w:rsidRPr="006E7617">
        <w:rPr>
          <w:rStyle w:val="FootnoteReference"/>
        </w:rPr>
        <w:footnoteReference w:id="5"/>
      </w:r>
      <w:r w:rsidRPr="006E7617">
        <w:t>,</w:t>
      </w:r>
    </w:p>
    <w:p w:rsidR="00EA513C" w:rsidRPr="006E7617" w:rsidRDefault="00EA513C" w:rsidP="002B4FFF">
      <w:pPr>
        <w:pStyle w:val="NormalHanging12a"/>
        <w:widowControl/>
      </w:pPr>
      <w:r w:rsidRPr="006E7617">
        <w:t>–</w:t>
      </w:r>
      <w:r w:rsidRPr="006E7617">
        <w:tab/>
        <w:t>tekintettel a CETA Vegyes Bizottság kereskedelemről, éghajlat-politikáról és a Párizsi Megállapodásról, a kereskedelemről és a nemek közötti egyenlőségről, valamint a kis- és középvállalkozásokról (kkv-k) szóló, 2018. szeptember 26-i ajánlásaira,</w:t>
      </w:r>
    </w:p>
    <w:p w:rsidR="00EA513C" w:rsidRPr="006E7617" w:rsidRDefault="00EA513C" w:rsidP="002B4FFF">
      <w:pPr>
        <w:pStyle w:val="NormalHanging12a"/>
        <w:widowControl/>
      </w:pPr>
      <w:r w:rsidRPr="006E7617">
        <w:t>–</w:t>
      </w:r>
      <w:r w:rsidRPr="006E7617">
        <w:tab/>
        <w:t>tekintettel „Az egyenlőségközpontú Unió: a 2020–2025 közötti időszakra szóló nemi esélyegyenlőségi stratégia” című, 2020. március 5-i bizottsági közleményre (</w:t>
      </w:r>
      <w:proofErr w:type="gramStart"/>
      <w:r w:rsidRPr="006E7617">
        <w:t>COM(</w:t>
      </w:r>
      <w:proofErr w:type="gramEnd"/>
      <w:r w:rsidRPr="006E7617">
        <w:t>2020)0152),</w:t>
      </w:r>
    </w:p>
    <w:p w:rsidR="00EA513C" w:rsidRPr="006E7617" w:rsidRDefault="00EA513C" w:rsidP="002B4FFF">
      <w:pPr>
        <w:pStyle w:val="NormalHanging12a"/>
        <w:widowControl/>
      </w:pPr>
      <w:r w:rsidRPr="006E7617">
        <w:t>–</w:t>
      </w:r>
      <w:r w:rsidRPr="006E7617">
        <w:tab/>
        <w:t>tekintettel a különböző szakbizottságok, a civil társadalmi fórum és a szabályozási együttműködési fórum jelentéseire,</w:t>
      </w:r>
    </w:p>
    <w:p w:rsidR="00EA513C" w:rsidRPr="006E7617" w:rsidRDefault="00EA513C" w:rsidP="002B4FFF">
      <w:pPr>
        <w:pStyle w:val="NormalHanging12a"/>
        <w:widowControl/>
      </w:pPr>
      <w:r w:rsidRPr="006E7617">
        <w:t>–</w:t>
      </w:r>
      <w:r w:rsidRPr="006E7617">
        <w:tab/>
        <w:t>tekintettel az Éghajlatváltozási Kormányközi Testület (IPCC) 2023. március 20-i hatodik értékelő jelentésére,</w:t>
      </w:r>
    </w:p>
    <w:p w:rsidR="00EA513C" w:rsidRPr="006E7617" w:rsidRDefault="00EA513C" w:rsidP="002B4FFF">
      <w:pPr>
        <w:pStyle w:val="NormalHanging12a"/>
        <w:widowControl/>
      </w:pPr>
      <w:r w:rsidRPr="006E7617">
        <w:t>–</w:t>
      </w:r>
      <w:r w:rsidRPr="006E7617">
        <w:tab/>
        <w:t>tekintettel a Bizottság Egészségügyi és Élelmiszerbiztonsági Főigazgatóságának az Európai Unióba irányuló kivitelre szánt marha- és sertéshús termelését szabályozó ellenőrző rendszerek nyomon követhetőségére és minőségére vonatkozó egymást követő, 2014-ben, 2019-ben és 2022-ben végzett ellenőrzéseire,</w:t>
      </w:r>
    </w:p>
    <w:p w:rsidR="00EA513C" w:rsidRPr="006E7617" w:rsidRDefault="00EA513C" w:rsidP="002B4FFF">
      <w:pPr>
        <w:pStyle w:val="NormalHanging12a"/>
        <w:widowControl/>
      </w:pPr>
      <w:r w:rsidRPr="006E7617">
        <w:t>–</w:t>
      </w:r>
      <w:r w:rsidRPr="006E7617">
        <w:tab/>
        <w:t>tekintettel eljárási szabályzatának 54. cikkére, valamint eljárási szabályzata 1. cikke (1) bekezdésének e) pontjára és III. mellékletére, valamint az Elnökök Értekezlete 2002. december 12-i ülésén hozott, a saját kezdeményezésű jelentések engedélyezésére vonatkozó eljárásról szóló határozatára,</w:t>
      </w:r>
    </w:p>
    <w:p w:rsidR="00EA513C" w:rsidRPr="006E7617" w:rsidRDefault="00EA513C" w:rsidP="002B4FFF">
      <w:pPr>
        <w:pStyle w:val="NormalHanging12a"/>
        <w:widowControl/>
      </w:pPr>
      <w:r w:rsidRPr="006E7617">
        <w:t>–</w:t>
      </w:r>
      <w:r w:rsidRPr="006E7617">
        <w:tab/>
        <w:t>tekintettel a Mezőgazdasági és Vidékfejlesztési Bizottság véleményére,</w:t>
      </w:r>
    </w:p>
    <w:p w:rsidR="00EA513C" w:rsidRPr="006E7617" w:rsidRDefault="00EA513C" w:rsidP="002B4FFF">
      <w:pPr>
        <w:pStyle w:val="NormalHanging12a"/>
        <w:widowControl/>
      </w:pPr>
      <w:r w:rsidRPr="006E7617">
        <w:t>–</w:t>
      </w:r>
      <w:r w:rsidRPr="006E7617">
        <w:tab/>
        <w:t>tekintettel a Nemzetközi Kereskedelmi Bizottság jelentésére (A9-0400/2023),</w:t>
      </w:r>
    </w:p>
    <w:p w:rsidR="00EA513C" w:rsidRPr="006E7617" w:rsidRDefault="00EA513C" w:rsidP="002B4FFF">
      <w:pPr>
        <w:pStyle w:val="NormalHanging12a"/>
        <w:widowControl/>
      </w:pPr>
      <w:r w:rsidRPr="006E7617">
        <w:t>A.</w:t>
      </w:r>
      <w:r w:rsidRPr="006E7617">
        <w:tab/>
      </w:r>
      <w:proofErr w:type="gramStart"/>
      <w:r w:rsidRPr="006E7617">
        <w:t>mivel</w:t>
      </w:r>
      <w:proofErr w:type="gramEnd"/>
      <w:r w:rsidRPr="006E7617">
        <w:t xml:space="preserve"> a CETA volt az egyik első olyan kereskedelmi megállapodás, amelyet az EU Dél-Korea után egy másik jelentős, szilárd OECD-gazdasággal kötött; mivel egyben ez volt az EU és Kanada között akkor megkötött legambiciózusabb és legátfogóbb megállapodás is, amely magában foglalta a szubföderális és szövetségi szintű közbeszerzésekhez való példa nélkül álló hozzáférést;</w:t>
      </w:r>
    </w:p>
    <w:p w:rsidR="00EA513C" w:rsidRPr="006E7617" w:rsidRDefault="00EA513C" w:rsidP="002B4FFF">
      <w:pPr>
        <w:pStyle w:val="NormalHanging12a"/>
        <w:widowControl/>
      </w:pPr>
      <w:r w:rsidRPr="006E7617">
        <w:lastRenderedPageBreak/>
        <w:t>B.</w:t>
      </w:r>
      <w:r w:rsidRPr="006E7617">
        <w:tab/>
        <w:t>mivel a CETA-t 2017. szeptember 21. óta, azaz több mint hat éve ideiglenesen alkalmazzák;</w:t>
      </w:r>
    </w:p>
    <w:p w:rsidR="00EA513C" w:rsidRPr="006E7617" w:rsidRDefault="00EA513C" w:rsidP="002B4FFF">
      <w:pPr>
        <w:pStyle w:val="NormalHanging12a"/>
        <w:widowControl/>
      </w:pPr>
      <w:r w:rsidRPr="006E7617">
        <w:t>C.</w:t>
      </w:r>
      <w:r w:rsidRPr="006E7617">
        <w:tab/>
        <w:t>mivel még mindig nem alkalmaznak fontos, különösen a beruházásvédelemre vonatkozó rendelkezéseket, mivel nem minden tagállam ratifikálta a megállapodást;</w:t>
      </w:r>
    </w:p>
    <w:p w:rsidR="00EA513C" w:rsidRPr="006E7617" w:rsidRDefault="00EA513C" w:rsidP="002B4FFF">
      <w:pPr>
        <w:pStyle w:val="NormalHanging12a"/>
        <w:widowControl/>
      </w:pPr>
      <w:r w:rsidRPr="006E7617">
        <w:t>D.</w:t>
      </w:r>
      <w:r w:rsidRPr="006E7617">
        <w:tab/>
        <w:t>mivel Kanada és az EU véglegesíti a CETA Vegyes Bizottság határozattervezetét a 8.10. cikk, a 8-A. melléklet és a 8.39. cikk egyes feltételeinek értelmezéséről, meghatározva a szabályozáshoz való jog hatáskörét a beruházásvédelmi fejezettel összefüggésben, valamint a kkv-k CETA szerinti befektetési bírósági rendszerhez való hozzáférésének megkönnyítéséről;</w:t>
      </w:r>
    </w:p>
    <w:p w:rsidR="00EA513C" w:rsidRPr="006E7617" w:rsidRDefault="00EA513C" w:rsidP="002B4FFF">
      <w:pPr>
        <w:pStyle w:val="NormalHanging12a"/>
        <w:widowControl/>
      </w:pPr>
      <w:r w:rsidRPr="006E7617">
        <w:t>E.</w:t>
      </w:r>
      <w:r w:rsidRPr="006E7617">
        <w:tab/>
      </w:r>
      <w:proofErr w:type="gramStart"/>
      <w:r w:rsidRPr="006E7617">
        <w:t>mivel</w:t>
      </w:r>
      <w:proofErr w:type="gramEnd"/>
      <w:r w:rsidRPr="006E7617">
        <w:t xml:space="preserve"> az EU az Egyesült Államok és Kína után Kanada harmadik legnagyobb kereskedelmi partnere volt, és 2022-ben a világgal folytatott árukereskedelmének 8,2%-át tette ki; mivel Kanada ugyanebben az évben az EU nemzetközi kereskedelmi partnerei között a 14. helyen állt, és az EU teljes külkereskedelmének közel 1,4%-át tette ki;</w:t>
      </w:r>
    </w:p>
    <w:p w:rsidR="00EA513C" w:rsidRPr="006E7617" w:rsidRDefault="00EA513C" w:rsidP="002B4FFF">
      <w:pPr>
        <w:pStyle w:val="NormalHanging12a"/>
        <w:widowControl/>
      </w:pPr>
      <w:r w:rsidRPr="006E7617">
        <w:t>F.</w:t>
      </w:r>
      <w:r w:rsidRPr="006E7617">
        <w:tab/>
        <w:t xml:space="preserve">mivel Oroszország Ukrajna elleni </w:t>
      </w:r>
      <w:proofErr w:type="gramStart"/>
      <w:r w:rsidRPr="006E7617">
        <w:t>agressziós</w:t>
      </w:r>
      <w:proofErr w:type="gramEnd"/>
      <w:r w:rsidRPr="006E7617">
        <w:t xml:space="preserve"> háborúja rámutatott arra, hogy szükség van a kereskedelmi megállapodások diverzifikálására, a korlátozott számú kereskedelmi partnertől származó importtól és exporttól való függőség csökkentésére, valamint a hasonlóan gondolkodó partnerekkel való kereskedelmi megállapodások megkötésének fontosságára;</w:t>
      </w:r>
    </w:p>
    <w:p w:rsidR="00EA513C" w:rsidRPr="006E7617" w:rsidRDefault="00EA513C" w:rsidP="002B4FFF">
      <w:pPr>
        <w:pStyle w:val="NormalHanging12a"/>
        <w:widowControl/>
      </w:pPr>
      <w:r w:rsidRPr="006E7617">
        <w:t>G.</w:t>
      </w:r>
      <w:r w:rsidRPr="006E7617">
        <w:tab/>
      </w:r>
      <w:proofErr w:type="gramStart"/>
      <w:r w:rsidRPr="006E7617">
        <w:t>mivel</w:t>
      </w:r>
      <w:proofErr w:type="gramEnd"/>
      <w:r w:rsidRPr="006E7617">
        <w:t xml:space="preserve"> az EU kereskedelmi megállapodásainak tényleges végrehajtása és figyelemmel kísérése a Parlament, a Tanács és a Bizottság számára kiemelt prioritás az EU közös kereskedelempolitikájának figyelemmel kísérése, értékelése és meghatározása tekintetében; mivel a Kanadával kötött megállapodás végrehajtásáról szóló jelentés időszerű és hasznos hozzájárulás az EU kereskedelmi megállapodásainak működéséről való gondolkodáshoz;</w:t>
      </w:r>
    </w:p>
    <w:p w:rsidR="00EA513C" w:rsidRPr="006E7617" w:rsidRDefault="00EA513C" w:rsidP="002B4FFF">
      <w:pPr>
        <w:pStyle w:val="NormalHanging12a"/>
        <w:widowControl/>
      </w:pPr>
      <w:r w:rsidRPr="006E7617">
        <w:t>H.</w:t>
      </w:r>
      <w:r w:rsidRPr="006E7617">
        <w:tab/>
      </w:r>
      <w:proofErr w:type="gramStart"/>
      <w:r w:rsidRPr="006E7617">
        <w:t>mivel</w:t>
      </w:r>
      <w:proofErr w:type="gramEnd"/>
      <w:r w:rsidRPr="006E7617">
        <w:t xml:space="preserve"> a CETA szerinti intézményi keret immár teljes mértékben működik, 19 szakbizottsággal, szabályozási együttműködési fórummal és civil társadalmi fórummal, és ezek napirendjei és jelentései nyilvánosan hozzáférhetők;</w:t>
      </w:r>
    </w:p>
    <w:p w:rsidR="00EA513C" w:rsidRPr="006E7617" w:rsidRDefault="00EA513C" w:rsidP="002B4FFF">
      <w:pPr>
        <w:pStyle w:val="NormalHanging12a"/>
        <w:widowControl/>
      </w:pPr>
      <w:r w:rsidRPr="006E7617">
        <w:t>I.</w:t>
      </w:r>
      <w:r w:rsidRPr="006E7617">
        <w:tab/>
        <w:t>mivel Kanada volt az első olyan ország, amellyel az EU a kritikus fontosságú nyersanyagokkal kapcsolatban stratégiai partnerséget hozott létre, amelyet később a zöld szövetségi kezdeményezés, az EU–Kanada digitális partnerség és egy óceánpolitikai partnerség egészített ki;</w:t>
      </w:r>
    </w:p>
    <w:p w:rsidR="00EA513C" w:rsidRPr="006E7617" w:rsidRDefault="00EA513C" w:rsidP="002B4FFF">
      <w:pPr>
        <w:pStyle w:val="NormalHanging12a"/>
        <w:widowControl/>
      </w:pPr>
      <w:r w:rsidRPr="006E7617">
        <w:t>J.</w:t>
      </w:r>
      <w:r w:rsidRPr="006E7617">
        <w:tab/>
        <w:t xml:space="preserve">mivel Kanada </w:t>
      </w:r>
      <w:proofErr w:type="gramStart"/>
      <w:r w:rsidRPr="006E7617">
        <w:t>aktívan</w:t>
      </w:r>
      <w:proofErr w:type="gramEnd"/>
      <w:r w:rsidRPr="006E7617">
        <w:t xml:space="preserve"> részt vesz a WTO műanyagszennyezésről és a környezeti szempontból fenntartható műanyagok kereskedelméről szóló párbeszédében és a WTO Kereskedelmi és Környezetvédelmi Bizottságában, viszont nem tagja a fosszilis tüzelőanyagok támogatásának reformjára (FFSR) irányuló kezdeményezésnek;</w:t>
      </w:r>
    </w:p>
    <w:p w:rsidR="00EA513C" w:rsidRPr="006E7617" w:rsidRDefault="00EA513C" w:rsidP="002B4FFF">
      <w:pPr>
        <w:pStyle w:val="NormalHanging12a"/>
        <w:widowControl/>
      </w:pPr>
      <w:r w:rsidRPr="006E7617">
        <w:t>K.</w:t>
      </w:r>
      <w:r w:rsidRPr="006E7617">
        <w:tab/>
        <w:t xml:space="preserve">mivel jelenleg elegendő tapasztalat, adat és statisztikai </w:t>
      </w:r>
      <w:proofErr w:type="gramStart"/>
      <w:r w:rsidRPr="006E7617">
        <w:t>információ</w:t>
      </w:r>
      <w:proofErr w:type="gramEnd"/>
      <w:r w:rsidRPr="006E7617">
        <w:t xml:space="preserve"> áll rendelkezésre a CETA ideiglenes végrehajtásának értékeléséhez;</w:t>
      </w:r>
    </w:p>
    <w:p w:rsidR="00EA513C" w:rsidRPr="006E7617" w:rsidRDefault="00EA513C" w:rsidP="002B4FFF">
      <w:pPr>
        <w:pStyle w:val="NormalHanging12a"/>
        <w:widowControl/>
      </w:pPr>
      <w:r w:rsidRPr="006E7617">
        <w:t>L.</w:t>
      </w:r>
      <w:r w:rsidRPr="006E7617">
        <w:tab/>
        <w:t>mivel Kanada világelső a szociális és szolidáris gazdaságra vonatkozó közpolitika közös kialakításában, és mivel egyes tartományokban, például Québecben, a szociális és szolidáris gazdaság a bruttó hazai termék (GDP) közel 10%-át teszi ki, és mintegy 210 000 munkahelyet biztosít;</w:t>
      </w:r>
    </w:p>
    <w:p w:rsidR="00EA513C" w:rsidRPr="006E7617" w:rsidRDefault="00EA513C" w:rsidP="002B4FFF">
      <w:pPr>
        <w:pStyle w:val="NormalHanging12a"/>
        <w:widowControl/>
        <w:rPr>
          <w:b/>
          <w:szCs w:val="24"/>
        </w:rPr>
      </w:pPr>
      <w:r w:rsidRPr="006E7617">
        <w:rPr>
          <w:b/>
          <w:i/>
        </w:rPr>
        <w:lastRenderedPageBreak/>
        <w:t>Főbb következtetések és ajánlások</w:t>
      </w:r>
    </w:p>
    <w:p w:rsidR="00EA513C" w:rsidRPr="006E7617" w:rsidRDefault="00EA513C" w:rsidP="002B4FFF">
      <w:pPr>
        <w:pStyle w:val="NormalHanging12a"/>
        <w:widowControl/>
      </w:pPr>
      <w:proofErr w:type="gramStart"/>
      <w:r w:rsidRPr="006E7617">
        <w:t>1.</w:t>
      </w:r>
      <w:r w:rsidRPr="006E7617">
        <w:tab/>
        <w:t>kiemeli, hogy a CETA szabályokon és értékeken alapuló kapcsolatra támaszkodik, amely előmozdítja a kereskedelmi partnerek közötti biztonságosabb és stabilabb gazdasági környezetet, ami különösen fontos a fokozódó geopolitikai bizonytalanságok összefüggésében, amely a fenntartható fejlődés, az emberi jogok, valamint a munkaügyi és környezetvédelmi normák tiszteletben tartásának elveire épül; úgy véli, hogy ez a kiszámíthatóság elősegítheti a gazdasági növekedést, az áruk cseréjét, a szolgáltatások nyújtását, a közbeszerzésekben való részvételt, a beruházások vonzerejét, a minőségi foglalkoztatást,</w:t>
      </w:r>
      <w:proofErr w:type="gramEnd"/>
      <w:r w:rsidRPr="006E7617">
        <w:t xml:space="preserve"> </w:t>
      </w:r>
      <w:proofErr w:type="gramStart"/>
      <w:r w:rsidRPr="006E7617">
        <w:t>több</w:t>
      </w:r>
      <w:proofErr w:type="gramEnd"/>
      <w:r w:rsidRPr="006E7617">
        <w:t xml:space="preserve"> és jobban fizetett munkahely létrehozását, valamint a jobb munkakörülményeket és életszínvonalat; megjegyzi azonban, hogy a CETA-nak jobban meg kell erősítenie a fenntartható fejlődést, tiszteletben kell tartania az emberi és munkajogokat, valamint védenie kell az éghajlatot;</w:t>
      </w:r>
    </w:p>
    <w:p w:rsidR="00EA513C" w:rsidRPr="006E7617" w:rsidRDefault="00EA513C" w:rsidP="002B4FFF">
      <w:pPr>
        <w:pStyle w:val="NormalHanging12a"/>
        <w:widowControl/>
      </w:pPr>
      <w:proofErr w:type="gramStart"/>
      <w:r w:rsidRPr="006E7617">
        <w:t>2.</w:t>
      </w:r>
      <w:r w:rsidRPr="006E7617">
        <w:tab/>
        <w:t>megelégedéssel veszi tudomásul, hogy az EU és Kanada közötti árukereskedelem 2016 és 2022 között 66%-kal, míg az EU és Kanada közötti szolgáltatáskereskedelem 46%-kal nőtt, felülteljesítve az EU-n kívüli egyéb kereskedelmet; megjegyzi, hogy a Kanadába irányuló uniós áruexport 47%-kal nőtt az ideiglenes alkalmazás első öt évében, amikor a legnagyobb mértékű növekedést a feldolgozott termékek, a vegyipari termékek, valamint az élelmiszerek és állati termékek esetében regisztrálták; megjegyzi, hogy a megállapodás ideiglenes alkalmazása előtt a kanadai mezőgazdasági termékek uniós piacra való beáramlás</w:t>
      </w:r>
      <w:proofErr w:type="gramEnd"/>
      <w:r w:rsidRPr="006E7617">
        <w:t xml:space="preserve">a kapcsán megfogalmazott aggályok többsége végül nem igazolódott be; megállapítja, hogy az EU-ba irányuló kanadai </w:t>
      </w:r>
      <w:proofErr w:type="gramStart"/>
      <w:r w:rsidRPr="006E7617">
        <w:t>export</w:t>
      </w:r>
      <w:proofErr w:type="gramEnd"/>
      <w:r w:rsidRPr="006E7617">
        <w:t xml:space="preserve"> 46,4%-kal nőtt, a legnagyobb mértékű növekedés pedig az ércek, a drágakövek és a fémek, valamint az ásványi tüzelőanyagok és olajok terén következett be;</w:t>
      </w:r>
    </w:p>
    <w:p w:rsidR="00EA513C" w:rsidRPr="006E7617" w:rsidRDefault="00EA513C" w:rsidP="002B4FFF">
      <w:pPr>
        <w:pStyle w:val="NormalHanging12a"/>
        <w:widowControl/>
        <w:rPr>
          <w:bCs/>
          <w:iCs/>
        </w:rPr>
      </w:pPr>
      <w:proofErr w:type="gramStart"/>
      <w:r w:rsidRPr="006E7617">
        <w:t>3.</w:t>
      </w:r>
      <w:r w:rsidRPr="006E7617">
        <w:tab/>
        <w:t>hangsúlyozza, hogy a CETA ideiglenes alkalmazásának kezdete óta jelentősen növekedett az EU és Kanada közötti kétoldalú élelmiszer- és mezőgazdaságitermék-kereskedelem, így a Kanadába irányuló uniós agrár-élelmiszeripari kivitel 62%-kal, és az ilyen termékek Kanadából történő behozatala 52%-kal növekedett; megjegyzi, hogy ez a termelők és az exportőrök számára mindkét oldalon jelentős előnyökkel járt, és hozzájárult a munkahelyteremtéshez is; üdvözli a Kanadába exportáló uniós mikro-, kis- és középvállalkozások számának jelentős növekedését, valamint exportált termékeik értékének növekedését,</w:t>
      </w:r>
      <w:proofErr w:type="gramEnd"/>
      <w:r w:rsidRPr="006E7617">
        <w:t xml:space="preserve"> </w:t>
      </w:r>
      <w:proofErr w:type="gramStart"/>
      <w:r w:rsidRPr="006E7617">
        <w:t>megjegyezve</w:t>
      </w:r>
      <w:proofErr w:type="gramEnd"/>
      <w:r w:rsidRPr="006E7617">
        <w:t>, hogy a megállapodás így elsősorban az ő érdekeiket szolgálja;</w:t>
      </w:r>
    </w:p>
    <w:p w:rsidR="00EA513C" w:rsidRPr="006E7617" w:rsidRDefault="00EA513C" w:rsidP="002B4FFF">
      <w:pPr>
        <w:pStyle w:val="NormalHanging12a"/>
        <w:widowControl/>
        <w:rPr>
          <w:szCs w:val="24"/>
        </w:rPr>
      </w:pPr>
      <w:r w:rsidRPr="006E7617">
        <w:t>4.</w:t>
      </w:r>
      <w:r w:rsidRPr="006E7617">
        <w:tab/>
        <w:t>hangsúlyozza, hogy a CETA és minden más uniós kereskedelmi megállapodás végrehajtása során megfelelően figyelembe kell venni a fenntartható mezőgazdasági termelés tiszteletben tartását, a kölcsönösséget és a magas szintű termelési előírások, különösen az egészségügyi és növény-egészségügyi előírások, valamint a megfelelő ellenőrzések fenntartását, és ezen előírások kölcsönös betartásának figyelemmel kísérését;</w:t>
      </w:r>
    </w:p>
    <w:p w:rsidR="00EA513C" w:rsidRPr="006E7617" w:rsidRDefault="00EA513C" w:rsidP="002B4FFF">
      <w:pPr>
        <w:pStyle w:val="NormalHanging12a"/>
        <w:widowControl/>
      </w:pPr>
      <w:r w:rsidRPr="006E7617">
        <w:t>5.</w:t>
      </w:r>
      <w:r w:rsidRPr="006E7617">
        <w:tab/>
        <w:t xml:space="preserve">üdvözli, hogy a felek közötti kereskedelmi forgalom általában reziliensnek bizonyult a világjárvány, valamint az Oroszország ukrajnai </w:t>
      </w:r>
      <w:proofErr w:type="gramStart"/>
      <w:r w:rsidRPr="006E7617">
        <w:t>agresszív</w:t>
      </w:r>
      <w:proofErr w:type="gramEnd"/>
      <w:r w:rsidRPr="006E7617">
        <w:t xml:space="preserve"> háborúja által teremtett nehéz helyzet során, ezáltal ellenállt az ellátási láncokra nehezedő nyomásnak, és hozzájárult az élelmezésbiztonság megerősödéséhez; úgy véli, hogy a CETA-nak olyan eszközként kell szolgálnia, amely megkönnyíti az együttműködést és a közös fellépést Ukrajna újjáépítése terén, amint a háború véget ér;</w:t>
      </w:r>
    </w:p>
    <w:p w:rsidR="00EA513C" w:rsidRPr="006E7617" w:rsidRDefault="00EA513C" w:rsidP="002B4FFF">
      <w:pPr>
        <w:pStyle w:val="NormalHanging12a"/>
        <w:widowControl/>
      </w:pPr>
      <w:r w:rsidRPr="006E7617">
        <w:lastRenderedPageBreak/>
        <w:t>6.</w:t>
      </w:r>
      <w:r w:rsidRPr="006E7617">
        <w:tab/>
        <w:t xml:space="preserve">hangsúlyozza, hogy az uniós </w:t>
      </w:r>
      <w:proofErr w:type="gramStart"/>
      <w:r w:rsidRPr="006E7617">
        <w:t>export</w:t>
      </w:r>
      <w:proofErr w:type="gramEnd"/>
      <w:r w:rsidRPr="006E7617">
        <w:t xml:space="preserve"> kulcsfontosságú a foglalkoztatás szempontjából; üdvözli, hogy a CETA hozzájárult új munkalehetőségek teremtéséhez, mivel a Kanadába irányuló uniós exportra épülő munkahelyek száma a 2017. évi 624</w:t>
      </w:r>
      <w:r w:rsidR="002B4FFF">
        <w:t>.</w:t>
      </w:r>
      <w:r w:rsidRPr="006E7617">
        <w:t>000-ről 2021-ben több mint 700</w:t>
      </w:r>
      <w:r w:rsidR="002B4FFF">
        <w:t>.</w:t>
      </w:r>
      <w:r w:rsidRPr="006E7617">
        <w:t>000-ra növekedett;</w:t>
      </w:r>
    </w:p>
    <w:p w:rsidR="00EA513C" w:rsidRPr="006E7617" w:rsidRDefault="00EA513C" w:rsidP="002B4FFF">
      <w:pPr>
        <w:pStyle w:val="NormalHanging12a"/>
        <w:widowControl/>
      </w:pPr>
      <w:proofErr w:type="gramStart"/>
      <w:r w:rsidRPr="006E7617">
        <w:t>7.</w:t>
      </w:r>
      <w:r w:rsidRPr="006E7617">
        <w:tab/>
        <w:t>hangsúlyozza a CETA keretében biztosított munkavállalói mobilitás elősegítésének fontosságát, mivel az segít biztosítani a készségek EU és Kanada közötti megfelelő átadását és a szakképzett munkaerő hiányának elkerülését; üdvözli e tekintetben, hogy a CETA keretében 2022-ben sikeresen megkötötték az építészmérnökök képesítéseinek kölcsönös elismeréséről szóló első megállapodást; úgy véli, hogy az uniós kékkártya tovább könnyítheti a jól képzett lakossággal rendelkező, két versenyképes gazdaság közötti cserekapcsolatokat; hangsúlyozza, hogy az uniós és a kanadai felsőoktatási intézmények közötti</w:t>
      </w:r>
      <w:proofErr w:type="gramEnd"/>
      <w:r w:rsidRPr="006E7617">
        <w:t xml:space="preserve"> </w:t>
      </w:r>
      <w:proofErr w:type="gramStart"/>
      <w:r w:rsidRPr="006E7617">
        <w:t>csereprogramok</w:t>
      </w:r>
      <w:proofErr w:type="gramEnd"/>
      <w:r w:rsidRPr="006E7617">
        <w:t xml:space="preserve"> hosszú távon hozzájárulhatnak a szükséges munkavállalói mobilitáshoz;</w:t>
      </w:r>
    </w:p>
    <w:p w:rsidR="00EA513C" w:rsidRPr="006E7617" w:rsidRDefault="00EA513C" w:rsidP="002B4FFF">
      <w:pPr>
        <w:pStyle w:val="NormalHanging12a"/>
        <w:widowControl/>
      </w:pPr>
      <w:proofErr w:type="gramStart"/>
      <w:r w:rsidRPr="006E7617">
        <w:t>8.</w:t>
      </w:r>
      <w:r w:rsidRPr="006E7617">
        <w:tab/>
        <w:t>megjegyzi, hogy a két legfontosabb termékkategória, amelyet az EU és Kanada egymásnak exportál a gépek és közlekedési eszközök – amelyek az export és az import mintegy 34%-át teszik ki –, valamint a vegyi, gyógyszeripari és műanyag termékek, amelyek a teljes export és import mintegy 20%-át teszik ki; megjegyzi azonban, hogy más kereskedelmi partnerekhez képest a Kanadából származó import rendkívül jelentős a bányászati és kitermelési ágazat – elsősorban a műtrágya, a nikkel, az uránium és a homokolaj – tekintetében, mivel az EU Kanadából származó teljes behozatalának közel 20%-át teszi ki;</w:t>
      </w:r>
      <w:proofErr w:type="gramEnd"/>
      <w:r w:rsidRPr="006E7617">
        <w:t xml:space="preserve"> </w:t>
      </w:r>
      <w:proofErr w:type="gramStart"/>
      <w:r w:rsidRPr="006E7617">
        <w:t>hangsúlyozza</w:t>
      </w:r>
      <w:proofErr w:type="gramEnd"/>
      <w:r w:rsidRPr="006E7617">
        <w:t>, hogy a megbízható kereskedelmi partnerektől, köztük Kanadától származó kritikus nyersanyagokhoz való hozzáférés az EU kritikus nyersanyagokra vonatkozó stratégiájának kulcsfontosságú eleme, és létfontosságú a fenntartható zöld átállás megvalósításához;</w:t>
      </w:r>
    </w:p>
    <w:p w:rsidR="00EA513C" w:rsidRPr="006E7617" w:rsidRDefault="00EA513C" w:rsidP="002B4FFF">
      <w:pPr>
        <w:pStyle w:val="NormalHanging12a"/>
        <w:widowControl/>
      </w:pPr>
      <w:proofErr w:type="gramStart"/>
      <w:r w:rsidRPr="006E7617">
        <w:t>9.</w:t>
      </w:r>
      <w:r w:rsidRPr="006E7617">
        <w:tab/>
        <w:t>hangsúlyozza, hogy a kritikus fontosságú nyersanyagokhoz való hozzáféréssel kapcsolatos együttműködés alapvető fontosságú a jelenlegi geopolitikai környezetben, valamint a zöld és méltányos átállás szempontjából, és üdvözli, hogy a CETA keretében 2021. júliusban aláírták a kritikus fontosságú nyersanyagokra vonatkozó EU–Kanada stratégiai partnerséget, amelynek elő kell segítenie az EU és Kanada közötti nyersanyag-értékláncok integrálását, valamint elő kell mozdítania az együttműködést a tudomány, a technológia és az innováció terén; megjegyzi, hogy ez az európai gazdasági biztonsági stratégia</w:t>
      </w:r>
      <w:proofErr w:type="gramEnd"/>
      <w:r w:rsidRPr="006E7617">
        <w:t xml:space="preserve"> </w:t>
      </w:r>
      <w:proofErr w:type="gramStart"/>
      <w:r w:rsidRPr="006E7617">
        <w:t>fontos</w:t>
      </w:r>
      <w:proofErr w:type="gramEnd"/>
      <w:r w:rsidRPr="006E7617">
        <w:t xml:space="preserve"> elemét képezi; meggyőződése, hogy a nyersanyag-kitermelésnek a környezetvédelmi előírások, a munkaügyi és az emberi jogok, köztük az őslakosok jogainak tiszteletben tartásával kell történnie;</w:t>
      </w:r>
    </w:p>
    <w:p w:rsidR="00EA513C" w:rsidRPr="006E7617" w:rsidRDefault="00EA513C" w:rsidP="002B4FFF">
      <w:pPr>
        <w:pStyle w:val="NormalHanging12a"/>
        <w:widowControl/>
      </w:pPr>
      <w:proofErr w:type="gramStart"/>
      <w:r w:rsidRPr="006E7617">
        <w:t>10.</w:t>
      </w:r>
      <w:r w:rsidRPr="006E7617">
        <w:tab/>
        <w:t>üdvözli, hogy az európai és kanadai cégek egyre nagyobb mértékben és folyamatosan használják ki a CETA által biztosított kedvezményeket, és a Kanadára, valamint az EU-ra vonatkozó kedvezmények kihasználtsági aránya 2022-ben egyaránt 60%-os volt, szemben a 2018. évi 40, illetve 52%-kal; érdeklődéssel veszi tudomásul, hogy a kisebb vállalatok nagyobb mértékben használják ki a kedvezményeket, mint a nagyvállalatok, és hogy a kihasználtsági arány az agrár-élelmiszeripari ágazatban lényegesen magasabb, mint a feldolgozóiparban; hangsúlyozza, hogy a kulcsfontosságú ágazatokban tapasztalható alacsony</w:t>
      </w:r>
      <w:proofErr w:type="gramEnd"/>
      <w:r w:rsidRPr="006E7617">
        <w:t xml:space="preserve"> kihasználtsági </w:t>
      </w:r>
      <w:proofErr w:type="gramStart"/>
      <w:r w:rsidRPr="006E7617">
        <w:t>arány számos</w:t>
      </w:r>
      <w:proofErr w:type="gramEnd"/>
      <w:r w:rsidRPr="006E7617">
        <w:t xml:space="preserve"> uniós tagállam esetében elmaradt költségmegtakarításra és a megállapodásból származó jóléti előnyök csökkenésére utal; mindkét partnert ösztönzi, hogy továbbra is támogassák a két régió érdekelt felei körében a CETA-t népszerűsítő intézkedéseket, többek között az EU „Access2Markets” platformján keresztül; hangsúlyozza, hogy a digitális kereskedelem révén az uniós </w:t>
      </w:r>
      <w:r w:rsidRPr="006E7617">
        <w:lastRenderedPageBreak/>
        <w:t>normákkal összhangban elő kell segíteni az új lehetőségeket a vállalkozások és a fogyasztók számára;</w:t>
      </w:r>
    </w:p>
    <w:p w:rsidR="00EA513C" w:rsidRPr="006E7617" w:rsidRDefault="00EA513C" w:rsidP="002B4FFF">
      <w:pPr>
        <w:pStyle w:val="NormalHanging12a"/>
        <w:widowControl/>
      </w:pPr>
      <w:r w:rsidRPr="006E7617">
        <w:t>11.</w:t>
      </w:r>
      <w:r w:rsidRPr="006E7617">
        <w:tab/>
        <w:t xml:space="preserve">megjegyzi, hogy az EU-ba irányuló marha- és borjúhúsimportra vonatkozó vámkontingens kihasználtsági aránya 2021-ben mindössze 3%-os volt, és hogy az uniós </w:t>
      </w:r>
      <w:proofErr w:type="gramStart"/>
      <w:r w:rsidRPr="006E7617">
        <w:t>exportőrök</w:t>
      </w:r>
      <w:proofErr w:type="gramEnd"/>
      <w:r w:rsidRPr="006E7617">
        <w:t xml:space="preserve"> növelték piaci részesedésüket Kanadában, így az EU több fagyasztott marhahúst exportál Kanadába, mint amennyit onnan importál; megjegyzi azonban, hogy ennek a vámkontingensnek a kihasználtsági aránya idővel változhat Kanada más exportpiacainak, különösen az Egyesült Államok és Kína változásai következtében; </w:t>
      </w:r>
    </w:p>
    <w:p w:rsidR="00EA513C" w:rsidRPr="006E7617" w:rsidRDefault="00EA513C" w:rsidP="002B4FFF">
      <w:pPr>
        <w:pStyle w:val="NormalHanging12a"/>
        <w:widowControl/>
      </w:pPr>
      <w:r w:rsidRPr="006E7617">
        <w:t>12.</w:t>
      </w:r>
      <w:r w:rsidRPr="006E7617">
        <w:tab/>
        <w:t>kiemeli, hogy a Bizottság Egészségügyi és Élelmiszerbiztonsági Főigazgatóságának ellenőrzési jelentése szerint Kanadának még nem sikerült kielégítően végrehajtania az Európai Unióba irányuló kivitelre szánt marha- és sertéshús termelését szabályozó érvényes ellenőrzési rendszerek nyomonkövethetőségére és minőségére vonatkozó főigazgatósági ellenőrzés ajánlásait;</w:t>
      </w:r>
    </w:p>
    <w:p w:rsidR="00EA513C" w:rsidRPr="006E7617" w:rsidRDefault="00EA513C" w:rsidP="002B4FFF">
      <w:pPr>
        <w:pStyle w:val="NormalHanging12a"/>
        <w:widowControl/>
      </w:pPr>
      <w:proofErr w:type="gramStart"/>
      <w:r w:rsidRPr="006E7617">
        <w:t>13.</w:t>
      </w:r>
      <w:r w:rsidRPr="006E7617">
        <w:tab/>
        <w:t>üdvözli az engedéllyel rendelkező tagállamokból származó friss baromfi exportjára vonatkozó harmonizált uniós kiviteli bizonyítvány bevezetését, amely 2021-ben lépett életbe; felszólítja a Bizottságot, hogy folytassa a feldolgozott húsra, juh- és kecskehúsra vonatkozó hasonló bizonyítványok kidolgozását, miközben fokozza a húskészítmények szigorúbb nyomon követhetőségi rendszereinek biztosítására irányuló erőfeszítéseket; felhívja a Bizottságot, hogy az irányítóbizottság keretében és a kanadai hatóságokkal és a tagállamokkal együttműködve tegyen előrelépést a fennmaradó húsvizsgálati rendszerek</w:t>
      </w:r>
      <w:proofErr w:type="gramEnd"/>
      <w:r w:rsidRPr="006E7617">
        <w:t xml:space="preserve"> elismerése terén annak érdekében, hogy a többi tagállam is </w:t>
      </w:r>
      <w:proofErr w:type="gramStart"/>
      <w:r w:rsidRPr="006E7617">
        <w:t>exportálhasson</w:t>
      </w:r>
      <w:proofErr w:type="gramEnd"/>
      <w:r w:rsidRPr="006E7617">
        <w:t xml:space="preserve"> húst Kanadába;</w:t>
      </w:r>
    </w:p>
    <w:p w:rsidR="00EA513C" w:rsidRPr="006E7617" w:rsidRDefault="00EA513C" w:rsidP="002B4FFF">
      <w:pPr>
        <w:pStyle w:val="NormalHanging12a"/>
        <w:widowControl/>
      </w:pPr>
      <w:r w:rsidRPr="006E7617">
        <w:t>14.</w:t>
      </w:r>
      <w:r w:rsidRPr="006E7617">
        <w:tab/>
        <w:t>sajnálatát fejezi ki amiatt, hogy a CETA nem alkalmazza általánosságban a regionalizáció elvét, és kizárólag az állattenyésztés tekintetében tekinti az EU-t egységes térségnek, a gyümölcs- és zöldségágazat tekintetében azonban nem, ami azt jelenti, hogy minden egyes tagállamnak külön-külön kell tárgyalnia és megállapodnia az egyes termékekre vonatkozó exportkövetelményekről; kéri, hogy ezt a hiányosságot az EU–Kanada közös irányítóbizottság keretében a lehető leghamarabb orvosolják;</w:t>
      </w:r>
    </w:p>
    <w:p w:rsidR="00EA513C" w:rsidRPr="006E7617" w:rsidRDefault="00EA513C" w:rsidP="002B4FFF">
      <w:pPr>
        <w:pStyle w:val="NormalHanging12a"/>
        <w:widowControl/>
        <w:rPr>
          <w:szCs w:val="24"/>
        </w:rPr>
      </w:pPr>
      <w:r w:rsidRPr="006E7617">
        <w:t>15.</w:t>
      </w:r>
      <w:r w:rsidRPr="006E7617">
        <w:tab/>
        <w:t xml:space="preserve">felhívja a Bizottságot, hogy segítse elő a kanadai hatóságokkal való folyamatos együttműködést, amelynek célja, hogy a CETA keretében nagyobb figyelmet fordítsanak az állatjóléti előírásokra vonatkozó biztosítékokra, és értékeljék az e területre vonatkozó jövőbeli tükörklauzulák létrehozásának megvalósíthatóságát az állatjóléti előírások egyenértékűségének és </w:t>
      </w:r>
      <w:proofErr w:type="gramStart"/>
      <w:r w:rsidRPr="006E7617">
        <w:t>ezáltal</w:t>
      </w:r>
      <w:proofErr w:type="gramEnd"/>
      <w:r w:rsidRPr="006E7617">
        <w:t xml:space="preserve"> az uniós és az importált állati termékek közötti egyenlő versenyfeltételek biztosítása érdekében;</w:t>
      </w:r>
    </w:p>
    <w:p w:rsidR="00EA513C" w:rsidRPr="006E7617" w:rsidRDefault="00EA513C" w:rsidP="002B4FFF">
      <w:pPr>
        <w:pStyle w:val="NormalHanging12a"/>
        <w:widowControl/>
      </w:pPr>
      <w:r w:rsidRPr="006E7617">
        <w:t>16.</w:t>
      </w:r>
      <w:r w:rsidRPr="006E7617">
        <w:tab/>
        <w:t>emlékeztet arra, hogy az Unió kereskedelempolitikája és különösen a CETA-megállapodás jelentős gazdasági hatást gyakorol a legkülső régiókra, ezért hangsúlyozza, hogy a jövőbeli tárgyalások vagy a megállapodás esetleges felülvizsgálata során meg kell védeni e régiók érdekeit;</w:t>
      </w:r>
    </w:p>
    <w:p w:rsidR="00EA513C" w:rsidRPr="006E7617" w:rsidRDefault="00EA513C" w:rsidP="002B4FFF">
      <w:pPr>
        <w:pStyle w:val="NormalHanging12a"/>
        <w:widowControl/>
      </w:pPr>
      <w:r w:rsidRPr="006E7617">
        <w:t>17.</w:t>
      </w:r>
      <w:r w:rsidRPr="006E7617">
        <w:tab/>
        <w:t xml:space="preserve">fenntartja, hogy az uniós termékekhez rendelt vámok és kvóták egy részét a legkülső régiókban bejegyzett gazdasági szereplők számára kell kiosztani, tekintettel azok gazdasági helyzetére; hangsúlyozza, hogy a legkülső régiók gazdasági szereplőivel szembeni megkülönböztetett bánásmód elengedhetetlen a vállalkozások versenyképességének biztosításához, valamint a vámok és kvóták kereskedelmi </w:t>
      </w:r>
      <w:r w:rsidRPr="006E7617">
        <w:lastRenderedPageBreak/>
        <w:t xml:space="preserve">ügynökök közötti méltányos elosztásához, elkerülve, hogy az előnyök </w:t>
      </w:r>
      <w:proofErr w:type="gramStart"/>
      <w:r w:rsidRPr="006E7617">
        <w:t>kis számú</w:t>
      </w:r>
      <w:proofErr w:type="gramEnd"/>
      <w:r w:rsidRPr="006E7617">
        <w:t xml:space="preserve"> gazdasági szereplőre koncentrálódjanak;</w:t>
      </w:r>
    </w:p>
    <w:p w:rsidR="00EA513C" w:rsidRPr="006E7617" w:rsidRDefault="00EA513C" w:rsidP="002B4FFF">
      <w:pPr>
        <w:pStyle w:val="NormalHanging12a"/>
        <w:widowControl/>
      </w:pPr>
      <w:r w:rsidRPr="006E7617">
        <w:t>18.</w:t>
      </w:r>
      <w:r w:rsidRPr="006E7617">
        <w:tab/>
        <w:t>tudomásul veszi, hogy az uniós sajtexport esetében a vámkontingensek kihasználtsági aránya átlagosan 98%-os; kéri azonban a tejtermékekre vonatkozó, átláthatóbb és rugalmasabb kanadai vámkontingens-gazdálkodási rendszer kialakítását, különösen a sajt</w:t>
      </w:r>
      <w:proofErr w:type="gramStart"/>
      <w:r w:rsidRPr="006E7617">
        <w:t>kvóta</w:t>
      </w:r>
      <w:proofErr w:type="gramEnd"/>
      <w:r w:rsidRPr="006E7617">
        <w:t xml:space="preserve"> tekintetében, és sürgeti a kanadai hatóságokat, hogy a lehető leghamarabb folytassák le a rendszer esetleges felülvizsgálatát;</w:t>
      </w:r>
    </w:p>
    <w:p w:rsidR="00EA513C" w:rsidRPr="006E7617" w:rsidRDefault="00EA513C" w:rsidP="002B4FFF">
      <w:pPr>
        <w:pStyle w:val="NormalHanging12a"/>
        <w:widowControl/>
      </w:pPr>
      <w:r w:rsidRPr="006E7617">
        <w:t>19.</w:t>
      </w:r>
      <w:r w:rsidRPr="006E7617">
        <w:tab/>
        <w:t>kiemeli, hogy fontos a megállapodás kulcsfontosságú elemeként elismerni a földrajzi jelzések rendszerét; hangsúlyozza, hogy a megállapodás megfelelő működésébe vetett bizalom biztosítása érdekében a földrajzi jelzések oltalmának további hatékony érvényesítésére van szükség Kanadában az uniós jogosultak számára;</w:t>
      </w:r>
    </w:p>
    <w:p w:rsidR="00EA513C" w:rsidRPr="006E7617" w:rsidRDefault="00EA513C" w:rsidP="002B4FFF">
      <w:pPr>
        <w:pStyle w:val="NormalHanging12a"/>
        <w:widowControl/>
        <w:rPr>
          <w:szCs w:val="24"/>
        </w:rPr>
      </w:pPr>
      <w:proofErr w:type="gramStart"/>
      <w:r w:rsidRPr="006E7617">
        <w:t>20.</w:t>
      </w:r>
      <w:r w:rsidRPr="006E7617">
        <w:tab/>
        <w:t>tudomásul veszi, hogy a CETA ideiglenes alkalmazásának első hat évében a szolgáltatások Kanadába irányuló uniós exportja és Kanadából származó importja 54%-kal, illetve 74%-kal nőtt, és a legnagyobb mértékben a szállítási szolgáltatások, az üzleti szolgáltatások és az információs szolgáltatások, valamint a számítógépes és távközlési szolgáltatások terén javult, ami különösen a kisebb EU-tagállamoknak kedvez, ahol a szolgáltatások jelentős szerepet játszanak az ország gazdasági szerkezetében;</w:t>
      </w:r>
      <w:proofErr w:type="gramEnd"/>
    </w:p>
    <w:p w:rsidR="00EA513C" w:rsidRPr="006E7617" w:rsidRDefault="00EA513C" w:rsidP="002B4FFF">
      <w:pPr>
        <w:pStyle w:val="NormalHanging12a"/>
        <w:widowControl/>
        <w:rPr>
          <w:szCs w:val="24"/>
        </w:rPr>
      </w:pPr>
      <w:r w:rsidRPr="006E7617">
        <w:t>21.</w:t>
      </w:r>
      <w:r w:rsidRPr="006E7617">
        <w:tab/>
        <w:t xml:space="preserve">üdvözli a közbeszerzéshez, például a kanadai egyablakos ügyintézési ponthoz való hozzáférés megkönnyítésére irányuló </w:t>
      </w:r>
      <w:proofErr w:type="gramStart"/>
      <w:r w:rsidRPr="006E7617">
        <w:t>konkrét</w:t>
      </w:r>
      <w:proofErr w:type="gramEnd"/>
      <w:r w:rsidRPr="006E7617">
        <w:t xml:space="preserve"> erőfeszítéseket; úgy véli, hogy még akkor is, ha sokkal több uniós vállalkozás vesz részt sikeresen kanadai pályázatokon, például az ontariói regionális vasúti személyszállítás vagy a montreali hidak esetében, az uniós beszállítók még jobban kihasználhatnák a felkínált lehetőségeket, különösen az infrastrukturális projektek, valamint a tartományi és önkormányzati szerződésekre való ajánlattétel tekintetében;</w:t>
      </w:r>
    </w:p>
    <w:p w:rsidR="00EA513C" w:rsidRPr="006E7617" w:rsidRDefault="00EA513C" w:rsidP="002B4FFF">
      <w:pPr>
        <w:pStyle w:val="NormalHanging12a"/>
        <w:widowControl/>
      </w:pPr>
      <w:proofErr w:type="gramStart"/>
      <w:r w:rsidRPr="006E7617">
        <w:t>22.</w:t>
      </w:r>
      <w:r w:rsidRPr="006E7617">
        <w:tab/>
        <w:t>felhívja a feleket, hogy bocsássanak rendelkezésre minden olyan jogi és adminisztratív támogatást és eszközt, amelyre a kkv-knak szükségük van ahhoz, hogy a CETA keretében részt vegyenek a kereskedelemben és a beruházásokban, hogy előmozdítsák az eszmecserét és fokozzák a részvételt annak érdekében, hogy ki tudják használni a CETA előnyeit, többek között a kkv-k nemzetközivé válását elősegítő aktív intézkedések révén, egyszerűsítsék az eljárásokat és kezeljék a kereskedelmet gátló technikai akadályokat, amelyek aránytalanul érintik a kkv-kat; üdvözli e tekintetben a vegyes bizottság által</w:t>
      </w:r>
      <w:proofErr w:type="gramEnd"/>
      <w:r w:rsidRPr="006E7617">
        <w:t xml:space="preserve"> </w:t>
      </w:r>
      <w:proofErr w:type="gramStart"/>
      <w:r w:rsidRPr="006E7617">
        <w:t>2018-ban elfogadott, a kkv-kra vonatkozó ajánlást és az azt követő cselekvési terveket, beleértve az olyan konkrét intézkedéseket is, mint az Access2Markets platform 2020. októberi elindítása, amely a kkv-kat a kereskedelmi megállapodásokkal és a kereskedelmi akadályokkal kapcsolatos gyakorlati információkkal támogatja; elvárja, hogy az utólagos értékelés adatokat szolgáltasson a kkv-k által az EU és Kanada közötti kereskedelem arányának alakulásáról; felhívja a feleket, hogy vegyék fontolóra egy, a kkv-król szóló teljes körű fejezet lehetőségét,  az Új-Zélanddal és Chilével kötött megállapodásokhoz</w:t>
      </w:r>
      <w:proofErr w:type="gramEnd"/>
      <w:r w:rsidRPr="006E7617">
        <w:t xml:space="preserve"> </w:t>
      </w:r>
      <w:proofErr w:type="gramStart"/>
      <w:r w:rsidRPr="006E7617">
        <w:t>hasonlóan</w:t>
      </w:r>
      <w:proofErr w:type="gramEnd"/>
      <w:r w:rsidRPr="006E7617">
        <w:t>;</w:t>
      </w:r>
    </w:p>
    <w:p w:rsidR="00EA513C" w:rsidRPr="006E7617" w:rsidRDefault="00EA513C" w:rsidP="002B4FFF">
      <w:pPr>
        <w:pStyle w:val="NormalHanging12a"/>
        <w:widowControl/>
      </w:pPr>
      <w:r w:rsidRPr="006E7617">
        <w:t>23.</w:t>
      </w:r>
      <w:r w:rsidRPr="006E7617">
        <w:tab/>
        <w:t>tekintettel a kanadai szociális és szolidáris gazdasági ágazat jelentőségére, valamint a Bizottság által 2021. december 9-én elfogadott, a szociális gazdaságról szóló cselekvési tervre</w:t>
      </w:r>
      <w:r w:rsidRPr="006E7617">
        <w:rPr>
          <w:rStyle w:val="FootnoteReference"/>
        </w:rPr>
        <w:footnoteReference w:id="6"/>
      </w:r>
      <w:r w:rsidRPr="006E7617">
        <w:t xml:space="preserve">, felhívja a vegyes bizottságot, hogy határozza meg, milyen </w:t>
      </w:r>
      <w:proofErr w:type="gramStart"/>
      <w:r w:rsidRPr="006E7617">
        <w:t>konkrét</w:t>
      </w:r>
      <w:proofErr w:type="gramEnd"/>
      <w:r w:rsidRPr="006E7617">
        <w:t xml:space="preserve"> </w:t>
      </w:r>
      <w:r w:rsidRPr="006E7617">
        <w:lastRenderedPageBreak/>
        <w:t>intézkedéseket lehetne hozni az Atlanti-óceán két partján található szociális és szolidaritási szereplők közötti szorosabb együttműködés előmozdítására;</w:t>
      </w:r>
    </w:p>
    <w:p w:rsidR="00EA513C" w:rsidRPr="006E7617" w:rsidRDefault="00EA513C" w:rsidP="002B4FFF">
      <w:pPr>
        <w:pStyle w:val="NormalHanging12a"/>
        <w:widowControl/>
      </w:pPr>
      <w:r w:rsidRPr="006E7617">
        <w:t>24.</w:t>
      </w:r>
      <w:r w:rsidRPr="006E7617">
        <w:tab/>
        <w:t>ösztönzi mindkét felet, hogy folytassák tájékoztatási tevékenységüket, különösen a kkv-kra, valamint a szociális és szolidáris gazdaság szereplőire összpontosítva, hogy célzott tájékoztató kampányok révén hívják fel a figyelmet a CETA által kínált lehetőségekre, biztosítva ugyanakkor a megállapodás előnyeinek férfiak és nők közötti egyenlő megosztását;</w:t>
      </w:r>
    </w:p>
    <w:p w:rsidR="00EA513C" w:rsidRPr="006E7617" w:rsidRDefault="00EA513C" w:rsidP="002B4FFF">
      <w:pPr>
        <w:pStyle w:val="NormalHanging12a"/>
        <w:widowControl/>
      </w:pPr>
      <w:proofErr w:type="gramStart"/>
      <w:r w:rsidRPr="006E7617">
        <w:t>25.</w:t>
      </w:r>
      <w:r w:rsidRPr="006E7617">
        <w:tab/>
        <w:t>üdvözli, hogy a CETA Vegyes Bizottság már 2018-ban elfogadta a kereskedelemről és a nemek közötti egyenlőségről szóló ajánlást, amely magában foglalja a nemek szerint lebontott adatok gyűjtését, a mutatók használatát, a nyomon követési és értékelési módszereket, valamint a kereskedelemmel kapcsolatos, nemi szempontú statisztikák elemzését szolgáló módszerek és eljárások megosztására vonatkozó kötelezettségvállalást; hangsúlyozza, hogy a kereskedelemnek mindenki javát kell szolgálnia, és különösen meg kell erősítenie a nők gazdasági önrendelkezését; határozottan ösztönzi a CETA vegyes bizottságot,</w:t>
      </w:r>
      <w:proofErr w:type="gramEnd"/>
      <w:r w:rsidRPr="006E7617">
        <w:t xml:space="preserve"> </w:t>
      </w:r>
      <w:proofErr w:type="gramStart"/>
      <w:r w:rsidRPr="006E7617">
        <w:t>hogy továbbra is kövesse nyomon a megállapodás nemek közötti egyenlőségre gyakorolt hatásait; úgy véli, hogy a közösen elfogadott cselekvési terv keretében végzett munka példaként szolgálhat más kereskedelmi megállapodásokhoz, még akkor is, ha magában a megállapodásban nincsenek külön fejezetek a kereskedelemről és a nemek közötti egyenlőségről; emlékeztet a nemek közötti egyenlőségre vonatkozó III. cselekvési tervről szóló európai parlamenti állásfoglalásra</w:t>
      </w:r>
      <w:r w:rsidRPr="006E7617">
        <w:rPr>
          <w:rStyle w:val="FootnoteReference"/>
        </w:rPr>
        <w:footnoteReference w:id="7"/>
      </w:r>
      <w:r w:rsidRPr="006E7617">
        <w:t>, és ösztönzi a Bizottságot, hogy tegyen közzé könnyebben hozzáférhető, nemek szerint lebontott adatokat a megállapodás alkalmazásáról, különöse</w:t>
      </w:r>
      <w:proofErr w:type="gramEnd"/>
      <w:r w:rsidRPr="006E7617">
        <w:t xml:space="preserve">n </w:t>
      </w:r>
      <w:proofErr w:type="gramStart"/>
      <w:r w:rsidRPr="006E7617">
        <w:t>a</w:t>
      </w:r>
      <w:proofErr w:type="gramEnd"/>
      <w:r w:rsidRPr="006E7617">
        <w:t xml:space="preserve"> közbeszerzésről, valamint a kereskedelemről és a munkáról szóló fejezetekkel kapcsolatban;</w:t>
      </w:r>
    </w:p>
    <w:p w:rsidR="00EA513C" w:rsidRPr="006E7617" w:rsidRDefault="00EA513C" w:rsidP="002B4FFF">
      <w:pPr>
        <w:pStyle w:val="NormalHanging12a"/>
        <w:widowControl/>
      </w:pPr>
      <w:r w:rsidRPr="006E7617">
        <w:t>26.</w:t>
      </w:r>
      <w:r w:rsidRPr="006E7617">
        <w:tab/>
        <w:t>felhívja a Bizottságot, hogy akadályozza meg az elővigyázatosság elvének – az Európai Unió Szerződésekben rögzített alapelvének – gyengülését, amely az európai mezőgazdasági termelők és polgárok védelmének biztosítéka; hangsúlyozza, hogy a kereskedelem minden területén elő kell mozdítani az elővigyázatosság elvét, és biztosítani kell annak alkalmazását, elkerülve ugyanakkor az indokolatlan kereskedelmi akadályokat;</w:t>
      </w:r>
    </w:p>
    <w:p w:rsidR="00EA513C" w:rsidRPr="006E7617" w:rsidRDefault="00EA513C" w:rsidP="002B4FFF">
      <w:pPr>
        <w:pStyle w:val="NormalHanging12a"/>
        <w:widowControl/>
      </w:pPr>
      <w:proofErr w:type="gramStart"/>
      <w:r w:rsidRPr="006E7617">
        <w:t>27.</w:t>
      </w:r>
      <w:r w:rsidRPr="006E7617">
        <w:tab/>
        <w:t>hangsúlyozza, hogy a CETA olyan keretet biztosít, amely előmozdítja a kereskedelmet és az éghajlat-politikát azáltal, hogy kötelezettségvállalásokat tartalmaz a kereskedelemmel kapcsolatos, közös érdekű környezetvédelmi kérdések, például az éghajlatváltozás terén való együttműködésre vonatkozóan, amint azt a kereskedelemről, az éghajlat-politikáról és a Párizsi Megállapodásról szóló ajánlás is tanúsítja, különösen a tiszta technológiák előmozdításával; hangsúlyozza a kanadai helyszínű, globális energiatermelés fontosságát, amely felgyorsítja a tiszta energiára való átállást azáltal, hogy megújul</w:t>
      </w:r>
      <w:proofErr w:type="gramEnd"/>
      <w:r w:rsidRPr="006E7617">
        <w:t xml:space="preserve">ó </w:t>
      </w:r>
      <w:proofErr w:type="gramStart"/>
      <w:r w:rsidRPr="006E7617">
        <w:t xml:space="preserve">forrásokból állít elő energiát; üdvözli, hogy az ideiglenes alkalmazás kezdete óta 27%-kal nőtt a környezetvédelmi termékek kereskedelme; megjegyzi azonban, hogy Kanada az európai zöld megállapodással kapcsolatos európai jogalkotási és nem jogalkotási kezdeményezések elemeit a kereskedelem technikai akadályainak tekintette; felkéri a feleket, hogy találjanak szinergiákat az importáruk karbonintenzitását ellensúlyozó mechanizmus (CBAM) EU-ban történő végrehajtásával, </w:t>
      </w:r>
      <w:r w:rsidRPr="006E7617">
        <w:lastRenderedPageBreak/>
        <w:t>és közösen támogassák a szén-dioxid-kibocsátásra vonatkozó közös vagy összehasonlítható módszerek nemzetközi szintű kidolgozására</w:t>
      </w:r>
      <w:proofErr w:type="gramEnd"/>
      <w:r w:rsidRPr="006E7617">
        <w:t xml:space="preserve"> </w:t>
      </w:r>
      <w:proofErr w:type="gramStart"/>
      <w:r w:rsidRPr="006E7617">
        <w:t>irányuló</w:t>
      </w:r>
      <w:proofErr w:type="gramEnd"/>
      <w:r w:rsidRPr="006E7617">
        <w:t xml:space="preserve"> munkát;</w:t>
      </w:r>
    </w:p>
    <w:p w:rsidR="00EA513C" w:rsidRPr="006E7617" w:rsidRDefault="00EA513C" w:rsidP="002B4FFF">
      <w:pPr>
        <w:pStyle w:val="NormalHanging12a"/>
        <w:widowControl/>
      </w:pPr>
      <w:r w:rsidRPr="006E7617">
        <w:t>28.</w:t>
      </w:r>
      <w:r w:rsidRPr="006E7617">
        <w:tab/>
        <w:t>üdvözli az EU–Kanada digitális partnerség elindítását, amely kulcsfontosságú a zöld és digitális átálláshoz; felhívja mindkét felet, hogy erősítsék meg együttműködésüket a CETA végrehajtása keretében olyan közös stratégiai jelentőségű kérdésekben, mint a mesterséges intelligencia, a kiberbiztonság és a dezinformáció elleni küzdelem;</w:t>
      </w:r>
    </w:p>
    <w:p w:rsidR="00EA513C" w:rsidRPr="006E7617" w:rsidRDefault="00EA513C" w:rsidP="002B4FFF">
      <w:pPr>
        <w:pStyle w:val="NormalHanging12a"/>
        <w:widowControl/>
      </w:pPr>
      <w:proofErr w:type="gramStart"/>
      <w:r w:rsidRPr="006E7617">
        <w:t>29.</w:t>
      </w:r>
      <w:r w:rsidRPr="006E7617">
        <w:tab/>
        <w:t>üdvözli, hogy a CETA végrehajtásában aktívan részt vesznek és azt figyelemmel kísérik a hazai tanácsadó csoportok és a civil társadalmi fórum, amely az EU és Kanada több száz képviselőjét tömöríti, beleértve a vállalkozásokat, a környezetvédelmi és munkaügyi szervezeteket, a civil társadalmat, a tudományos köröket és a kanadai őslakos népek képviselőit, és közös nyilatkozataik révén aktívan hozzájárulnak különösen a kereskedelemmel és fenntartható fejlődéssel foglalkozó bizottság munkájához; sürgeti a Bizottságot, valamint a kereskedelemmel és fenntartható fejlődéssel foglalkozó bizottságot,</w:t>
      </w:r>
      <w:proofErr w:type="gramEnd"/>
      <w:r w:rsidRPr="006E7617">
        <w:t xml:space="preserve"> </w:t>
      </w:r>
      <w:proofErr w:type="gramStart"/>
      <w:r w:rsidRPr="006E7617">
        <w:t>hogy</w:t>
      </w:r>
      <w:proofErr w:type="gramEnd"/>
      <w:r w:rsidRPr="006E7617">
        <w:t xml:space="preserve"> kövessék nyomon javaslataikat; hangsúlyozza, hogy a belső tanácsadó csoportok megbízatásának a teljes megállapodás fenntarthatósági hatásának figyelembe vételére is irányulnia kell; hangsúlyozza annak fontosságát, hogy munkájukba bele kell foglalni a beruházásvédelmi fejezet fenntarthatóságra és emberi jogokra gyakorolt hatásával kapcsolatos megfontolásokat;</w:t>
      </w:r>
    </w:p>
    <w:p w:rsidR="00EA513C" w:rsidRPr="006E7617" w:rsidRDefault="00EA513C" w:rsidP="002B4FFF">
      <w:pPr>
        <w:pStyle w:val="NormalHanging12a"/>
        <w:widowControl/>
      </w:pPr>
      <w:r w:rsidRPr="006E7617">
        <w:t>30.</w:t>
      </w:r>
      <w:r w:rsidRPr="006E7617">
        <w:tab/>
        <w:t>felhívja mindkét félt, hogy e csoportok megújításával összefüggésben biztosítsák a kistermelők és a fogyasztók jobb integrációját a belső tanácsadó csoportokba;</w:t>
      </w:r>
    </w:p>
    <w:p w:rsidR="00EA513C" w:rsidRPr="006E7617" w:rsidRDefault="00EA513C" w:rsidP="002B4FFF">
      <w:pPr>
        <w:pStyle w:val="NormalHanging12a"/>
        <w:widowControl/>
      </w:pPr>
      <w:proofErr w:type="gramStart"/>
      <w:r w:rsidRPr="006E7617">
        <w:t>31.</w:t>
      </w:r>
      <w:r w:rsidRPr="006E7617">
        <w:tab/>
        <w:t>ragaszkodik a kereskedelemre és a fenntartható fejlődésre vonatkozó rendelkezésekkel kapcsolatos konkrét kötelezettségvállalások tényleges végrehajtásához – beleértve a közös értelmező eszközben vállalt, a kereskedelemre és a fenntartható fejlődésre vonatkozó korai felülvizsgálatot is, amelyre nem került sor –, amelyek a CETA szerves részét képezik, és nélkülözhetetlenek a kitűzött célok eléréséhez; tudomásul veszi, hogy 2024-ben a Bizottság független szakértők bevonásával utólagos értékelést fog végezni a CETA-ról, beleértve annak a kereskedelemről és fenntartható fejlődésről szóló fejezetét</w:t>
      </w:r>
      <w:proofErr w:type="gramEnd"/>
      <w:r w:rsidRPr="006E7617">
        <w:t xml:space="preserve"> </w:t>
      </w:r>
      <w:proofErr w:type="gramStart"/>
      <w:r w:rsidRPr="006E7617">
        <w:t>is, ami lehetőséget fog kínálni arra, hogy azt a Bizottság 2022. júniusi új megközelítése alapján értékeljék, és arra, hogy mérlegeljék a Kanada által 2020-ban előterjesztett konkrét javaslatok figyelembevételét annak érdekében, hogy növeljék e fejezet bizonyos rendelkezéseinek kötelező erejét; emlékeztet arra, hogy a vegyes bizottság kötelező erejű határozatot hozhat, amely végrehajtási ütemterveket állapít meg az együttműködés megerősítésére azokon a területeken, ahol az utólagos értékelés hiányosságokat tár fel, és elvárja, hogy ezt meg is tegye; úgy véli, hogy a kereskedelemről és a fenntartható</w:t>
      </w:r>
      <w:proofErr w:type="gramEnd"/>
      <w:r w:rsidRPr="006E7617">
        <w:t xml:space="preserve"> fejlődésről szóló fejezet vagy annak felülvizsgálata jobb végrehajtására irányuló erőfeszítéseket az összes érdekelt féllel folytatott érdemi </w:t>
      </w:r>
      <w:proofErr w:type="gramStart"/>
      <w:r w:rsidRPr="006E7617">
        <w:t>konzultációnak</w:t>
      </w:r>
      <w:proofErr w:type="gramEnd"/>
      <w:r w:rsidRPr="006E7617">
        <w:t xml:space="preserve"> kell megelőznie;</w:t>
      </w:r>
    </w:p>
    <w:p w:rsidR="00EA513C" w:rsidRPr="006E7617" w:rsidRDefault="00EA513C" w:rsidP="002B4FFF">
      <w:pPr>
        <w:pStyle w:val="NormalHanging12a"/>
        <w:widowControl/>
      </w:pPr>
      <w:proofErr w:type="gramStart"/>
      <w:r w:rsidRPr="006E7617">
        <w:t>32.</w:t>
      </w:r>
      <w:r w:rsidRPr="006E7617">
        <w:tab/>
        <w:t>megjegyzi, hogy az Egyesült Királyság a CETA ideiglenes alkalmazását követően megszűnt az Európai Unió tagja lenni; megjegyzi, hogy az Egyesült Királyság és Kanada számos kétoldalú kereskedelmi megállapodásban állapodott meg ennek figyelembevétele érdekében, többek között a vámkontingensek felhasználása és a kumuláció tekintetében; megjegyzi, hogy e megállapodások közül egyesek 2024 után hatályát vesztik, ami kisebb fennakadásokat okozhat a meglévő ellátási láncokban; felhívja a Bizottságot, hogy vizsgálja meg új megállapodások létrehozásának lehetőségét, amennyiben ezek a zavarok hátrányosan</w:t>
      </w:r>
      <w:proofErr w:type="gramEnd"/>
      <w:r w:rsidRPr="006E7617">
        <w:t xml:space="preserve"> </w:t>
      </w:r>
      <w:proofErr w:type="gramStart"/>
      <w:r w:rsidRPr="006E7617">
        <w:t>érinthetik</w:t>
      </w:r>
      <w:proofErr w:type="gramEnd"/>
      <w:r w:rsidRPr="006E7617">
        <w:t xml:space="preserve"> az uniós gazdasági szereplőket;</w:t>
      </w:r>
    </w:p>
    <w:p w:rsidR="00EA513C" w:rsidRPr="006E7617" w:rsidRDefault="00EA513C" w:rsidP="002B4FFF">
      <w:pPr>
        <w:widowControl/>
        <w:spacing w:after="240"/>
        <w:ind w:left="567" w:hanging="567"/>
      </w:pPr>
      <w:proofErr w:type="gramStart"/>
      <w:r w:rsidRPr="006E7617">
        <w:lastRenderedPageBreak/>
        <w:t>33.</w:t>
      </w:r>
      <w:r w:rsidRPr="006E7617">
        <w:tab/>
        <w:t>felhívja a feleket, hogy a ratifikálást követően a felülvizsgálati záradék alkalmazásával vizsgálják felül a CETA-t a kereskedelemre és a fenntartható fejlődésre vonatkozó megfelelő és hatékony vitarendezési mechanizmus bevezetése céljából, beleértve – a különböző jogérvényesítési módszerek közül – a súlyos jogsértések esetén végső megoldásként alkalmazandó  elriasztó hatású szankciók megfontolását; hangsúlyozza azon szándékát, hogy a kereskedelem és a nemek közötti egyenlőség terén folyamatban lévő együttműködés intézményesítését kívánja fontolóra venni e felülvizsgálat során; hangsúlyozza,</w:t>
      </w:r>
      <w:proofErr w:type="gramEnd"/>
      <w:r w:rsidRPr="006E7617">
        <w:t xml:space="preserve"> hogy ennek a felülvizsgálat során az őslakos népek jogaira vonatkozó </w:t>
      </w:r>
      <w:proofErr w:type="gramStart"/>
      <w:r w:rsidRPr="006E7617">
        <w:t>konkrét</w:t>
      </w:r>
      <w:proofErr w:type="gramEnd"/>
      <w:r w:rsidRPr="006E7617">
        <w:t>, szigorú rendelkezések bevezetését is fontolóra kellene venni, beleértve a 169. számú ILO-egyezményt és az őslakos népek jogairól szóló ENSZ-nyilatkozatot;</w:t>
      </w:r>
    </w:p>
    <w:p w:rsidR="00EA513C" w:rsidRPr="006E7617" w:rsidRDefault="00EA513C" w:rsidP="002B4FFF">
      <w:pPr>
        <w:pStyle w:val="NormalHanging12a"/>
        <w:widowControl/>
      </w:pPr>
      <w:r w:rsidRPr="006E7617">
        <w:t>34.</w:t>
      </w:r>
      <w:r w:rsidRPr="006E7617">
        <w:tab/>
        <w:t>sürgeti Belgiumot, Bulgáriát, Ciprust, Franciaországot, Görögországot, Magyarországot, Írországot, Olaszországot, Lengyelországot és Szlovéniát, hogy mielőbb ratifikálják a CETA-t, mivel ez a megállapodás naprakésszé tételéhez is elengedhetetlen, és ismételten hangsúlyozza a CETA teljes körű alkalmazásának fontosságát, beleértve annak beruházásvédelmi rendelkezéseit is;</w:t>
      </w:r>
    </w:p>
    <w:p w:rsidR="00EA513C" w:rsidRPr="006E7617" w:rsidRDefault="00EA513C" w:rsidP="002B4FFF">
      <w:pPr>
        <w:pStyle w:val="NormalHanging12a"/>
        <w:widowControl/>
      </w:pPr>
      <w:r w:rsidRPr="006E7617">
        <w:t>35.</w:t>
      </w:r>
      <w:r w:rsidRPr="006E7617">
        <w:tab/>
        <w:t>utasítja elnökét, hogy továbbítsa ezt az állásfoglalást a Tanácsnak és a Bizottságnak, valamint Kanada kormányának és parlamentjének.</w:t>
      </w:r>
    </w:p>
    <w:p w:rsidR="00EA513C" w:rsidRPr="006E7617" w:rsidRDefault="00EA513C" w:rsidP="002B4FFF">
      <w:pPr>
        <w:widowControl/>
        <w:spacing w:after="240"/>
        <w:ind w:left="567" w:hanging="567"/>
      </w:pPr>
    </w:p>
    <w:sectPr w:rsidR="00EA513C" w:rsidRPr="006E7617" w:rsidSect="006E76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F64" w:rsidRPr="006E7617" w:rsidRDefault="00DD1F64">
      <w:r w:rsidRPr="006E7617">
        <w:separator/>
      </w:r>
    </w:p>
  </w:endnote>
  <w:endnote w:type="continuationSeparator" w:id="0">
    <w:p w:rsidR="00DD1F64" w:rsidRPr="006E7617" w:rsidRDefault="00DD1F64">
      <w:r w:rsidRPr="006E76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761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761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761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F64" w:rsidRPr="006E7617" w:rsidRDefault="00DD1F64">
      <w:r w:rsidRPr="006E7617">
        <w:separator/>
      </w:r>
    </w:p>
  </w:footnote>
  <w:footnote w:type="continuationSeparator" w:id="0">
    <w:p w:rsidR="00DD1F64" w:rsidRPr="006E7617" w:rsidRDefault="00DD1F64">
      <w:r w:rsidRPr="006E7617">
        <w:continuationSeparator/>
      </w:r>
    </w:p>
  </w:footnote>
  <w:footnote w:id="1">
    <w:p w:rsidR="00EA513C" w:rsidRPr="00905995" w:rsidRDefault="00EA513C" w:rsidP="006E7617">
      <w:pPr>
        <w:pStyle w:val="FootnoteText"/>
        <w:ind w:left="567" w:hanging="567"/>
        <w:rPr>
          <w:sz w:val="24"/>
          <w:lang w:val="hu-HU"/>
        </w:rPr>
      </w:pPr>
      <w:r w:rsidRPr="006E7617">
        <w:rPr>
          <w:rStyle w:val="FootnoteReference"/>
          <w:sz w:val="24"/>
          <w:lang w:val="hu-HU"/>
        </w:rPr>
        <w:footnoteRef/>
      </w:r>
      <w:r w:rsidR="006E7617" w:rsidRPr="006E7617">
        <w:rPr>
          <w:sz w:val="24"/>
          <w:lang w:val="hu-HU"/>
        </w:rPr>
        <w:t xml:space="preserve"> </w:t>
      </w:r>
      <w:r w:rsidR="006E7617" w:rsidRPr="006E7617">
        <w:rPr>
          <w:sz w:val="24"/>
          <w:lang w:val="hu-HU"/>
        </w:rPr>
        <w:tab/>
      </w:r>
      <w:hyperlink r:id="rId1" w:history="1">
        <w:r w:rsidRPr="00905995">
          <w:rPr>
            <w:rStyle w:val="Hyperlink"/>
            <w:color w:val="auto"/>
            <w:sz w:val="24"/>
            <w:u w:val="none"/>
            <w:lang w:val="hu-HU"/>
          </w:rPr>
          <w:t>HL L 11</w:t>
        </w:r>
        <w:proofErr w:type="gramStart"/>
        <w:r w:rsidRPr="00905995">
          <w:rPr>
            <w:rStyle w:val="Hyperlink"/>
            <w:color w:val="auto"/>
            <w:sz w:val="24"/>
            <w:u w:val="none"/>
            <w:lang w:val="hu-HU"/>
          </w:rPr>
          <w:t>.,</w:t>
        </w:r>
        <w:proofErr w:type="gramEnd"/>
        <w:r w:rsidRPr="00905995">
          <w:rPr>
            <w:rStyle w:val="Hyperlink"/>
            <w:color w:val="auto"/>
            <w:sz w:val="24"/>
            <w:u w:val="none"/>
            <w:lang w:val="hu-HU"/>
          </w:rPr>
          <w:t xml:space="preserve"> 2017.1.14., 23. o.</w:t>
        </w:r>
      </w:hyperlink>
    </w:p>
  </w:footnote>
  <w:footnote w:id="2">
    <w:p w:rsidR="00EA513C" w:rsidRPr="00905995" w:rsidRDefault="00EA513C" w:rsidP="006E7617">
      <w:pPr>
        <w:pStyle w:val="FootnoteText"/>
        <w:ind w:left="567" w:hanging="567"/>
        <w:rPr>
          <w:sz w:val="24"/>
          <w:lang w:val="hu-HU"/>
        </w:rPr>
      </w:pPr>
      <w:r w:rsidRPr="00905995">
        <w:rPr>
          <w:rStyle w:val="FootnoteReference"/>
          <w:sz w:val="24"/>
          <w:lang w:val="hu-HU"/>
        </w:rPr>
        <w:footnoteRef/>
      </w:r>
      <w:r w:rsidR="006E7617" w:rsidRPr="00905995">
        <w:rPr>
          <w:sz w:val="24"/>
          <w:lang w:val="hu-HU"/>
        </w:rPr>
        <w:t xml:space="preserve"> </w:t>
      </w:r>
      <w:r w:rsidR="006E7617" w:rsidRPr="00905995">
        <w:rPr>
          <w:sz w:val="24"/>
          <w:lang w:val="hu-HU"/>
        </w:rPr>
        <w:tab/>
      </w:r>
      <w:hyperlink r:id="rId2" w:history="1">
        <w:r w:rsidRPr="00905995">
          <w:rPr>
            <w:rStyle w:val="Hyperlink"/>
            <w:color w:val="auto"/>
            <w:sz w:val="24"/>
            <w:u w:val="none"/>
            <w:lang w:val="hu-HU"/>
          </w:rPr>
          <w:t>HL L 11</w:t>
        </w:r>
        <w:proofErr w:type="gramStart"/>
        <w:r w:rsidRPr="00905995">
          <w:rPr>
            <w:rStyle w:val="Hyperlink"/>
            <w:color w:val="auto"/>
            <w:sz w:val="24"/>
            <w:u w:val="none"/>
            <w:lang w:val="hu-HU"/>
          </w:rPr>
          <w:t>.,</w:t>
        </w:r>
        <w:proofErr w:type="gramEnd"/>
        <w:r w:rsidRPr="00905995">
          <w:rPr>
            <w:rStyle w:val="Hyperlink"/>
            <w:color w:val="auto"/>
            <w:sz w:val="24"/>
            <w:u w:val="none"/>
            <w:lang w:val="hu-HU"/>
          </w:rPr>
          <w:t xml:space="preserve"> 2017.1.14., 3. o.</w:t>
        </w:r>
      </w:hyperlink>
    </w:p>
  </w:footnote>
  <w:footnote w:id="3">
    <w:p w:rsidR="00EA513C" w:rsidRPr="00905995" w:rsidRDefault="00EA513C" w:rsidP="006E7617">
      <w:pPr>
        <w:pStyle w:val="FootnoteText"/>
        <w:ind w:left="567" w:hanging="567"/>
        <w:rPr>
          <w:sz w:val="24"/>
          <w:lang w:val="hu-HU"/>
        </w:rPr>
      </w:pPr>
      <w:r w:rsidRPr="00905995">
        <w:rPr>
          <w:rStyle w:val="FootnoteReference"/>
          <w:sz w:val="24"/>
          <w:lang w:val="hu-HU"/>
        </w:rPr>
        <w:footnoteRef/>
      </w:r>
      <w:r w:rsidR="006E7617" w:rsidRPr="00905995">
        <w:rPr>
          <w:sz w:val="24"/>
          <w:lang w:val="hu-HU"/>
        </w:rPr>
        <w:t xml:space="preserve"> </w:t>
      </w:r>
      <w:r w:rsidR="006E7617" w:rsidRPr="00905995">
        <w:rPr>
          <w:sz w:val="24"/>
          <w:lang w:val="hu-HU"/>
        </w:rPr>
        <w:tab/>
      </w:r>
      <w:hyperlink r:id="rId3" w:history="1">
        <w:r w:rsidRPr="00905995">
          <w:rPr>
            <w:rStyle w:val="Hyperlink"/>
            <w:color w:val="auto"/>
            <w:sz w:val="24"/>
            <w:u w:val="none"/>
            <w:lang w:val="hu-HU"/>
          </w:rPr>
          <w:t>HL C 252., 2018.7.18</w:t>
        </w:r>
        <w:proofErr w:type="gramStart"/>
        <w:r w:rsidRPr="00905995">
          <w:rPr>
            <w:rStyle w:val="Hyperlink"/>
            <w:color w:val="auto"/>
            <w:sz w:val="24"/>
            <w:u w:val="none"/>
            <w:lang w:val="hu-HU"/>
          </w:rPr>
          <w:t>.,</w:t>
        </w:r>
        <w:proofErr w:type="gramEnd"/>
        <w:r w:rsidRPr="00905995">
          <w:rPr>
            <w:rStyle w:val="Hyperlink"/>
            <w:color w:val="auto"/>
            <w:sz w:val="24"/>
            <w:u w:val="none"/>
            <w:lang w:val="hu-HU"/>
          </w:rPr>
          <w:t xml:space="preserve"> 348. o.</w:t>
        </w:r>
      </w:hyperlink>
    </w:p>
  </w:footnote>
  <w:footnote w:id="4">
    <w:p w:rsidR="00EA513C" w:rsidRPr="00905995" w:rsidRDefault="00EA513C" w:rsidP="006E7617">
      <w:pPr>
        <w:pStyle w:val="FootnoteText"/>
        <w:ind w:left="567" w:hanging="567"/>
        <w:rPr>
          <w:sz w:val="24"/>
          <w:lang w:val="hu-HU"/>
        </w:rPr>
      </w:pPr>
      <w:r w:rsidRPr="00905995">
        <w:rPr>
          <w:rStyle w:val="FootnoteReference"/>
          <w:sz w:val="24"/>
          <w:lang w:val="hu-HU"/>
        </w:rPr>
        <w:footnoteRef/>
      </w:r>
      <w:r w:rsidR="006E7617" w:rsidRPr="00905995">
        <w:rPr>
          <w:sz w:val="24"/>
          <w:lang w:val="hu-HU"/>
        </w:rPr>
        <w:t xml:space="preserve"> </w:t>
      </w:r>
      <w:r w:rsidR="006E7617" w:rsidRPr="00905995">
        <w:rPr>
          <w:sz w:val="24"/>
          <w:lang w:val="hu-HU"/>
        </w:rPr>
        <w:tab/>
      </w:r>
      <w:proofErr w:type="gramStart"/>
      <w:r w:rsidRPr="00905995">
        <w:rPr>
          <w:sz w:val="24"/>
          <w:lang w:val="hu-HU"/>
        </w:rPr>
        <w:t>az</w:t>
      </w:r>
      <w:proofErr w:type="gramEnd"/>
      <w:r w:rsidRPr="00905995">
        <w:rPr>
          <w:sz w:val="24"/>
          <w:lang w:val="hu-HU"/>
        </w:rPr>
        <w:t xml:space="preserve"> Európai Unió és a Szingapúri Köztársaság közötti szabadkereskedelmi megállapodásról szóló, az EUMSZ 218. cikkének (11) bekezdése szerinti, 2017. május 16-i bírósági vélemény, ECLI:EU:C:2017:376. </w:t>
      </w:r>
    </w:p>
  </w:footnote>
  <w:footnote w:id="5">
    <w:p w:rsidR="00EA513C" w:rsidRPr="00905995" w:rsidRDefault="00EA513C" w:rsidP="006E7617">
      <w:pPr>
        <w:pStyle w:val="FootnoteText"/>
        <w:ind w:left="567" w:hanging="567"/>
        <w:rPr>
          <w:sz w:val="24"/>
          <w:lang w:val="hu-HU"/>
        </w:rPr>
      </w:pPr>
      <w:r w:rsidRPr="00905995">
        <w:rPr>
          <w:rStyle w:val="FootnoteReference"/>
          <w:sz w:val="24"/>
          <w:lang w:val="hu-HU"/>
        </w:rPr>
        <w:footnoteRef/>
      </w:r>
      <w:r w:rsidR="006E7617" w:rsidRPr="00905995">
        <w:rPr>
          <w:sz w:val="24"/>
          <w:lang w:val="hu-HU"/>
        </w:rPr>
        <w:t xml:space="preserve"> </w:t>
      </w:r>
      <w:r w:rsidR="006E7617" w:rsidRPr="00905995">
        <w:rPr>
          <w:sz w:val="24"/>
          <w:lang w:val="hu-HU"/>
        </w:rPr>
        <w:tab/>
      </w:r>
      <w:r w:rsidRPr="00905995">
        <w:rPr>
          <w:sz w:val="24"/>
          <w:lang w:val="hu-HU"/>
        </w:rPr>
        <w:t>HL C 32</w:t>
      </w:r>
      <w:proofErr w:type="gramStart"/>
      <w:r w:rsidRPr="00905995">
        <w:rPr>
          <w:sz w:val="24"/>
          <w:lang w:val="hu-HU"/>
        </w:rPr>
        <w:t>.,</w:t>
      </w:r>
      <w:proofErr w:type="gramEnd"/>
      <w:r w:rsidRPr="00905995">
        <w:rPr>
          <w:sz w:val="24"/>
          <w:lang w:val="hu-HU"/>
        </w:rPr>
        <w:t xml:space="preserve"> 2023.1.27., 96. o.</w:t>
      </w:r>
    </w:p>
  </w:footnote>
  <w:footnote w:id="6">
    <w:p w:rsidR="00EA513C" w:rsidRPr="00905995" w:rsidRDefault="00EA513C" w:rsidP="006E7617">
      <w:pPr>
        <w:pStyle w:val="FootnoteText"/>
        <w:ind w:left="567" w:hanging="567"/>
        <w:rPr>
          <w:sz w:val="24"/>
          <w:lang w:val="hu-HU"/>
        </w:rPr>
      </w:pPr>
      <w:r w:rsidRPr="00905995">
        <w:rPr>
          <w:rStyle w:val="FootnoteReference"/>
          <w:sz w:val="24"/>
          <w:lang w:val="hu-HU"/>
        </w:rPr>
        <w:footnoteRef/>
      </w:r>
      <w:r w:rsidR="006E7617" w:rsidRPr="00905995">
        <w:rPr>
          <w:sz w:val="24"/>
          <w:lang w:val="hu-HU"/>
        </w:rPr>
        <w:t xml:space="preserve"> </w:t>
      </w:r>
      <w:r w:rsidR="006E7617" w:rsidRPr="00905995">
        <w:rPr>
          <w:sz w:val="24"/>
          <w:lang w:val="hu-HU"/>
        </w:rPr>
        <w:tab/>
      </w:r>
      <w:r w:rsidRPr="00905995">
        <w:rPr>
          <w:sz w:val="24"/>
          <w:lang w:val="hu-HU"/>
        </w:rPr>
        <w:t>A Bizottság 2021. december 9-i közleménye: „Emberközpontú gazdaság kiépítése: a szociális gazdaságra vonatkozó cselekvési terv” (</w:t>
      </w:r>
      <w:proofErr w:type="gramStart"/>
      <w:r w:rsidRPr="00905995">
        <w:rPr>
          <w:sz w:val="24"/>
          <w:lang w:val="hu-HU"/>
        </w:rPr>
        <w:t>COM(</w:t>
      </w:r>
      <w:proofErr w:type="gramEnd"/>
      <w:r w:rsidRPr="00905995">
        <w:rPr>
          <w:sz w:val="24"/>
          <w:lang w:val="hu-HU"/>
        </w:rPr>
        <w:t>2021)0778).</w:t>
      </w:r>
    </w:p>
  </w:footnote>
  <w:footnote w:id="7">
    <w:p w:rsidR="00EA513C" w:rsidRPr="00905995" w:rsidRDefault="00EA513C" w:rsidP="006E7617">
      <w:pPr>
        <w:pStyle w:val="FootnoteText"/>
        <w:ind w:left="567" w:hanging="567"/>
        <w:rPr>
          <w:sz w:val="24"/>
          <w:lang w:val="hu-HU"/>
        </w:rPr>
      </w:pPr>
      <w:r w:rsidRPr="00905995">
        <w:rPr>
          <w:rStyle w:val="FootnoteReference"/>
          <w:sz w:val="24"/>
          <w:lang w:val="hu-HU"/>
        </w:rPr>
        <w:footnoteRef/>
      </w:r>
      <w:r w:rsidR="006E7617" w:rsidRPr="00905995">
        <w:rPr>
          <w:sz w:val="24"/>
          <w:lang w:val="hu-HU"/>
        </w:rPr>
        <w:t xml:space="preserve"> </w:t>
      </w:r>
      <w:r w:rsidR="006E7617" w:rsidRPr="00905995">
        <w:rPr>
          <w:sz w:val="24"/>
          <w:lang w:val="hu-HU"/>
        </w:rPr>
        <w:tab/>
      </w:r>
      <w:r w:rsidRPr="00905995">
        <w:rPr>
          <w:sz w:val="24"/>
          <w:lang w:val="hu-HU"/>
        </w:rPr>
        <w:t>Az Európai Parlament 2022. március 10-i állásfoglalása a nemek közötti egyenlőségre vonatkozó III. uniós cselekvési tervről (HL C 347., 2022.9.9</w:t>
      </w:r>
      <w:proofErr w:type="gramStart"/>
      <w:r w:rsidRPr="00905995">
        <w:rPr>
          <w:sz w:val="24"/>
          <w:lang w:val="hu-HU"/>
        </w:rPr>
        <w:t>.,</w:t>
      </w:r>
      <w:proofErr w:type="gramEnd"/>
      <w:r w:rsidRPr="00905995">
        <w:rPr>
          <w:sz w:val="24"/>
          <w:lang w:val="hu-HU"/>
        </w:rPr>
        <w:t xml:space="preserve"> 150. o.)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761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761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761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0/2023"/>
    <w:docVar w:name="dvlangue" w:val="HU"/>
    <w:docVar w:name="dvnumam" w:val="0"/>
    <w:docVar w:name="dvpe" w:val="753.671"/>
    <w:docVar w:name="dvrapporteur" w:val="Előadó: "/>
    <w:docVar w:name="dvtitre" w:val="Az Európai Parlament 2024.  ...-i állásfoglalása az EU és Kanada közötti átfogó gazdasági és kereskedelmi megállapodás (CETA) végrehajtásáról(2023/2001(INI))"/>
  </w:docVars>
  <w:rsids>
    <w:rsidRoot w:val="00DD1F64"/>
    <w:rsid w:val="00002272"/>
    <w:rsid w:val="000273E4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4FFF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04E59"/>
    <w:rsid w:val="006631B6"/>
    <w:rsid w:val="00680577"/>
    <w:rsid w:val="006E761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599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1F64"/>
    <w:rsid w:val="00E365E1"/>
    <w:rsid w:val="00E820A4"/>
    <w:rsid w:val="00EA513C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9C501C"/>
  <w15:chartTrackingRefBased/>
  <w15:docId w15:val="{8F2A0C33-C72A-4B40-9666-0F5342DE4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aliases w:val="Footnote,Footnote1,Footnote10,Footnote11,Footnote2,Footnote21,Footnote3,Footnote31,Footnote4,Footnote41,Footnote5,Footnote51,Footnote6,Footnote61,Footnote7,Footnote71,Footnote8,Footnote9,Fußnotentextf,Fußnotentextr,fn,footnote text,stile 1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Char,Footnote1 Char,Footnote10 Char,Footnote11 Char,Footnote2 Char,Footnote21 Char,Footnote3 Char,Footnote31 Char,Footnote4 Char,Footnote41 Char,Footnote5 Char,Footnote51 Char,Footnote6 Char,Footnote61 Char,Footnote7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A513C"/>
    <w:pPr>
      <w:spacing w:after="240"/>
      <w:ind w:left="567" w:hanging="567"/>
    </w:pPr>
  </w:style>
  <w:style w:type="paragraph" w:customStyle="1" w:styleId="EPComma">
    <w:name w:val="EPComma"/>
    <w:basedOn w:val="Normal"/>
    <w:rsid w:val="00EA513C"/>
    <w:pPr>
      <w:spacing w:before="480" w:after="240"/>
    </w:pPr>
  </w:style>
  <w:style w:type="character" w:styleId="Hyperlink">
    <w:name w:val="Hyperlink"/>
    <w:basedOn w:val="DefaultParagraphFont"/>
    <w:rsid w:val="00EA513C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EA513C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HU/TXT/?uri=CELEX:52017AP0030" TargetMode="External"/><Relationship Id="rId2" Type="http://schemas.openxmlformats.org/officeDocument/2006/relationships/hyperlink" Target="https://eur-lex.europa.eu/legal-content/HU/TXT/?uri=CELEX:22017X0114(01)" TargetMode="External"/><Relationship Id="rId1" Type="http://schemas.openxmlformats.org/officeDocument/2006/relationships/hyperlink" Target="https://eur-lex.europa.eu/eli/agree_internation/2017/37/oj?locale=hu%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793F2-BA17-4F3F-902A-4C5B04E8A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2166</Words>
  <Characters>26734</Characters>
  <Application>Microsoft Office Word</Application>
  <DocSecurity>0</DocSecurity>
  <Lines>568</Lines>
  <Paragraphs>265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TA</vt:lpstr>
      <vt:lpstr>P9_TA(2024)0000</vt:lpstr>
      <vt:lpstr>    xxx</vt:lpstr>
      <vt:lpstr>        Az Európai Parlament 2024. január ...-i állásfoglalása az EU és Kanada közötti á</vt:lpstr>
    </vt:vector>
  </TitlesOfParts>
  <Company/>
  <LinksUpToDate>false</LinksUpToDate>
  <CharactersWithSpaces>28635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KOVACS-BOKOR Karoly</cp:lastModifiedBy>
  <cp:revision>2</cp:revision>
  <cp:lastPrinted>2004-11-19T15:42:00Z</cp:lastPrinted>
  <dcterms:created xsi:type="dcterms:W3CDTF">2024-02-14T09:33:00Z</dcterms:created>
  <dcterms:modified xsi:type="dcterms:W3CDTF">2024-02-14T09:33:00Z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A9-0400/2023</vt:lpwstr>
  </property>
  <property fmtid="{D5CDD505-2E9C-101B-9397-08002B2CF9AE}" pid="4" name="&lt;Type&gt;">
    <vt:lpwstr>RR</vt:lpwstr>
  </property>
</Properties>
</file>