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3724" w:rsidTr="0010095E">
        <w:trPr>
          <w:trHeight w:hRule="exact" w:val="1418"/>
        </w:trPr>
        <w:tc>
          <w:tcPr>
            <w:tcW w:w="6804" w:type="dxa"/>
            <w:shd w:val="clear" w:color="auto" w:fill="auto"/>
            <w:vAlign w:val="center"/>
          </w:tcPr>
          <w:p w:rsidR="00751A4A" w:rsidRPr="00C53724" w:rsidRDefault="00817FC1" w:rsidP="0010095E">
            <w:pPr>
              <w:pStyle w:val="EPName"/>
            </w:pPr>
            <w:r w:rsidRPr="00C53724">
              <w:t>Eiropas Parlaments</w:t>
            </w:r>
          </w:p>
          <w:p w:rsidR="00751A4A" w:rsidRPr="00C53724" w:rsidRDefault="00817416" w:rsidP="00756632">
            <w:pPr>
              <w:pStyle w:val="EPTerm"/>
              <w:rPr>
                <w:rStyle w:val="HideTWBExt"/>
                <w:noProof w:val="0"/>
                <w:vanish w:val="0"/>
                <w:color w:val="auto"/>
              </w:rPr>
            </w:pPr>
            <w:r w:rsidRPr="00C53724">
              <w:t>2019-2024</w:t>
            </w:r>
          </w:p>
        </w:tc>
        <w:tc>
          <w:tcPr>
            <w:tcW w:w="2268" w:type="dxa"/>
            <w:shd w:val="clear" w:color="auto" w:fill="auto"/>
          </w:tcPr>
          <w:p w:rsidR="00751A4A" w:rsidRPr="00C53724" w:rsidRDefault="00187494" w:rsidP="0010095E">
            <w:pPr>
              <w:pStyle w:val="EPLogo"/>
            </w:pPr>
            <w:r w:rsidRPr="00C53724">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53724" w:rsidRDefault="00D058B8" w:rsidP="004C5D52">
      <w:pPr>
        <w:pStyle w:val="LineTop"/>
      </w:pPr>
    </w:p>
    <w:p w:rsidR="00680577" w:rsidRPr="00C53724" w:rsidRDefault="00817FC1" w:rsidP="00680577">
      <w:pPr>
        <w:pStyle w:val="EPBodyTA1"/>
      </w:pPr>
      <w:r w:rsidRPr="00C53724">
        <w:t>PIEŅEMTIE TEKSTI</w:t>
      </w:r>
    </w:p>
    <w:p w:rsidR="00D058B8" w:rsidRPr="00C53724" w:rsidRDefault="00D058B8" w:rsidP="00D058B8">
      <w:pPr>
        <w:pStyle w:val="LineBottom"/>
      </w:pPr>
    </w:p>
    <w:p w:rsidR="00817FC1" w:rsidRPr="00C53724" w:rsidRDefault="00817FC1" w:rsidP="00817FC1">
      <w:pPr>
        <w:pStyle w:val="ATHeading1"/>
      </w:pPr>
      <w:bookmarkStart w:id="0" w:name="TANumber"/>
      <w:r w:rsidRPr="00C53724">
        <w:t>P9_TA(2024)00</w:t>
      </w:r>
      <w:r w:rsidR="00C53724" w:rsidRPr="00C53724">
        <w:t>26</w:t>
      </w:r>
      <w:bookmarkEnd w:id="0"/>
    </w:p>
    <w:p w:rsidR="00817FC1" w:rsidRPr="00C53724" w:rsidRDefault="003A3729" w:rsidP="00817FC1">
      <w:pPr>
        <w:pStyle w:val="ATHeading2"/>
      </w:pPr>
      <w:bookmarkStart w:id="1" w:name="title"/>
      <w:r w:rsidRPr="00C53724">
        <w:t>ES un Kanādas Visaptverošā ekonomikas un tirdzniecības nolīguma (</w:t>
      </w:r>
      <w:r w:rsidRPr="00C53724">
        <w:rPr>
          <w:i/>
        </w:rPr>
        <w:t>CETA</w:t>
      </w:r>
      <w:r w:rsidRPr="00C53724">
        <w:t>) īstenošana</w:t>
      </w:r>
      <w:bookmarkEnd w:id="1"/>
    </w:p>
    <w:p w:rsidR="00817FC1" w:rsidRPr="00C53724" w:rsidRDefault="00817FC1" w:rsidP="00817FC1">
      <w:pPr>
        <w:rPr>
          <w:i/>
          <w:vanish/>
        </w:rPr>
      </w:pPr>
      <w:r w:rsidRPr="00C53724">
        <w:rPr>
          <w:i/>
        </w:rPr>
        <w:fldChar w:fldCharType="begin"/>
      </w:r>
      <w:r w:rsidRPr="00C53724">
        <w:rPr>
          <w:i/>
        </w:rPr>
        <w:instrText xml:space="preserve"> TC"(</w:instrText>
      </w:r>
      <w:bookmarkStart w:id="2" w:name="DocNumber"/>
      <w:r w:rsidRPr="00C53724">
        <w:rPr>
          <w:i/>
        </w:rPr>
        <w:instrText>A9-0400/2023</w:instrText>
      </w:r>
      <w:bookmarkEnd w:id="2"/>
      <w:r w:rsidRPr="00C53724">
        <w:rPr>
          <w:i/>
        </w:rPr>
        <w:instrText xml:space="preserve"> - Referents: Javier Moreno Sánchez)"\l3 \n&gt; \* MERGEFORMAT </w:instrText>
      </w:r>
      <w:r w:rsidRPr="00C53724">
        <w:rPr>
          <w:i/>
        </w:rPr>
        <w:fldChar w:fldCharType="end"/>
      </w:r>
    </w:p>
    <w:p w:rsidR="00817FC1" w:rsidRPr="00C53724" w:rsidRDefault="00817FC1" w:rsidP="00817FC1">
      <w:pPr>
        <w:rPr>
          <w:vanish/>
        </w:rPr>
      </w:pPr>
      <w:bookmarkStart w:id="3" w:name="Commission"/>
      <w:r w:rsidRPr="00C53724">
        <w:rPr>
          <w:vanish/>
        </w:rPr>
        <w:t>Starptautiskās tirdzniecības komiteja</w:t>
      </w:r>
      <w:bookmarkEnd w:id="3"/>
    </w:p>
    <w:p w:rsidR="00817FC1" w:rsidRPr="00C53724" w:rsidRDefault="00817FC1" w:rsidP="00817FC1">
      <w:pPr>
        <w:rPr>
          <w:vanish/>
        </w:rPr>
      </w:pPr>
      <w:bookmarkStart w:id="4" w:name="PE"/>
      <w:r w:rsidRPr="00C53724">
        <w:rPr>
          <w:vanish/>
        </w:rPr>
        <w:t>PE753.671</w:t>
      </w:r>
      <w:bookmarkEnd w:id="4"/>
    </w:p>
    <w:p w:rsidR="00817FC1" w:rsidRPr="00C53724" w:rsidRDefault="00817FC1" w:rsidP="00817FC1">
      <w:pPr>
        <w:pStyle w:val="ATHeading3"/>
      </w:pPr>
      <w:bookmarkStart w:id="5" w:name="Sujet"/>
      <w:r w:rsidRPr="00C53724">
        <w:t xml:space="preserve">Eiropas Parlamenta 2024. gada </w:t>
      </w:r>
      <w:r w:rsidR="003A3729" w:rsidRPr="00C53724">
        <w:t>17. janvāra</w:t>
      </w:r>
      <w:r w:rsidRPr="00C53724">
        <w:t xml:space="preserve"> rezolūcija par ES un Kanādas Visaptverošā ekonomikas un tirdzniecības nolīguma (</w:t>
      </w:r>
      <w:r w:rsidRPr="00C53724">
        <w:rPr>
          <w:i/>
        </w:rPr>
        <w:t>CETA</w:t>
      </w:r>
      <w:r w:rsidRPr="00C53724">
        <w:t>) īstenošanu</w:t>
      </w:r>
      <w:bookmarkEnd w:id="5"/>
      <w:r w:rsidRPr="00C53724">
        <w:t xml:space="preserve"> </w:t>
      </w:r>
      <w:bookmarkStart w:id="6" w:name="References"/>
      <w:r w:rsidRPr="00C53724">
        <w:t>(2023/2001(INI))</w:t>
      </w:r>
      <w:bookmarkEnd w:id="6"/>
    </w:p>
    <w:p w:rsidR="00981146" w:rsidRPr="00C53724" w:rsidRDefault="00981146" w:rsidP="00981146">
      <w:pPr>
        <w:pStyle w:val="EPComma"/>
      </w:pPr>
      <w:bookmarkStart w:id="7" w:name="TextBodyBegin"/>
      <w:bookmarkEnd w:id="7"/>
      <w:r w:rsidRPr="00C53724">
        <w:rPr>
          <w:i/>
        </w:rPr>
        <w:t>Eiropas Parlaments</w:t>
      </w:r>
      <w:r w:rsidRPr="00C53724">
        <w:t>,</w:t>
      </w:r>
    </w:p>
    <w:p w:rsidR="00981146" w:rsidRPr="00C53724" w:rsidRDefault="00981146" w:rsidP="00981146">
      <w:pPr>
        <w:pStyle w:val="NormalHanging12a"/>
      </w:pPr>
      <w:r w:rsidRPr="00C53724">
        <w:t>–</w:t>
      </w:r>
      <w:r w:rsidRPr="00C53724">
        <w:tab/>
        <w:t>ņemot vērā Visaptverošo ekonomikas un tirdzniecības nolīgumu (</w:t>
      </w:r>
      <w:r w:rsidRPr="00C53724">
        <w:rPr>
          <w:i/>
        </w:rPr>
        <w:t>CETA</w:t>
      </w:r>
      <w:r w:rsidRPr="00C53724">
        <w:t>) starp Kanādu, no vienas puses, un Eiropas Savienību un tās dalībvalstīm, no otras puses</w:t>
      </w:r>
      <w:r w:rsidRPr="00C53724">
        <w:rPr>
          <w:rStyle w:val="FootnoteReference"/>
        </w:rPr>
        <w:footnoteReference w:id="1"/>
      </w:r>
      <w:r w:rsidRPr="00C53724">
        <w:t>,</w:t>
      </w:r>
    </w:p>
    <w:p w:rsidR="00981146" w:rsidRPr="00C53724" w:rsidRDefault="00981146" w:rsidP="00981146">
      <w:pPr>
        <w:pStyle w:val="NormalHanging12a"/>
        <w:rPr>
          <w:b/>
          <w:i/>
        </w:rPr>
      </w:pPr>
      <w:r w:rsidRPr="00C53724">
        <w:t>–</w:t>
      </w:r>
      <w:r w:rsidRPr="00C53724">
        <w:tab/>
        <w:t>ņemot vērā Kopīgo interpretējošo instrumentu par Visaptverošo ekonomikas un tirdzniecības nolīgumu (</w:t>
      </w:r>
      <w:r w:rsidRPr="00C53724">
        <w:rPr>
          <w:i/>
          <w:iCs/>
        </w:rPr>
        <w:t>CETA</w:t>
      </w:r>
      <w:r w:rsidRPr="00C53724">
        <w:t>) starp Kanādu un Eiropas Savienību un tās dalībvalstīm</w:t>
      </w:r>
      <w:r w:rsidRPr="00C53724">
        <w:rPr>
          <w:rStyle w:val="FootnoteReference"/>
        </w:rPr>
        <w:footnoteReference w:id="2"/>
      </w:r>
      <w:r w:rsidRPr="00C53724">
        <w:t>,</w:t>
      </w:r>
    </w:p>
    <w:p w:rsidR="00981146" w:rsidRPr="00C53724" w:rsidRDefault="00981146" w:rsidP="00981146">
      <w:pPr>
        <w:pStyle w:val="NormalHanging12a"/>
      </w:pPr>
      <w:r w:rsidRPr="00C53724">
        <w:t>–</w:t>
      </w:r>
      <w:r w:rsidRPr="00C53724">
        <w:tab/>
        <w:t xml:space="preserve">ņemot vērā stratēģisko partnerību kritiski svarīgo izejvielu jomā starp Kanādu, no vienas puses, un Eiropas Savienību un tās dalībvalstīm, no otras puses, par ko vienojās un ko aizsāka ES un Kanādas samitā 2021. gada 14.-15. jūnijā, </w:t>
      </w:r>
    </w:p>
    <w:p w:rsidR="00981146" w:rsidRPr="00C53724" w:rsidRDefault="00981146" w:rsidP="00981146">
      <w:pPr>
        <w:pStyle w:val="NormalHanging12a"/>
      </w:pPr>
      <w:r w:rsidRPr="00C53724">
        <w:t>–</w:t>
      </w:r>
      <w:r w:rsidRPr="00C53724">
        <w:tab/>
        <w:t xml:space="preserve">ņemot vērā </w:t>
      </w:r>
      <w:r w:rsidRPr="00C53724">
        <w:rPr>
          <w:i/>
          <w:iCs/>
        </w:rPr>
        <w:t>CETA</w:t>
      </w:r>
      <w:r w:rsidRPr="00C53724">
        <w:t xml:space="preserve"> Apvienotās komitejas Lēmumu Nr. X/2023 par konkrētu 8.10. pantā, 8.-A pielikumā un 8.39. pantā minēto terminu interpretāciju,</w:t>
      </w:r>
    </w:p>
    <w:p w:rsidR="00981146" w:rsidRPr="00C53724" w:rsidRDefault="00981146" w:rsidP="00981146">
      <w:pPr>
        <w:pStyle w:val="NormalHanging12a"/>
      </w:pPr>
      <w:r w:rsidRPr="00C53724">
        <w:t>–</w:t>
      </w:r>
      <w:r w:rsidRPr="00C53724">
        <w:tab/>
        <w:t>ņemot vērā tā 2017. gada 15. februāra nostāju attiecībā uz Padomes lēmuma projektu par to, lai noslēgtu Visaptverošu ekonomikas un tirdzniecības nolīgumu (</w:t>
      </w:r>
      <w:r w:rsidRPr="00C53724">
        <w:rPr>
          <w:i/>
          <w:iCs/>
        </w:rPr>
        <w:t>CETA</w:t>
      </w:r>
      <w:r w:rsidRPr="00C53724">
        <w:t>) starp Kanādu, no vienas puses, un Eiropas Savienību un tās dalībvalstīm, no otras puses</w:t>
      </w:r>
      <w:r w:rsidRPr="00C53724">
        <w:rPr>
          <w:rStyle w:val="FootnoteReference"/>
        </w:rPr>
        <w:footnoteReference w:id="3"/>
      </w:r>
      <w:r w:rsidRPr="00C53724">
        <w:t>,</w:t>
      </w:r>
    </w:p>
    <w:p w:rsidR="00981146" w:rsidRPr="00C53724" w:rsidRDefault="00981146" w:rsidP="00981146">
      <w:pPr>
        <w:pStyle w:val="NormalHanging12a"/>
      </w:pPr>
      <w:r w:rsidRPr="00C53724">
        <w:t>–</w:t>
      </w:r>
      <w:r w:rsidRPr="00C53724">
        <w:tab/>
        <w:t>ņemot vērā Eiropas Savienības Tiesa</w:t>
      </w:r>
      <w:r w:rsidR="000169E1">
        <w:t>s 2017. gada 16. maija Atzinumu</w:t>
      </w:r>
      <w:r w:rsidRPr="00C53724">
        <w:t> 2/15 saskaņā ar LESD 218. panta 11. punktu par Brīvās tirdzniecības nolīgumu starp Eiropas Savienību un Singapūras Republiku</w:t>
      </w:r>
      <w:r w:rsidRPr="00C53724">
        <w:rPr>
          <w:rStyle w:val="FootnoteReference"/>
        </w:rPr>
        <w:footnoteReference w:id="4"/>
      </w:r>
      <w:r w:rsidRPr="00C53724">
        <w:t>,</w:t>
      </w:r>
    </w:p>
    <w:p w:rsidR="00981146" w:rsidRPr="00C53724" w:rsidRDefault="00981146" w:rsidP="00981146">
      <w:pPr>
        <w:pStyle w:val="NormalHanging12a"/>
      </w:pPr>
      <w:r w:rsidRPr="00C53724">
        <w:lastRenderedPageBreak/>
        <w:t>–</w:t>
      </w:r>
      <w:r w:rsidRPr="00C53724">
        <w:tab/>
        <w:t>ņemot vērā ES un Kanādas vietējo konsultantu grupu (VKG) kopīgās deklarācijas,</w:t>
      </w:r>
    </w:p>
    <w:p w:rsidR="00981146" w:rsidRPr="00C53724" w:rsidRDefault="00981146" w:rsidP="00981146">
      <w:pPr>
        <w:pStyle w:val="NormalHanging12a"/>
      </w:pPr>
      <w:r w:rsidRPr="00C53724">
        <w:t>–</w:t>
      </w:r>
      <w:r w:rsidRPr="00C53724">
        <w:tab/>
        <w:t>ņemot vērā Komisijas 2022. gada 11. oktobra ziņojumu par ES tirdzniecības nolīgumu īstenošanu un izpildi (COM(202</w:t>
      </w:r>
      <w:r w:rsidR="000169E1">
        <w:t>2</w:t>
      </w:r>
      <w:bookmarkStart w:id="8" w:name="_GoBack"/>
      <w:bookmarkEnd w:id="8"/>
      <w:r w:rsidRPr="00C53724">
        <w:t>)0730),</w:t>
      </w:r>
    </w:p>
    <w:p w:rsidR="00981146" w:rsidRPr="00C53724" w:rsidRDefault="00981146" w:rsidP="00981146">
      <w:pPr>
        <w:pStyle w:val="NormalHanging12a"/>
      </w:pPr>
      <w:r w:rsidRPr="00C53724">
        <w:t>–</w:t>
      </w:r>
      <w:r w:rsidRPr="00C53724">
        <w:tab/>
        <w:t>ņemot vērā Komisijas 2022. gada 22. jūnija paziņojumu “Tirdzniecības partnerību spēks: kopā zaļai un taisnīgai ekonomikas izaugsmei” (COM(2022)0409),</w:t>
      </w:r>
    </w:p>
    <w:p w:rsidR="00981146" w:rsidRPr="00C53724" w:rsidRDefault="00981146" w:rsidP="00981146">
      <w:pPr>
        <w:pStyle w:val="NormalHanging12a"/>
      </w:pPr>
      <w:r w:rsidRPr="00C53724">
        <w:t>–</w:t>
      </w:r>
      <w:r w:rsidRPr="00C53724">
        <w:tab/>
        <w:t xml:space="preserve">ņemot vērā </w:t>
      </w:r>
      <w:r w:rsidRPr="00C53724">
        <w:rPr>
          <w:i/>
        </w:rPr>
        <w:t>CETA</w:t>
      </w:r>
      <w:r w:rsidRPr="00C53724">
        <w:t xml:space="preserve"> Apvienotās komitejas 2023. gada 31. marta ziņojumu, kas tika sagatavots pēc tās trešās sanāksmes,</w:t>
      </w:r>
    </w:p>
    <w:p w:rsidR="00981146" w:rsidRPr="00C53724" w:rsidRDefault="00981146" w:rsidP="00981146">
      <w:pPr>
        <w:pStyle w:val="NormalHanging12a"/>
      </w:pPr>
      <w:r w:rsidRPr="00C53724">
        <w:t>–</w:t>
      </w:r>
      <w:r w:rsidRPr="00C53724">
        <w:tab/>
        <w:t>ņemot vērā 2022. gada 23. jūnija rezolūciju par ES turpmāko politiku starptautisko investīciju jomā</w:t>
      </w:r>
      <w:r w:rsidRPr="00C53724">
        <w:rPr>
          <w:rStyle w:val="FootnoteReference"/>
        </w:rPr>
        <w:footnoteReference w:id="5"/>
      </w:r>
      <w:r w:rsidRPr="00C53724">
        <w:t>,</w:t>
      </w:r>
    </w:p>
    <w:p w:rsidR="00981146" w:rsidRPr="00C53724" w:rsidRDefault="00981146" w:rsidP="00981146">
      <w:pPr>
        <w:pStyle w:val="NormalHanging12a"/>
      </w:pPr>
      <w:r w:rsidRPr="00C53724">
        <w:t>–</w:t>
      </w:r>
      <w:r w:rsidRPr="00C53724">
        <w:tab/>
        <w:t xml:space="preserve">ņemot vērā </w:t>
      </w:r>
      <w:r w:rsidRPr="00C53724">
        <w:rPr>
          <w:i/>
          <w:iCs/>
        </w:rPr>
        <w:t>CETA</w:t>
      </w:r>
      <w:r w:rsidRPr="00C53724">
        <w:t xml:space="preserve"> Apvienotās komitejas 2018. gada 26. septembra ieteikumus par tirdzniecību, rīcību klimata jomā un Parīzes nolīgumu, par tirdzniecību un dzimumu līdztiesību un par mazajiem un vidējiem uzņēmumiem (MVU),</w:t>
      </w:r>
    </w:p>
    <w:p w:rsidR="00981146" w:rsidRPr="00C53724" w:rsidRDefault="00981146" w:rsidP="00981146">
      <w:pPr>
        <w:pStyle w:val="NormalHanging12a"/>
      </w:pPr>
      <w:r w:rsidRPr="00C53724">
        <w:t>–</w:t>
      </w:r>
      <w:r w:rsidRPr="00C53724">
        <w:tab/>
        <w:t>ņemot vērā Komisijas 2020. gada 5. marta paziņojumu “Savienība, kurā valda līdztiesība: dzimumu līdztiesības stratēģija 2020.–2025. gadam” (COM(2020)0152),</w:t>
      </w:r>
    </w:p>
    <w:p w:rsidR="00981146" w:rsidRPr="00C53724" w:rsidRDefault="00981146" w:rsidP="00981146">
      <w:pPr>
        <w:pStyle w:val="NormalHanging12a"/>
      </w:pPr>
      <w:r w:rsidRPr="00C53724">
        <w:t>–</w:t>
      </w:r>
      <w:r w:rsidRPr="00C53724">
        <w:tab/>
        <w:t>ņemot vērā dažādu specializēto komiteju, Pilsoniskās sabiedrības foruma un Regulatīvās sadarbības foruma ziņojumus,</w:t>
      </w:r>
    </w:p>
    <w:p w:rsidR="00981146" w:rsidRPr="00C53724" w:rsidRDefault="00981146" w:rsidP="00981146">
      <w:pPr>
        <w:pStyle w:val="NormalHanging12a"/>
      </w:pPr>
      <w:r w:rsidRPr="00C53724">
        <w:t>–</w:t>
      </w:r>
      <w:r w:rsidRPr="00C53724">
        <w:tab/>
        <w:t>ņemot vērā Klimata pārmaiņu starpvaldību padomes (</w:t>
      </w:r>
      <w:r w:rsidRPr="00C53724">
        <w:rPr>
          <w:i/>
          <w:iCs/>
        </w:rPr>
        <w:t>IPCC</w:t>
      </w:r>
      <w:r w:rsidRPr="00C53724">
        <w:t xml:space="preserve">) sesto </w:t>
      </w:r>
      <w:proofErr w:type="spellStart"/>
      <w:r w:rsidRPr="00C53724">
        <w:t>izvērtējuma</w:t>
      </w:r>
      <w:proofErr w:type="spellEnd"/>
      <w:r w:rsidRPr="00C53724">
        <w:t xml:space="preserve"> ziņojumu, kas publicēts 2023. gada 20. martā,</w:t>
      </w:r>
    </w:p>
    <w:p w:rsidR="00981146" w:rsidRPr="00C53724" w:rsidRDefault="00981146" w:rsidP="00981146">
      <w:pPr>
        <w:pStyle w:val="NormalHanging12a"/>
      </w:pPr>
      <w:r w:rsidRPr="00C53724">
        <w:t>–</w:t>
      </w:r>
      <w:r w:rsidRPr="00C53724">
        <w:tab/>
        <w:t>ņemot vērā Komisijas Veselības un pārtikas nekaitīguma ģenerāldirektorāta secīgās revīzijas, kas veiktas 2014., 2019. un 2022. gadā, par to kontroles sistēmu izsekojamību un kvalitāti, kuras reglamentē eksportam uz Eiropas Savienību paredzētas liellopu gaļas un cūkgaļas ražošanu,</w:t>
      </w:r>
    </w:p>
    <w:p w:rsidR="00981146" w:rsidRPr="00C53724" w:rsidRDefault="00981146" w:rsidP="00981146">
      <w:pPr>
        <w:pStyle w:val="NormalHanging12a"/>
      </w:pPr>
      <w:r w:rsidRPr="00C53724">
        <w:t>–</w:t>
      </w:r>
      <w:r w:rsidRPr="00C53724">
        <w:tab/>
        <w:t>ņemot vērā Reglamenta 54. pantu, kā arī Priekšsēdētāju konferences 2002. gada 12. decembra lēmuma par procedūru patstāvīgo ziņojumu sagatavošanas atļaujas piešķiršanai 1. panta 1. punkta e) apakšpunktu un 3. pielikumu,</w:t>
      </w:r>
    </w:p>
    <w:p w:rsidR="00981146" w:rsidRPr="00C53724" w:rsidRDefault="00981146" w:rsidP="00981146">
      <w:pPr>
        <w:pStyle w:val="NormalHanging12a"/>
      </w:pPr>
      <w:r w:rsidRPr="00C53724">
        <w:t>–</w:t>
      </w:r>
      <w:r w:rsidRPr="00C53724">
        <w:tab/>
        <w:t>ņemot vērā Lauksaimniecības un lauku attīstības komitejas atzinumu,</w:t>
      </w:r>
    </w:p>
    <w:p w:rsidR="00981146" w:rsidRPr="00C53724" w:rsidRDefault="00981146" w:rsidP="00981146">
      <w:pPr>
        <w:pStyle w:val="NormalHanging12a"/>
      </w:pPr>
      <w:r w:rsidRPr="00C53724">
        <w:t>–</w:t>
      </w:r>
      <w:r w:rsidRPr="00C53724">
        <w:tab/>
        <w:t>ņemot vērā Starptautiskās tirdzniecības komitejas ziņojumu (A9-0400/2023),</w:t>
      </w:r>
    </w:p>
    <w:p w:rsidR="00981146" w:rsidRPr="00C53724" w:rsidRDefault="00981146" w:rsidP="00981146">
      <w:pPr>
        <w:pStyle w:val="NormalHanging12a"/>
      </w:pPr>
      <w:r w:rsidRPr="00C53724">
        <w:t>A.</w:t>
      </w:r>
      <w:r w:rsidRPr="00C53724">
        <w:tab/>
        <w:t xml:space="preserve">tā kā </w:t>
      </w:r>
      <w:r w:rsidRPr="00C53724">
        <w:rPr>
          <w:i/>
          <w:iCs/>
        </w:rPr>
        <w:t>CETA</w:t>
      </w:r>
      <w:r w:rsidRPr="00C53724">
        <w:t xml:space="preserve"> bija viens no pirmajiem tirdzniecības nolīgumiem, ko ES noslēdza ar kādu citu nozīmīgu ESAO ekonomiku pēc Dienvidkorejas; tā kā tas bija arī vērienīgākais un visaptverošākais nolīgums, ko ES vai Kanāda tolaik bija noslēgušas un kas cita starpā nodrošināja līdz tam nepieredzētu piekļuvi publiskajam iepirkumam federālā līmenī, kā arī zemākos līmeņos;</w:t>
      </w:r>
    </w:p>
    <w:p w:rsidR="00981146" w:rsidRPr="00C53724" w:rsidRDefault="00981146" w:rsidP="00981146">
      <w:pPr>
        <w:pStyle w:val="NormalHanging12a"/>
      </w:pPr>
      <w:r w:rsidRPr="00C53724">
        <w:t>B.</w:t>
      </w:r>
      <w:r w:rsidRPr="00C53724">
        <w:tab/>
        <w:t xml:space="preserve">tā kā </w:t>
      </w:r>
      <w:r w:rsidRPr="00C53724">
        <w:rPr>
          <w:i/>
        </w:rPr>
        <w:t>CETA</w:t>
      </w:r>
      <w:r w:rsidRPr="00C53724">
        <w:t xml:space="preserve"> provizoriski piemēro kopš 2017. gada 21. septembra, t. i., vairāk nekā sešus gadus;</w:t>
      </w:r>
    </w:p>
    <w:p w:rsidR="00981146" w:rsidRPr="00C53724" w:rsidRDefault="00981146" w:rsidP="00981146">
      <w:pPr>
        <w:pStyle w:val="NormalHanging12a"/>
      </w:pPr>
      <w:r w:rsidRPr="00C53724">
        <w:t>C.</w:t>
      </w:r>
      <w:r w:rsidRPr="00C53724">
        <w:tab/>
        <w:t xml:space="preserve">tā kā joprojām nav piemēroti svarīgi noteikumi, jo īpaši attiecībā uz ieguldījumu </w:t>
      </w:r>
      <w:r w:rsidRPr="00C53724">
        <w:lastRenderedPageBreak/>
        <w:t>aizsardzību, jo ne visas dalībvalstis ir ratificējušas nolīgumu;</w:t>
      </w:r>
    </w:p>
    <w:p w:rsidR="00981146" w:rsidRPr="00C53724" w:rsidRDefault="00981146" w:rsidP="00981146">
      <w:pPr>
        <w:pStyle w:val="NormalHanging12a"/>
      </w:pPr>
      <w:r w:rsidRPr="00C53724">
        <w:t>D.</w:t>
      </w:r>
      <w:r w:rsidRPr="00C53724">
        <w:tab/>
        <w:t xml:space="preserve">tā kā Kanāda un ES izstrādā </w:t>
      </w:r>
      <w:r w:rsidRPr="00C53724">
        <w:rPr>
          <w:i/>
          <w:iCs/>
        </w:rPr>
        <w:t>CETA</w:t>
      </w:r>
      <w:r w:rsidRPr="00C53724">
        <w:t xml:space="preserve"> Apvienotās komitejas lēmuma galīgo projektu par konkrētu 8.10. panta, 8.-A pielikuma un 8.39. panta jēdzienu interpretāciju, precizējot regulēšanas tiesību darbības jomu saistībā ar nodaļu par ieguldījumu aizsardzību un par MVU piekļuves atvieglošanu ieguldījumu tiesu sistēmai saskaņā ar </w:t>
      </w:r>
      <w:r w:rsidRPr="00C53724">
        <w:rPr>
          <w:i/>
          <w:iCs/>
        </w:rPr>
        <w:t>CETA</w:t>
      </w:r>
      <w:r w:rsidRPr="00C53724">
        <w:t>;</w:t>
      </w:r>
    </w:p>
    <w:p w:rsidR="00981146" w:rsidRPr="00C53724" w:rsidRDefault="00981146" w:rsidP="00981146">
      <w:pPr>
        <w:pStyle w:val="NormalHanging12a"/>
      </w:pPr>
      <w:r w:rsidRPr="00C53724">
        <w:t>E.</w:t>
      </w:r>
      <w:r w:rsidRPr="00C53724">
        <w:tab/>
        <w:t>tā kā ES bija Kanādas trešais lielākais tirdzniecības partneris pēc Amerikas Savienotajām Valstīm un Ķīnas un 2022. gadā veidoja 8,2 % no tās preču tirdzniecības apjoma visā pasaulē; tā kā Kanāda 2022. gadā ierindojās 14. vietā starp ES starptautiskajiem tirdzniecības partneriem, veidojot gandrīz 1,4 % no ES kopējā ārējās preču tirdzniecības apjoma;</w:t>
      </w:r>
    </w:p>
    <w:p w:rsidR="00981146" w:rsidRPr="00C53724" w:rsidRDefault="00981146" w:rsidP="00981146">
      <w:pPr>
        <w:pStyle w:val="NormalHanging12a"/>
      </w:pPr>
      <w:r w:rsidRPr="00C53724">
        <w:t>F.</w:t>
      </w:r>
      <w:r w:rsidRPr="00C53724">
        <w:tab/>
        <w:t>tā kā Krievijas agresijas karš pret Ukrainu ir skaidri parādījis, ka ir jādažādo tirdzniecības nolīgumi un jāsamazina atkarība no tāda importa un eksporta, ko veic tikai daži tirdzniecības partneri, kā arī to, cik būtiski ir noslēgt tirdzniecības nolīgumus ar līdzīgi domājošiem partneriem;</w:t>
      </w:r>
    </w:p>
    <w:p w:rsidR="00981146" w:rsidRPr="00C53724" w:rsidRDefault="00981146" w:rsidP="00981146">
      <w:pPr>
        <w:pStyle w:val="NormalHanging12a"/>
      </w:pPr>
      <w:r w:rsidRPr="00C53724">
        <w:t>G.</w:t>
      </w:r>
      <w:r w:rsidRPr="00C53724">
        <w:tab/>
        <w:t>tā kā ES tirdzniecības nolīgumu efektīva īstenošana un uzraudzība ir Parlamenta, Padomes un Komisijas galvenā prioritāte, lai būtu iespējams uzraudzīt, novērtēt un definēt ES kopējo tirdzniecības politiku (</w:t>
      </w:r>
      <w:r w:rsidRPr="00C53724">
        <w:rPr>
          <w:i/>
          <w:iCs/>
        </w:rPr>
        <w:t>CCP</w:t>
      </w:r>
      <w:r w:rsidRPr="00C53724">
        <w:t>); tā kā ziņošana par nolīguma ar Kanādu īstenošanu ir savlaicīgs un lietderīgs ieguldījums pārdomās par ES tirdzniecības nolīgumu darbību;</w:t>
      </w:r>
    </w:p>
    <w:p w:rsidR="00981146" w:rsidRPr="00C53724" w:rsidRDefault="00981146" w:rsidP="00981146">
      <w:pPr>
        <w:pStyle w:val="NormalHanging12a"/>
      </w:pPr>
      <w:r w:rsidRPr="00C53724">
        <w:t>H.</w:t>
      </w:r>
      <w:r w:rsidRPr="00C53724">
        <w:tab/>
        <w:t xml:space="preserve">tā kā pilnībā ir izveidota </w:t>
      </w:r>
      <w:r w:rsidRPr="00C53724">
        <w:rPr>
          <w:i/>
        </w:rPr>
        <w:t>CETA</w:t>
      </w:r>
      <w:r w:rsidRPr="00C53724">
        <w:t xml:space="preserve"> paredzētā institucionālā sistēma ar 19 specializētām komitejām, regulatīvās sadarbības forumu un pilsoniskās sabiedrības forumu, kuru darba programmas un ziņojumi ir publiski pieejami;</w:t>
      </w:r>
    </w:p>
    <w:p w:rsidR="00981146" w:rsidRPr="00C53724" w:rsidRDefault="00981146" w:rsidP="00981146">
      <w:pPr>
        <w:pStyle w:val="NormalHanging12a"/>
      </w:pPr>
      <w:r w:rsidRPr="00C53724">
        <w:t>I.</w:t>
      </w:r>
      <w:r w:rsidRPr="00C53724">
        <w:tab/>
        <w:t>tā kā Kanāda bija pirmā valsts, ar kuru ES izveidoja stratēģisko partnerību kritiski svarīgo izejvielu jomā, ko pēc tam papildināja Zaļās alianses iniciatīva, ES un Kanādas digitālā partnerība un partnerība okeānu jautājumos;</w:t>
      </w:r>
    </w:p>
    <w:p w:rsidR="00981146" w:rsidRPr="00C53724" w:rsidRDefault="00981146" w:rsidP="00981146">
      <w:pPr>
        <w:pStyle w:val="NormalHanging12a"/>
      </w:pPr>
      <w:r w:rsidRPr="00C53724">
        <w:t>J.</w:t>
      </w:r>
      <w:r w:rsidRPr="00C53724">
        <w:tab/>
        <w:t>tā kā Kanāda aktīvi iesaistās PTO dialogā par plastmasas piesārņojumu un ekoloģiski ilgtspējīgu tirdzniecību ar plastmasu un PTO Tirdzniecības un vides komitejā, taču neiesaistās iniciatīvā par Fosilā kurināmā subsīdiju reformu (</w:t>
      </w:r>
      <w:r w:rsidRPr="00C53724">
        <w:rPr>
          <w:i/>
          <w:iCs/>
        </w:rPr>
        <w:t>FFSR</w:t>
      </w:r>
      <w:r w:rsidRPr="00C53724">
        <w:t>);</w:t>
      </w:r>
    </w:p>
    <w:p w:rsidR="00981146" w:rsidRPr="00C53724" w:rsidRDefault="00981146" w:rsidP="00981146">
      <w:pPr>
        <w:pStyle w:val="NormalHanging12a"/>
      </w:pPr>
      <w:r w:rsidRPr="00C53724">
        <w:t>K.</w:t>
      </w:r>
      <w:r w:rsidRPr="00C53724">
        <w:tab/>
        <w:t xml:space="preserve">tā kā šobrīd ir gūta pietiekama pieredze un ir pieejami dati un statistikas informācija, kas vajadzīga, lai novērtētu </w:t>
      </w:r>
      <w:r w:rsidRPr="00C53724">
        <w:rPr>
          <w:i/>
          <w:iCs/>
        </w:rPr>
        <w:t>CETA</w:t>
      </w:r>
      <w:r w:rsidRPr="00C53724">
        <w:t xml:space="preserve"> pagaidu īstenošanu;</w:t>
      </w:r>
    </w:p>
    <w:p w:rsidR="00981146" w:rsidRPr="00C53724" w:rsidRDefault="00981146" w:rsidP="00981146">
      <w:pPr>
        <w:pStyle w:val="NormalHanging12a"/>
      </w:pPr>
      <w:r w:rsidRPr="00C53724">
        <w:t>L.</w:t>
      </w:r>
      <w:r w:rsidRPr="00C53724">
        <w:tab/>
        <w:t>tā kā Kanāda ir pasaules līdere Sociālās un solidaritātes ekonomikas sabiedriskās politikas izstrādē un tā kā Sociālā un solidaritātes ekonomika veido gandrīz 10% no iekšzemes kopprodukta dažās provincēs, piemēram, Kvebekā, kur nodrošina aptuveni 210 000 darbvietu,</w:t>
      </w:r>
    </w:p>
    <w:p w:rsidR="00981146" w:rsidRPr="00C53724" w:rsidRDefault="00981146" w:rsidP="00981146">
      <w:pPr>
        <w:pStyle w:val="NormalHanging12a"/>
        <w:rPr>
          <w:b/>
          <w:szCs w:val="24"/>
        </w:rPr>
      </w:pPr>
      <w:r w:rsidRPr="00C53724">
        <w:rPr>
          <w:b/>
          <w:i/>
        </w:rPr>
        <w:t>Galvenie secinājumi un ieteikumi</w:t>
      </w:r>
    </w:p>
    <w:p w:rsidR="00981146" w:rsidRPr="00C53724" w:rsidRDefault="00981146" w:rsidP="00981146">
      <w:pPr>
        <w:pStyle w:val="NormalHanging12a"/>
      </w:pPr>
      <w:r w:rsidRPr="00C53724">
        <w:t>1.</w:t>
      </w:r>
      <w:r w:rsidRPr="00C53724">
        <w:tab/>
        <w:t xml:space="preserve">uzsver, ka </w:t>
      </w:r>
      <w:r w:rsidRPr="00C53724">
        <w:rPr>
          <w:i/>
          <w:iCs/>
        </w:rPr>
        <w:t>CETA</w:t>
      </w:r>
      <w:r w:rsidRPr="00C53724">
        <w:t xml:space="preserve"> pamatā ir uz noteikumiem un vērtībām balstītas attiecības, kas veicina drošākas un stabilākas ekonomikas vides veidošanos starp tirdzniecības partneriem un kas ir īpaši svarīgi paaugstinātas ģeopolitiskās nenoteiktības situācijā, un ilgtspējīgas attīstības principi un cilvēktiesību, darba un vides standartu ievērošana; uzskata, ka šāda </w:t>
      </w:r>
      <w:proofErr w:type="spellStart"/>
      <w:r w:rsidRPr="00C53724">
        <w:t>paredzamība</w:t>
      </w:r>
      <w:proofErr w:type="spellEnd"/>
      <w:r w:rsidRPr="00C53724">
        <w:t xml:space="preserve"> var veicināt ekonomikas izaugsmi, preču apmaiņu, pakalpojumu sniegšanu, līdzdalību publiskajā iepirkumā, ieguldījumu pievilcību, kvalitatīvu </w:t>
      </w:r>
      <w:r w:rsidRPr="00C53724">
        <w:lastRenderedPageBreak/>
        <w:t xml:space="preserve">nodarbinātību, vairāk un labāk apmaksātu darbvietu radīšanu un labākus darba un dzīves apstākļus; tomēr norāda, ka </w:t>
      </w:r>
      <w:r w:rsidRPr="00C53724">
        <w:rPr>
          <w:i/>
          <w:iCs/>
        </w:rPr>
        <w:t>CETA</w:t>
      </w:r>
      <w:r w:rsidRPr="00C53724">
        <w:t xml:space="preserve"> ir jāturpina stiprināt ilgtspējīga attīstība, jāievēro cilvēktiesības un darba tiesības un jārūpējas par klimata aizsardzību;</w:t>
      </w:r>
    </w:p>
    <w:p w:rsidR="00981146" w:rsidRPr="00C53724" w:rsidRDefault="00981146" w:rsidP="00981146">
      <w:pPr>
        <w:pStyle w:val="NormalHanging12a"/>
      </w:pPr>
      <w:r w:rsidRPr="00C53724">
        <w:t>2.</w:t>
      </w:r>
      <w:r w:rsidRPr="00C53724">
        <w:tab/>
        <w:t xml:space="preserve">ar gandarījumu norāda, ka laikā no 2016. gada līdz 2022. gadam ES un Kanādas preču tirdzniecības apjoms palielinājās par 66 %, savukārt ES un Kanādas pakalpojumu tirdzniecības apjoms palielinājās par 46 %, apsteidzot ES ārējo tirdzniecību ar citām valstīm; norāda, ka pirmajos piecos provizoriskās piemērošanas gados ES preču eksports uz Kanādu palielinājās par 47 % un vislielākais pieaugums tika reģistrēts rūpniecības ražojumu, ķīmisko produktu, kā arī pārtikas un dzīvnieku izcelsmes produktu jomā; norāda, ka lielākā daļa bažu, kas paustas pirms nolīguma provizoriskās piemērošanas attiecībā uz Kanādas lauksaimniecības produktu ieplūšanu ES tirgū, nav īstenojušās; konstatē, ka Kanādas eksports uz ES ir palielinājies par 46,4 % un lielākais </w:t>
      </w:r>
      <w:proofErr w:type="spellStart"/>
      <w:r w:rsidRPr="00C53724">
        <w:t>pieagums</w:t>
      </w:r>
      <w:proofErr w:type="spellEnd"/>
      <w:r w:rsidRPr="00C53724">
        <w:t xml:space="preserve"> reģistrēts rūdas, dārgakmeņu un metālu, kā arī minerālā kurināmā un minerāleļļu jomā;</w:t>
      </w:r>
    </w:p>
    <w:p w:rsidR="00981146" w:rsidRPr="00C53724" w:rsidRDefault="00981146" w:rsidP="00981146">
      <w:pPr>
        <w:pStyle w:val="NormalHanging12a"/>
        <w:rPr>
          <w:bCs/>
          <w:iCs/>
        </w:rPr>
      </w:pPr>
      <w:r w:rsidRPr="00C53724">
        <w:t>3.</w:t>
      </w:r>
      <w:r w:rsidRPr="00C53724">
        <w:tab/>
        <w:t xml:space="preserve">uzsver ES un Kanādas pārtikas un lauksaimniecības produktu divpusējās tirdzniecības apjoma ievērojamo pieaugumu un ES lauksaimniecības un pārtikas produktu eksporta uz Kanādu pieaugumu par 62 %, kā arī šādu produktu ES importa no Kanādas pieaugumu par 52 % kopš </w:t>
      </w:r>
      <w:r w:rsidRPr="00C53724">
        <w:rPr>
          <w:i/>
          <w:iCs/>
        </w:rPr>
        <w:t>CETA</w:t>
      </w:r>
      <w:r w:rsidRPr="00C53724">
        <w:t xml:space="preserve"> provizoriskās piemērošanas sākuma; norāda, ka tas ir devis ievērojamu labumu abu pušu ražotājiem un eksportētājiem un ir arī veicinājis jaunu darbvietu radīšanu; atzinīgi vērtē to Savienības </w:t>
      </w:r>
      <w:proofErr w:type="spellStart"/>
      <w:r w:rsidRPr="00C53724">
        <w:t>mikrouzņēmumu</w:t>
      </w:r>
      <w:proofErr w:type="spellEnd"/>
      <w:r w:rsidRPr="00C53724">
        <w:t>, mazo un vidējo uzņēmumu skaita būtisko pieaugumu, kuri eksportē uz Kanādu, kā arī to eksportēto produktu vērtības pieaugumu un norāda, ka tādējādi nolīgums būtiski kalpo to interesēm;</w:t>
      </w:r>
    </w:p>
    <w:p w:rsidR="00981146" w:rsidRPr="00C53724" w:rsidRDefault="00981146" w:rsidP="00981146">
      <w:pPr>
        <w:pStyle w:val="NormalHanging12a"/>
        <w:rPr>
          <w:szCs w:val="24"/>
        </w:rPr>
      </w:pPr>
      <w:r w:rsidRPr="00C53724">
        <w:t>4.</w:t>
      </w:r>
      <w:r w:rsidRPr="00C53724">
        <w:tab/>
        <w:t xml:space="preserve">uzsver, ka </w:t>
      </w:r>
      <w:r w:rsidRPr="00C53724">
        <w:rPr>
          <w:i/>
          <w:iCs/>
        </w:rPr>
        <w:t>CETA</w:t>
      </w:r>
      <w:r w:rsidRPr="00C53724">
        <w:t xml:space="preserve"> īstenošanā līdzīgi visiem citiem ES tirdzniecības nolīgumiem ir pienācīgi jāņem vērā tas, ka jāievēro ilgtspējīgas lauksaimnieciskās ražošanas un savstarpīguma principi, jāsaglabā augsti standarti, jo īpaši sanitārie, fitosanitārie un veterinārie standarti, kā arī jāveic pienācīga kontrole un jāuzrauga, vai minētie standarti tiek savstarpēji ievēroti;</w:t>
      </w:r>
    </w:p>
    <w:p w:rsidR="00981146" w:rsidRPr="00C53724" w:rsidRDefault="00981146" w:rsidP="00981146">
      <w:pPr>
        <w:pStyle w:val="NormalHanging12a"/>
      </w:pPr>
      <w:r w:rsidRPr="00C53724">
        <w:t>5.</w:t>
      </w:r>
      <w:r w:rsidRPr="00C53724">
        <w:tab/>
        <w:t xml:space="preserve">atzinīgi vērtē to, ka pandēmijas laikā, kā arī sarežģītajā situācijā, ko radījis Krievijas agresijas karš Ukrainā, tirdzniecības plūsmas starp abām pusēm kopumā ir bijušas noturīgas, tādējādi ir izturējušas spiedienu uz piegādes ķēdēm un veicinājušas stabilāku nodrošinātību ar pārtiku; uzskata, ka </w:t>
      </w:r>
      <w:r w:rsidRPr="00C53724">
        <w:rPr>
          <w:i/>
        </w:rPr>
        <w:t>CETA</w:t>
      </w:r>
      <w:r w:rsidRPr="00C53724">
        <w:t xml:space="preserve"> vajadzētu kalpot kā instrumentam, ar kuru veicināt sadarbību un kopīgu rīcību Ukrainas atjaunošanā pēc kara beigām;</w:t>
      </w:r>
    </w:p>
    <w:p w:rsidR="00981146" w:rsidRPr="00C53724" w:rsidRDefault="00981146" w:rsidP="00981146">
      <w:pPr>
        <w:pStyle w:val="NormalHanging12a"/>
      </w:pPr>
      <w:r w:rsidRPr="00C53724">
        <w:t>6.</w:t>
      </w:r>
      <w:r w:rsidRPr="00C53724">
        <w:tab/>
        <w:t xml:space="preserve">uzsver, ka ES eksports ir būtiski svarīgs nodarbinātībai; atzinīgi vērtē to, ka </w:t>
      </w:r>
      <w:r w:rsidRPr="00C53724">
        <w:rPr>
          <w:i/>
        </w:rPr>
        <w:t>CETA</w:t>
      </w:r>
      <w:r w:rsidRPr="00C53724">
        <w:t xml:space="preserve"> ir veicinājis jaunu darbvietu radīšanu, jo ar ES eksportu uz Kanādu saistīto darbvietu skaits ir pieaudzis no 624 000 darbvietām 2017. gadā līdz vairāk nekā 700 000 darbvietām 2021. gadā;</w:t>
      </w:r>
    </w:p>
    <w:p w:rsidR="00981146" w:rsidRPr="00C53724" w:rsidRDefault="00981146" w:rsidP="00981146">
      <w:pPr>
        <w:pStyle w:val="NormalHanging12a"/>
      </w:pPr>
      <w:r w:rsidRPr="00C53724">
        <w:t>7.</w:t>
      </w:r>
      <w:r w:rsidRPr="00C53724">
        <w:tab/>
        <w:t xml:space="preserve">uzsver, ka ir svarīgi atvieglot </w:t>
      </w:r>
      <w:r w:rsidRPr="00C53724">
        <w:rPr>
          <w:i/>
          <w:iCs/>
        </w:rPr>
        <w:t>CETA</w:t>
      </w:r>
      <w:r w:rsidRPr="00C53724">
        <w:t xml:space="preserve"> paredzēto darbaspēka mobilitāti, jo tā palīdz nodrošināt pienācīgu prasmju nodošanu starp ES un Kanādu un izvairīties no kvalificēta darbaspēka trūkuma; šajā sakarībā atzinīgi vērtē to, ka 2022. gadā saskaņā ar </w:t>
      </w:r>
      <w:r w:rsidRPr="00C53724">
        <w:rPr>
          <w:i/>
          <w:iCs/>
        </w:rPr>
        <w:t>CETA</w:t>
      </w:r>
      <w:r w:rsidRPr="00C53724">
        <w:t xml:space="preserve"> veiksmīgi tika noslēgts pirmais savstarpējās atzīšanas nolīgums, kas attiecas uz arhitektu kvalifikāciju; uzskata, ka ES zilā karte varētu vēl vairāk atvieglot apmaiņu starp abām konkurētspējīgajām ekonomikām, kurās ir ļoti labi izglītoti iedzīvotāji; uzsver, ka apmaiņas programmas starp ES un Kanādas akadēmiskajām iestādēm var vēl vairāk veicināt nepieciešamo darbaspēka mobilitāti ilgtermiņā;</w:t>
      </w:r>
    </w:p>
    <w:p w:rsidR="00981146" w:rsidRPr="00C53724" w:rsidRDefault="00981146" w:rsidP="00981146">
      <w:pPr>
        <w:pStyle w:val="NormalHanging12a"/>
      </w:pPr>
      <w:r w:rsidRPr="00C53724">
        <w:lastRenderedPageBreak/>
        <w:t>8.</w:t>
      </w:r>
      <w:r w:rsidRPr="00C53724">
        <w:tab/>
        <w:t xml:space="preserve">norāda, ka divas svarīgākās produktu kategorijas, ko ES un Kanāda viena otrai eksportē, ir iekārtas un transporta aprīkojums, kas veido aptuveni 34 % no eksporta un importa apjoma, un ķīmiskie, farmācijas un plastmasas produkti, kas veido aptuveni 20 % no kopējā eksporta un importa apjoma; tomēr atzīmē, ka salīdzinājumā ar citiem tirdzniecības partneriem kalnrūpniecības un ieguves nozarei, jo īpaši mēslošanas līdzekļiem, niķelim, urānam un </w:t>
      </w:r>
      <w:proofErr w:type="spellStart"/>
      <w:r w:rsidRPr="00C53724">
        <w:t>bitumensmiltīm</w:t>
      </w:r>
      <w:proofErr w:type="spellEnd"/>
      <w:r w:rsidRPr="00C53724">
        <w:t>, ir ļoti būtiska nozīme importā no Kanādas, jo šīs nozares produkti veido gandrīz 20 % no kopējā ES importa no Kanādas; uzsver, ka piekļuve kritiski svarīgām izejvielām, ko nodrošina uzticami tirdzniecības partneri, tostarp Kanāda, ir svarīgs ES kritiski svarīgo izejvielu stratēģijas elements, kas ir būtisks arī ilgtspējīgas zaļās pārkārtošanās īstenošanai;</w:t>
      </w:r>
    </w:p>
    <w:p w:rsidR="00981146" w:rsidRPr="00C53724" w:rsidRDefault="00981146" w:rsidP="00981146">
      <w:pPr>
        <w:pStyle w:val="NormalHanging12a"/>
      </w:pPr>
      <w:r w:rsidRPr="00C53724">
        <w:t>9.</w:t>
      </w:r>
      <w:r w:rsidRPr="00C53724">
        <w:tab/>
        <w:t xml:space="preserve">uzsver, ka sadarbība attiecībā uz piekļuvi kritiski svarīgām izejvielām ir būtiska pašreizējā ģeopolitiskajā situācijā, kā arī nolūkā </w:t>
      </w:r>
      <w:proofErr w:type="spellStart"/>
      <w:r w:rsidRPr="00C53724">
        <w:t>īštenot</w:t>
      </w:r>
      <w:proofErr w:type="spellEnd"/>
      <w:r w:rsidRPr="00C53724">
        <w:t xml:space="preserve"> zaļo un taisnīgu pārkārtošanos, un atzinīgi vērtē to, ka 2021. gada jūlijā atbilstīgi </w:t>
      </w:r>
      <w:r w:rsidRPr="00C53724">
        <w:rPr>
          <w:i/>
          <w:iCs/>
        </w:rPr>
        <w:t>CETA</w:t>
      </w:r>
      <w:r w:rsidRPr="00C53724">
        <w:t xml:space="preserve"> tika parakstīta ES un Kanādas stratēģiskā partnerība kritiski svarīgo izejvielu jomā, kam būtu jāpalīdz integrēt ES un Kanādas izejvielu vērtības ķēdes un veicināt sadarbību zinātnes, tehnoloģiju un inovācijas jomā; norāda, ka tas ir svarīgs Eiropas ekonomiskās drošības stratēģijas elements; pauž pārliecību, ka izejvielu ieguvei ir jānotiek, ievērojot vides standartus, darba tiesības un cilvēktiesības, tostarp pirmiedzīvotāju tiesības;</w:t>
      </w:r>
    </w:p>
    <w:p w:rsidR="00981146" w:rsidRPr="00C53724" w:rsidRDefault="00981146" w:rsidP="00981146">
      <w:pPr>
        <w:pStyle w:val="NormalHanging12a"/>
      </w:pPr>
      <w:r w:rsidRPr="00C53724">
        <w:t>10.</w:t>
      </w:r>
      <w:r w:rsidRPr="00C53724">
        <w:tab/>
        <w:t xml:space="preserve">atzinīgi vērtē to, ka Eiropas un Kanādas uzņēmumi arvien vairāk un pastāvīgi izmanto </w:t>
      </w:r>
      <w:r w:rsidRPr="00C53724">
        <w:rPr>
          <w:i/>
          <w:iCs/>
        </w:rPr>
        <w:t>CETA</w:t>
      </w:r>
      <w:r w:rsidRPr="00C53724">
        <w:t xml:space="preserve"> paredzētās preferences, un preferenču izmantošanas līmenis gan ES, gan Kanādā 2022. gadā sasniedza 60 % salīdzinājumā ar attiecīgi 40 % un 52 % 2018. gadā; ar interesi atzīmē, ka mazāki uzņēmumi preferences izmanto vairāk nekā lieli uzņēmumi un ka lauksaimniecības pārtikas rūpniecībā izmantošanas rādītāji ir ievērojami augstāki nekā apstrādes rūpniecībā; uzsver, ka vairāku ES dalībvalstu zemie preferenču izmantošanas rādītāji svarīgākajās nozarēs liecina par neizmantotām izmaksu ietaupīšanas un samazinātām ekonomiskās labklājības uzlabošanas iespējām, kas izriet no nolīguma; mudina abus partnerus turpināt veicināt pasākumus, lai palielinātu abu reģionu ieinteresēto personu informētību par </w:t>
      </w:r>
      <w:r w:rsidRPr="00C53724">
        <w:rPr>
          <w:i/>
          <w:iCs/>
        </w:rPr>
        <w:t>CETA</w:t>
      </w:r>
      <w:r w:rsidRPr="00C53724">
        <w:t>; tostarp izmantojot ES “Access2Markets” platformu; uzsver, ka ir svarīgi veicināt jaunas iespējas uzņēmumiem un patērētājiem, izmantojot digitālo tirdzniecību saskaņā ar ES standartiem;</w:t>
      </w:r>
    </w:p>
    <w:p w:rsidR="00981146" w:rsidRPr="00C53724" w:rsidRDefault="00981146" w:rsidP="00981146">
      <w:pPr>
        <w:pStyle w:val="NormalHanging12a"/>
      </w:pPr>
      <w:r w:rsidRPr="00C53724">
        <w:t>11.</w:t>
      </w:r>
      <w:r w:rsidRPr="00C53724">
        <w:tab/>
        <w:t xml:space="preserve">norāda, ka 2021. gadā tarifa kvotas (TK) izmantošanas rādītājs liellopu un teļa gaļas importam uz ES bija tikai 3 % un ka ES eksportētāji ir palielinājuši savu tirgus daļu Kanādā, kā rezultātā ES uz Kanādu eksportē vairāk saldētas liellopu gaļas nekā importē no tās; tomēr norāda, ka šis TK izmantojuma līmenis laika gaitā var mainīties sakarā ar atšķirībām citos Kanādas eksporta tirgos, jo īpaši ASV un Ķīnā; </w:t>
      </w:r>
    </w:p>
    <w:p w:rsidR="00981146" w:rsidRPr="00C53724" w:rsidRDefault="00981146" w:rsidP="00981146">
      <w:pPr>
        <w:pStyle w:val="NormalHanging12a"/>
      </w:pPr>
      <w:r w:rsidRPr="00C53724">
        <w:t>12.</w:t>
      </w:r>
      <w:r w:rsidRPr="00C53724">
        <w:tab/>
        <w:t>uzsver, ka saskaņā ar Komisijas Veselības un pārtikas nekaitīguma ģenerāldirektorāta revīzijas ziņojumu Kanāda vēl nav pietiekamā mērā īstenojusi ieteikumus, kas sniegti ģenerāldirektorāta revīzijā par to kontroles sistēmu izsekojamību un kvalitāti, kuras reglamentē eksportam uz Eiropas Savienību paredzētas liellopu gaļas un cūkgaļas ražošanu;</w:t>
      </w:r>
    </w:p>
    <w:p w:rsidR="00981146" w:rsidRPr="00C53724" w:rsidRDefault="00981146" w:rsidP="00981146">
      <w:pPr>
        <w:pStyle w:val="NormalHanging12a"/>
      </w:pPr>
      <w:r w:rsidRPr="00C53724">
        <w:t>13.</w:t>
      </w:r>
      <w:r w:rsidRPr="00C53724">
        <w:tab/>
        <w:t xml:space="preserve">atzinīgi vērtē to, ka ir ieviests saskaņots ES eksporta sertifikāts svaigas mājputnu gaļas eksportam no apstiprinātām dalībvalstīm, kurš sāka darboties 2021. gadā; aicina Komisiju turpināt darbu attiecībā uz līdzīgiem sertifikātiem pārstrādātai gaļai un aitas vai kazas gaļai un vienlaikus pastiprināt centienus nodrošināt stingrākas izsekojamības sistēmas gaļas produktiem; aicina Komisiju pārvaldības komitejas darbā un sadarbībā ar </w:t>
      </w:r>
      <w:r w:rsidRPr="00C53724">
        <w:lastRenderedPageBreak/>
        <w:t>Kanādas iestādēm un dalībvalstīm panākt progresu pārējo gaļas pārbaudes sistēmu atzīšanā, lai pārējās dalībvalstis varētu eksportēt gaļu uz Kanādu;</w:t>
      </w:r>
    </w:p>
    <w:p w:rsidR="00981146" w:rsidRPr="00C53724" w:rsidRDefault="00981146" w:rsidP="00981146">
      <w:pPr>
        <w:pStyle w:val="NormalHanging12a"/>
      </w:pPr>
      <w:r w:rsidRPr="00C53724">
        <w:t>14.</w:t>
      </w:r>
      <w:r w:rsidRPr="00C53724">
        <w:tab/>
        <w:t xml:space="preserve">ar nožēlu norāda, ka </w:t>
      </w:r>
      <w:r w:rsidRPr="00C53724">
        <w:rPr>
          <w:i/>
          <w:iCs/>
        </w:rPr>
        <w:t>CETA</w:t>
      </w:r>
      <w:r w:rsidRPr="00C53724">
        <w:t xml:space="preserve"> kopumā nepiemēro </w:t>
      </w:r>
      <w:proofErr w:type="spellStart"/>
      <w:r w:rsidRPr="00C53724">
        <w:t>reģionalizācijas</w:t>
      </w:r>
      <w:proofErr w:type="spellEnd"/>
      <w:r w:rsidRPr="00C53724">
        <w:t xml:space="preserve"> principu un uzskata ES par vienotu teritoriju lopkopības jomā, bet ne attiecībā uz augļu un dārzeņu nozari, un tas nozīmē, ka katrai dalībvalstij ir individuāli jāvienojas par eksporta prasībām katram produktam; aicina pēc iespējas ātrāk novērst šo trūkumu ES un Kanādas apvienotajā pārvaldības komitejā;</w:t>
      </w:r>
    </w:p>
    <w:p w:rsidR="00981146" w:rsidRPr="00C53724" w:rsidRDefault="00981146" w:rsidP="00981146">
      <w:pPr>
        <w:pStyle w:val="NormalHanging12a"/>
        <w:rPr>
          <w:szCs w:val="24"/>
        </w:rPr>
      </w:pPr>
      <w:r w:rsidRPr="00C53724">
        <w:t>15.</w:t>
      </w:r>
      <w:r w:rsidRPr="00C53724">
        <w:tab/>
        <w:t xml:space="preserve">aicina Komisiju veicināt pastāvīgu sadarbību ar Kanādas iestādēm, lai panāktu to, ka </w:t>
      </w:r>
      <w:r w:rsidRPr="00C53724">
        <w:rPr>
          <w:i/>
          <w:iCs/>
        </w:rPr>
        <w:t>CETA</w:t>
      </w:r>
      <w:r w:rsidRPr="00C53724">
        <w:t xml:space="preserve"> lielāka uzmanība tiek veltīta dzīvnieku labturības standartu aizsardzības pasākumiem un tiek izvērtēta iespēja nākotnē šajā jomā izveidot </w:t>
      </w:r>
      <w:proofErr w:type="spellStart"/>
      <w:r w:rsidRPr="00C53724">
        <w:t>spoguļklauzulas</w:t>
      </w:r>
      <w:proofErr w:type="spellEnd"/>
      <w:r w:rsidRPr="00C53724">
        <w:t>, kuru mērķis būtu garantēt līdzvērtīgus dzīvnieku labturības standartus un tādējādi vienlīdzīgus konkurences apstākļus ES izcelsmes un importētiem dzīvnieku izcelsmes produktiem;</w:t>
      </w:r>
    </w:p>
    <w:p w:rsidR="00981146" w:rsidRPr="00C53724" w:rsidRDefault="00981146" w:rsidP="00981146">
      <w:pPr>
        <w:pStyle w:val="NormalHanging12a"/>
      </w:pPr>
      <w:r w:rsidRPr="00C53724">
        <w:t>16.</w:t>
      </w:r>
      <w:r w:rsidRPr="00C53724">
        <w:tab/>
        <w:t xml:space="preserve">norāda, ka ES tirdzniecības politikai un jo īpaši </w:t>
      </w:r>
      <w:r w:rsidRPr="00C53724">
        <w:rPr>
          <w:i/>
          <w:iCs/>
        </w:rPr>
        <w:t>CETA</w:t>
      </w:r>
      <w:r w:rsidRPr="00C53724">
        <w:t xml:space="preserve"> ir būtiska ekonomiska ietekme uz tālākajiem reģioniem, un tādēļ uzsver, ka turpmākajās sarunās vai iespējamā nolīguma pārskatīšanā ir jāaizsargā šo reģionu intereses;</w:t>
      </w:r>
    </w:p>
    <w:p w:rsidR="00981146" w:rsidRPr="00C53724" w:rsidRDefault="00981146" w:rsidP="00981146">
      <w:pPr>
        <w:pStyle w:val="NormalHanging12a"/>
      </w:pPr>
      <w:r w:rsidRPr="00C53724">
        <w:t>17.</w:t>
      </w:r>
      <w:r w:rsidRPr="00C53724">
        <w:tab/>
        <w:t>uzskata, ka daļa no tarifiem un tarifa kvotām, kas piešķirtas ES produktiem, būtu jāpiešķir tālākajos reģionos reģistrētiem uzņēmējiem, ņemot vērā viņu ekonomisko situāciju; uzsver, ka atšķirīga attieksme pret uzņēmējiem tālākajos reģionos ir būtiska, lai nodrošinātu uzņēmumu konkurētspēju un tarifu un tarifa kvotu taisnīgu sadalījumu starp tirdzniecības pārstāvjiem, izvairoties no priekšrocību attiecināšanas tikai uz nelielu uzņēmēju skaitu;</w:t>
      </w:r>
    </w:p>
    <w:p w:rsidR="00981146" w:rsidRPr="00C53724" w:rsidRDefault="00981146" w:rsidP="00981146">
      <w:pPr>
        <w:pStyle w:val="NormalHanging12a"/>
      </w:pPr>
      <w:r w:rsidRPr="00C53724">
        <w:t>18.</w:t>
      </w:r>
      <w:r w:rsidRPr="00C53724">
        <w:tab/>
        <w:t>ņem vērā to, ka TK izmantošanas līmenis ES siera eksporta jomā vidēji ir 98 %; tomēr aicina izveidot pārredzamāku un elastīgāku Kanādas TK pārvaldības sistēmu attiecībā uz piena produktiem, jo īpaši siera kvotām, un mudina Kanādas iestādes pēc iespējas ātrāk veikt iespējamo sistēmas pārskatīšanu;</w:t>
      </w:r>
    </w:p>
    <w:p w:rsidR="00981146" w:rsidRPr="00C53724" w:rsidRDefault="00981146" w:rsidP="00981146">
      <w:pPr>
        <w:pStyle w:val="NormalHanging12a"/>
      </w:pPr>
      <w:r w:rsidRPr="00C53724">
        <w:t>19.</w:t>
      </w:r>
      <w:r w:rsidRPr="00C53724">
        <w:tab/>
        <w:t>uzver, ka ir svarīgi atzīt ģeogrāfiskās izcelsmes norāžu (ĢIN) sistēmu kā īpaši būtisku nolīguma elementu; uzsver, ka nolūkā nodrošināt pārliecību par nolīguma pareizu darbību ir jāturpina efektīvi īstenot ĢIN aizsardzību ES tiesību subjektiem Kanādā;</w:t>
      </w:r>
    </w:p>
    <w:p w:rsidR="00981146" w:rsidRPr="00C53724" w:rsidRDefault="00981146" w:rsidP="00981146">
      <w:pPr>
        <w:pStyle w:val="NormalHanging12a"/>
        <w:rPr>
          <w:szCs w:val="24"/>
        </w:rPr>
      </w:pPr>
      <w:r w:rsidRPr="00C53724">
        <w:t>20.</w:t>
      </w:r>
      <w:r w:rsidRPr="00C53724">
        <w:tab/>
        <w:t xml:space="preserve">atzīmē, ka pirmajos sešos </w:t>
      </w:r>
      <w:r w:rsidRPr="00C53724">
        <w:rPr>
          <w:i/>
          <w:iCs/>
        </w:rPr>
        <w:t>CETA</w:t>
      </w:r>
      <w:r w:rsidRPr="00C53724">
        <w:t xml:space="preserve"> provizoriskās piemērošanas gados ES pakalpojumu eksports uz Kanādu un imports no tās ir palielinājies attiecīgi par 54 % un 74 %, un vislielākais pieaugums ir bijis vērojams transporta pakalpojumu, uzņēmējdarbības pakalpojumu un informācijas, datoru un telekomunikāciju pakalpojumu jomā, īpašu labumu sniedzot mazākām ES dalībvalstīm, kuru ekonomikas struktūrā būtiska nozīme ir tieši pakalpojumiem;</w:t>
      </w:r>
    </w:p>
    <w:p w:rsidR="00981146" w:rsidRPr="00C53724" w:rsidRDefault="00981146" w:rsidP="00981146">
      <w:pPr>
        <w:pStyle w:val="NormalHanging12a"/>
        <w:rPr>
          <w:szCs w:val="24"/>
        </w:rPr>
      </w:pPr>
      <w:r w:rsidRPr="00C53724">
        <w:t>21.</w:t>
      </w:r>
      <w:r w:rsidRPr="00C53724">
        <w:tab/>
        <w:t>atzinīgi vērtē konkrētus centienus atvieglot piekļuvi publiskajam iepirkumam, piemēram, vienoto piekļuves punktu Kanādā; uzskata, ka pat tad, ja aizvien vairāk ES uzņēmumu veiksmīgi piedalās Kanādas iepirkumu konkursos, piemēram, saistībā ar reģionālajiem dzelzceļa pasažieru pārvadājumiem Ontārio vai tiltiem Monreālā, ES piegādātāji varētu vēl vairāk izmantot piedāvātās iespējas, jo īpaši attiecībā uz infrastruktūras projektiem un provinču un pašvaldību piedāvātajām līgumu slēgšanas iespējām;</w:t>
      </w:r>
    </w:p>
    <w:p w:rsidR="00981146" w:rsidRPr="00C53724" w:rsidRDefault="00981146" w:rsidP="00981146">
      <w:pPr>
        <w:pStyle w:val="NormalHanging12a"/>
      </w:pPr>
      <w:r w:rsidRPr="00C53724">
        <w:lastRenderedPageBreak/>
        <w:t>22.</w:t>
      </w:r>
      <w:r w:rsidRPr="00C53724">
        <w:tab/>
        <w:t xml:space="preserve">aicina abas puses darīt pieejamu visu juridisko un administratīvo atbalstu un instrumentus, kas MVU ir nepieciešami, lai iesaistītos tirdzniecībā un ieguldījumu veikšanā saskaņā ar </w:t>
      </w:r>
      <w:r w:rsidRPr="00C53724">
        <w:rPr>
          <w:i/>
          <w:iCs/>
        </w:rPr>
        <w:t>CETA</w:t>
      </w:r>
      <w:r w:rsidRPr="00C53724">
        <w:t xml:space="preserve"> un tādējādi sekmētu apmaiņu un līdzdalību, lai tie varētu gūt labumu no </w:t>
      </w:r>
      <w:r w:rsidRPr="00C53724">
        <w:rPr>
          <w:i/>
          <w:iCs/>
        </w:rPr>
        <w:t>CETA</w:t>
      </w:r>
      <w:r w:rsidRPr="00C53724">
        <w:t xml:space="preserve">, cita starpā veicot aktīvus pasākumus MVU internacionalizācijas veicināšanai, procedūru vienkāršošanai, un tādu tehnisku šķēršļu tirdzniecībai novēršanai, kas nesamērīgi ietekmē MVU; šajā sakarībā atzinīgi vērtē Apvienotās komitejas 2018. gadā pieņemto ieteikumu attiecībā uz MVU un turpmākos rīcības plānus, tostarp konkrētas darbības, piemēram, platformas “Access2Markets” atklāšanu 2020. gada oktobrī; šī platforma palīdz MVU saņemt praktisku informāciju par tirdzniecības nolīgumiem un tirdzniecības šķēršļiem; sagaida, ka </w:t>
      </w:r>
      <w:proofErr w:type="spellStart"/>
      <w:r w:rsidRPr="00C53724">
        <w:rPr>
          <w:i/>
          <w:iCs/>
        </w:rPr>
        <w:t>ex</w:t>
      </w:r>
      <w:proofErr w:type="spellEnd"/>
      <w:r w:rsidRPr="00C53724">
        <w:rPr>
          <w:i/>
          <w:iCs/>
        </w:rPr>
        <w:t> post</w:t>
      </w:r>
      <w:r w:rsidRPr="00C53724">
        <w:t xml:space="preserve"> novērtējumā tiks sniegti dati par to, kā attīstās MVU veiktas ES un Kanādas tirdzniecības īpatsvars; aicina puses apsvērt iespēju nolīgumā paredzēt pilnvērtīgu nodaļu par MVU, kā tas ir nolīgumos ar Jaunzēlandi un Čīli;</w:t>
      </w:r>
    </w:p>
    <w:p w:rsidR="00981146" w:rsidRPr="00C53724" w:rsidRDefault="00981146" w:rsidP="00981146">
      <w:pPr>
        <w:pStyle w:val="NormalHanging12a"/>
      </w:pPr>
      <w:r w:rsidRPr="00C53724">
        <w:t>23.</w:t>
      </w:r>
      <w:r w:rsidRPr="00C53724">
        <w:tab/>
        <w:t>ņemot vērā Sociālās un solidaritātes ekonomikas nozares nozīmi Kanādā un Komisijas 2021. gada 9. decembrī pieņemto rīcības plānu sociālās ekonomikas jomā</w:t>
      </w:r>
      <w:r w:rsidRPr="00C53724">
        <w:rPr>
          <w:rStyle w:val="FootnoteReference"/>
        </w:rPr>
        <w:footnoteReference w:id="6"/>
      </w:r>
      <w:r w:rsidRPr="00C53724">
        <w:t>, aicina Apvienoto komiteju noteikt, kādus konkrētus pasākumus varētu ieviest, lai veicinātu ciešāku sadarbību starp sociālajiem un solidaritātes dalībniekiem Atlantijas okeāna reģionā;</w:t>
      </w:r>
    </w:p>
    <w:p w:rsidR="00981146" w:rsidRPr="00C53724" w:rsidRDefault="00981146" w:rsidP="00981146">
      <w:pPr>
        <w:pStyle w:val="NormalHanging12a"/>
      </w:pPr>
      <w:r w:rsidRPr="00C53724">
        <w:t>24.</w:t>
      </w:r>
      <w:r w:rsidRPr="00C53724">
        <w:tab/>
        <w:t xml:space="preserve">mudina abas puses turpināt informatīvos pasākumus, jo īpaši koncentrējoties uz MVU un sociālās un solidaritātes ekonomikas dalībniekiem, lai palielinātu informētību par </w:t>
      </w:r>
      <w:r w:rsidRPr="00C53724">
        <w:rPr>
          <w:i/>
          <w:iCs/>
        </w:rPr>
        <w:t>CETA</w:t>
      </w:r>
      <w:r w:rsidRPr="00C53724">
        <w:t xml:space="preserve"> sniegtajām iespējām, un to darīt, īstenojot mērķtiecīgas informatīvas kampaņas un vienlaikus nodrošinot, ka nolīguma sniegtie ieguvumi ir vienādā mērā pieejami vīriešiem un sievietēm;</w:t>
      </w:r>
    </w:p>
    <w:p w:rsidR="00981146" w:rsidRPr="00C53724" w:rsidRDefault="00981146" w:rsidP="00981146">
      <w:pPr>
        <w:pStyle w:val="NormalHanging12a"/>
      </w:pPr>
      <w:r w:rsidRPr="00C53724">
        <w:t>25.</w:t>
      </w:r>
      <w:r w:rsidRPr="00C53724">
        <w:tab/>
        <w:t xml:space="preserve">atzinīgi vērtē </w:t>
      </w:r>
      <w:r w:rsidRPr="00C53724">
        <w:rPr>
          <w:i/>
        </w:rPr>
        <w:t>CETA</w:t>
      </w:r>
      <w:r w:rsidRPr="00C53724">
        <w:t xml:space="preserve"> Apvienotās komitejas jau 2018. gadā pieņemto ieteikumu par tirdzniecību un dzimumu līdztiesību, kurā ietverta apņemšanās apmainīties ar metodēm un procedūrām, lai vāktu pa dzimumiem sadalītus datus, izmantotu rādītājus, uzraudzītu un novērtētu metodiku un analizētu uz dzimumiem vērstus statistikas datus, kas saistīti ar tirdzniecību; uzsver, ka tirdzniecībai būtu jādod labums visiem un jo īpaši jāstiprina sieviešu ekonomiskās iespējas; stingri mudina </w:t>
      </w:r>
      <w:r w:rsidRPr="00C53724">
        <w:rPr>
          <w:i/>
          <w:iCs/>
        </w:rPr>
        <w:t>CETA</w:t>
      </w:r>
      <w:r w:rsidRPr="00C53724">
        <w:t xml:space="preserve"> Apvienoto komiteju turpināt uzraudzīt nolīguma ietekmi uz dzimumu līdztiesību; uzskata, ka saskaņā ar kopīgi pieņemto rīcības plānu veiktais darbs var kalpot par piemēru citiem tirdzniecības nolīgumiem, pat ja pašā nolīgumā nav īpašu nodaļu par tirdzniecību un dzimumu līdztiesību; atgādina par Parlamenta rezolūciju par Dzimumu līdztiesības rīcības plānu III</w:t>
      </w:r>
      <w:r w:rsidRPr="00C53724">
        <w:rPr>
          <w:rStyle w:val="FootnoteReference"/>
        </w:rPr>
        <w:footnoteReference w:id="7"/>
      </w:r>
      <w:r w:rsidRPr="00C53724">
        <w:t xml:space="preserve"> un mudina Komisiju publicēt vieglāk pieejamus un pa dzimumiem sadalītus datus par nolīguma izmantošanu, jo īpaši saistībā ar nodaļām par publisko iepirkumu un par tirdzniecību un darbu;</w:t>
      </w:r>
    </w:p>
    <w:p w:rsidR="00981146" w:rsidRPr="00C53724" w:rsidRDefault="00981146" w:rsidP="00981146">
      <w:pPr>
        <w:pStyle w:val="NormalHanging12a"/>
      </w:pPr>
      <w:r w:rsidRPr="00C53724">
        <w:t>26.</w:t>
      </w:r>
      <w:r w:rsidRPr="00C53724">
        <w:tab/>
        <w:t>aicina Komisiju nepieļaut, ka piesardzības princips kā Līgumos nostiprinātais Eiropas Savienības pamatprincips un Eiropas lauksaimnieku un iedzīvotāju aizsardzības garants tiek vājināts; uzsver, ka ir svarīgi veicināt piesardzības principu visos tirdzniecības aspektos un nodrošināt tā piemērošanu, vienlaikus izvairoties no nepamatotiem tirdzniecības šķēršļiem;</w:t>
      </w:r>
    </w:p>
    <w:p w:rsidR="00981146" w:rsidRPr="00C53724" w:rsidRDefault="00981146" w:rsidP="00981146">
      <w:pPr>
        <w:pStyle w:val="NormalHanging12a"/>
      </w:pPr>
      <w:r w:rsidRPr="00C53724">
        <w:lastRenderedPageBreak/>
        <w:t>27.</w:t>
      </w:r>
      <w:r w:rsidRPr="00C53724">
        <w:tab/>
        <w:t xml:space="preserve">uzsver, ka </w:t>
      </w:r>
      <w:r w:rsidRPr="00C53724">
        <w:rPr>
          <w:i/>
          <w:iCs/>
        </w:rPr>
        <w:t>CETA</w:t>
      </w:r>
      <w:r w:rsidRPr="00C53724">
        <w:t xml:space="preserve"> nodrošina satvaru, kas veicina gan tirdzniecību, gan </w:t>
      </w:r>
      <w:proofErr w:type="spellStart"/>
      <w:r w:rsidRPr="00C53724">
        <w:t>klimatrīcību</w:t>
      </w:r>
      <w:proofErr w:type="spellEnd"/>
      <w:r w:rsidRPr="00C53724">
        <w:t xml:space="preserve">, ieskaitot apņemšanos sadarboties ar tirdzniecību saistītos, abas puses interesējošos vides jautājumos, piemēram, klimata pārmaiņu jomā, kā to apliecina ieteikums par tirdzniecību, </w:t>
      </w:r>
      <w:proofErr w:type="spellStart"/>
      <w:r w:rsidRPr="00C53724">
        <w:t>klimatrīcību</w:t>
      </w:r>
      <w:proofErr w:type="spellEnd"/>
      <w:r w:rsidRPr="00C53724">
        <w:t xml:space="preserve"> un Parīzes nolīgumu, jo īpaši veicinot tīras tehnoloģijas; uzsver, cik svarīga ir Kanādā bāzēta globāla elektroenerģijas ražošana, kas paātrina pāreju uz tīru enerģiju, ražojot enerģiju no </w:t>
      </w:r>
      <w:proofErr w:type="spellStart"/>
      <w:r w:rsidRPr="00C53724">
        <w:t>atjaunīgajiem</w:t>
      </w:r>
      <w:proofErr w:type="spellEnd"/>
      <w:r w:rsidRPr="00C53724">
        <w:t xml:space="preserve"> resursiem; atzinīgi vērtē videi nekaitīgu preču tirdzniecības pieaugumu par 27 % kopš nolīguma provizoriskās piemērošanas sākuma; tomēr norāda, ka Kanāda ir uzskatījusi Eiropas leģislatīvo un neleģislatīvo iniciatīvu elementus attiecībā uz Eiropas zaļo kursu par tehniskiem šķēršļiem tirdzniecībai; aicina puses rast sinerģiju oglekļa </w:t>
      </w:r>
      <w:proofErr w:type="spellStart"/>
      <w:r w:rsidRPr="00C53724">
        <w:t>ievedkorekcijas</w:t>
      </w:r>
      <w:proofErr w:type="spellEnd"/>
      <w:r w:rsidRPr="00C53724">
        <w:t xml:space="preserve"> mehānisma (OIM) un citu iniciatīvu īstenošanā ES un kopīgi atbalstīt centienus izstrādāt vienotu vai salīdzināmu oglekļa emisiju metodiku starptautiskā līmenī;</w:t>
      </w:r>
    </w:p>
    <w:p w:rsidR="00981146" w:rsidRPr="00C53724" w:rsidRDefault="00981146" w:rsidP="00981146">
      <w:pPr>
        <w:pStyle w:val="NormalHanging12a"/>
      </w:pPr>
      <w:r w:rsidRPr="00C53724">
        <w:t>28.</w:t>
      </w:r>
      <w:r w:rsidRPr="00C53724">
        <w:tab/>
        <w:t xml:space="preserve">atzinīgi vērtē ES un Kanādas digitālās partnerības uzsākšanu kā svarīgu zaļās un digitālās pārkārtošanās veicinātāju; aicina abas puses stiprināt sadarbību </w:t>
      </w:r>
      <w:r w:rsidRPr="00C53724">
        <w:rPr>
          <w:i/>
          <w:iCs/>
        </w:rPr>
        <w:t>CETA</w:t>
      </w:r>
      <w:r w:rsidRPr="00C53724">
        <w:t xml:space="preserve"> īstenošanas jautājumos, kas skar abpusējas stratēģiskas intereses, piemēram, mākslīgais intelekts, </w:t>
      </w:r>
      <w:proofErr w:type="spellStart"/>
      <w:r w:rsidRPr="00C53724">
        <w:t>kiberdrošība</w:t>
      </w:r>
      <w:proofErr w:type="spellEnd"/>
      <w:r w:rsidRPr="00C53724">
        <w:t xml:space="preserve"> un cīņa pret dezinformāciju;</w:t>
      </w:r>
    </w:p>
    <w:p w:rsidR="00981146" w:rsidRPr="00C53724" w:rsidRDefault="00981146" w:rsidP="00981146">
      <w:pPr>
        <w:pStyle w:val="NormalHanging12a"/>
      </w:pPr>
      <w:r w:rsidRPr="00C53724">
        <w:t>29.</w:t>
      </w:r>
      <w:r w:rsidRPr="00C53724">
        <w:tab/>
        <w:t xml:space="preserve">atzinīgi vērtē vietējo konsultantu grupu (VKG) un Pilsoniskās sabiedrības foruma aktīvu iesaistīšanos </w:t>
      </w:r>
      <w:r w:rsidRPr="00C53724">
        <w:rPr>
          <w:i/>
          <w:iCs/>
        </w:rPr>
        <w:t>CETA</w:t>
      </w:r>
      <w:r w:rsidRPr="00C53724">
        <w:t xml:space="preserve"> īstenošanā un tās uzraudzību, pulcējot simtiem pārstāvju no visas ES un Kanādas, tostarp uzņēmumus, vides un darba aizsardzības organizācijas, pilsonisko sabiedrību, akadēmisko aprindu pārstāvjus, kā arī pirmiedzīvotāju pārstāvjus no Kanādas, un ar kopīgiem paziņojumiem aktīvi veicinot jo īpaši Tirdzniecības un ilgtspējīgas attīstības komitejas darbu; mudina Komisiju un Tirdzniecības un ilgtspējīgas attīstības padomi veikt turpmākus pasākumus saistībā ar minēto dalībnieku priekšlikumiem; uzsver, ka VKG būtu jāpilnvaro arī apsvērt visa nolīguma ietekmi uz ilgtspēju; uzsver, ka ir lietderīgi to darbā iekļaut apspriešanu par ieguldījumu aizsardzības nodaļas ietekmi uz ilgtspēju un cilvēktiesībām;</w:t>
      </w:r>
    </w:p>
    <w:p w:rsidR="00981146" w:rsidRPr="00C53724" w:rsidRDefault="00981146" w:rsidP="00981146">
      <w:pPr>
        <w:pStyle w:val="NormalHanging12a"/>
      </w:pPr>
      <w:r w:rsidRPr="00C53724">
        <w:t>30.</w:t>
      </w:r>
      <w:r w:rsidRPr="00C53724">
        <w:tab/>
        <w:t>aicina abas puses nodrošināt mazo lauksaimnieku un patērētāju labāku integrāciju vietējās konsultantu grupās un šajā nolūkā atjaunināt minēto grupu sastāvu;</w:t>
      </w:r>
    </w:p>
    <w:p w:rsidR="00981146" w:rsidRPr="00C53724" w:rsidRDefault="00981146" w:rsidP="00981146">
      <w:pPr>
        <w:pStyle w:val="NormalHanging12a"/>
      </w:pPr>
      <w:r w:rsidRPr="00C53724">
        <w:t>31.</w:t>
      </w:r>
      <w:r w:rsidRPr="00C53724">
        <w:tab/>
        <w:t xml:space="preserve">uzstāj, ka ir efektīvi jāīsteno īpašās saistības, kas attiecas uz tirdzniecības un ilgtspējīgas attīstības (TIA) noteikumiem, tostarp agrīno TIA pārskatīšanu, kas paredzēta Kopīgajā interpretējošajā instrumentā, taču nav veikta, jo tās ir neatņemama </w:t>
      </w:r>
      <w:r w:rsidRPr="00C53724">
        <w:rPr>
          <w:i/>
          <w:iCs/>
        </w:rPr>
        <w:t>CETA</w:t>
      </w:r>
      <w:r w:rsidRPr="00C53724">
        <w:t xml:space="preserve"> daļa un būtiskas izvirzīto mērķu sasniegšanai; pieņem zināšanai, ka 2024. gadā Komisija veiks </w:t>
      </w:r>
      <w:r w:rsidRPr="00C53724">
        <w:rPr>
          <w:i/>
          <w:iCs/>
        </w:rPr>
        <w:t>CETA</w:t>
      </w:r>
      <w:r w:rsidRPr="00C53724">
        <w:t xml:space="preserve">, tostarp tā TIA nodaļas, </w:t>
      </w:r>
      <w:proofErr w:type="spellStart"/>
      <w:r w:rsidRPr="00C53724">
        <w:rPr>
          <w:i/>
          <w:iCs/>
        </w:rPr>
        <w:t>ex</w:t>
      </w:r>
      <w:proofErr w:type="spellEnd"/>
      <w:r w:rsidRPr="00C53724">
        <w:rPr>
          <w:i/>
          <w:iCs/>
        </w:rPr>
        <w:t> post</w:t>
      </w:r>
      <w:r w:rsidRPr="00C53724">
        <w:t xml:space="preserve"> novērtējumu, iesaistot neatkarīgus ekspertus, un tā būs iespēja šo nolīgumu novērtēt, ņemot vērā Komisijas 2022. gada jūnija jauno pieeju, un apsvērt iespēju ieviest konkrētus priekšlikumus, ko Kanāda iesniedza 2020. gadā, lai dažus minētās nodaļas noteikumus padarītu saistošākus; atgādina, ka Apvienotā komiteja var pieņemt saistošu lēmumu, ar ko izveido īstenošanas ceļvežus, lai stiprinātu sadarbību jomās, kurās </w:t>
      </w:r>
      <w:proofErr w:type="spellStart"/>
      <w:r w:rsidRPr="00C53724">
        <w:rPr>
          <w:i/>
          <w:iCs/>
        </w:rPr>
        <w:t>ex</w:t>
      </w:r>
      <w:proofErr w:type="spellEnd"/>
      <w:r w:rsidRPr="00C53724">
        <w:rPr>
          <w:i/>
          <w:iCs/>
        </w:rPr>
        <w:t> post</w:t>
      </w:r>
      <w:r w:rsidRPr="00C53724">
        <w:t xml:space="preserve"> novērtējumā tiktu konstatēti trūkumi, un sagaida, ka tā šādi aktīvi rīkosies; uzskata, ka pirms centieniem panākt labāku TIA nodaļas īstenošanu vai to pārskatīt būtu jārīko jēgpilna visu ieinteresēto personu apspriešanās;</w:t>
      </w:r>
    </w:p>
    <w:p w:rsidR="00981146" w:rsidRPr="00C53724" w:rsidRDefault="00981146" w:rsidP="00981146">
      <w:pPr>
        <w:pStyle w:val="NormalHanging12a"/>
      </w:pPr>
      <w:r w:rsidRPr="00C53724">
        <w:t>32.</w:t>
      </w:r>
      <w:r w:rsidRPr="00C53724">
        <w:tab/>
        <w:t xml:space="preserve">norāda, ka kopš </w:t>
      </w:r>
      <w:r w:rsidRPr="00C53724">
        <w:rPr>
          <w:i/>
          <w:iCs/>
        </w:rPr>
        <w:t>CETA</w:t>
      </w:r>
      <w:r w:rsidRPr="00C53724">
        <w:t xml:space="preserve"> provizoriskās piemērošanas Apvienotā Karaliste vairs nav Eiropas Savienības dalībvalsts; norāda, ka Apvienotā Karaliste un Kanāda ir vienojušās par virkni divpusēju tirdzniecības nolīgumu, lai to ņemtu vērā, tostarp attiecībā uz TK izmantošanu un kumulāciju; norāda, ka dažus no šiem nolīgumiem pārtrauks piemērot pēc 2024. gada un tas var radīt nelielus traucējumus izveidotajās piegādes ķēdēs; aicina </w:t>
      </w:r>
      <w:r w:rsidRPr="00C53724">
        <w:lastRenderedPageBreak/>
        <w:t>Komisiju izpētīt iespēju noslēgt jaunus nolīgumus, ja minētie traucējumi negatīvi ietekmē Eiropas Savienības ekonomikas dalībniekus;</w:t>
      </w:r>
    </w:p>
    <w:p w:rsidR="00981146" w:rsidRPr="00C53724" w:rsidRDefault="00981146" w:rsidP="00981146">
      <w:pPr>
        <w:tabs>
          <w:tab w:val="left" w:pos="567"/>
        </w:tabs>
        <w:spacing w:after="240"/>
        <w:ind w:left="567" w:hanging="567"/>
      </w:pPr>
      <w:r w:rsidRPr="00C53724">
        <w:t>33.</w:t>
      </w:r>
      <w:r w:rsidRPr="00C53724">
        <w:tab/>
        <w:t xml:space="preserve">aicina abas puses pēc </w:t>
      </w:r>
      <w:r w:rsidRPr="00C53724">
        <w:rPr>
          <w:i/>
          <w:iCs/>
        </w:rPr>
        <w:t>CETA</w:t>
      </w:r>
      <w:r w:rsidRPr="00C53724">
        <w:t xml:space="preserve"> ratificēšanas to pārskatīt, izmantojot pārskatīšanas klauzulu, nolūkā ieviest piemērotu un efektīvu strīdu izšķiršanas mehānismu tirdzniecības un ilgtspējīgas attīstības jomā, tostarp dažādu izpildes metožu vidū apsverot sankcijas kā atturošu elementu, kas izmantojams kā galējais līdzeklis nopietnu pārkāpumu gadījumā; uzsver vēlmi apsvērt pašreizējās sadarbības </w:t>
      </w:r>
      <w:proofErr w:type="spellStart"/>
      <w:r w:rsidRPr="00C53724">
        <w:t>institucionalizāciju</w:t>
      </w:r>
      <w:proofErr w:type="spellEnd"/>
      <w:r w:rsidRPr="00C53724">
        <w:t xml:space="preserve"> tirdzniecības un dzimumu līdztiesības jomā; uzsver, ka šajā pārskatīšanā būtu jāapsver iespēja ieviest īpašus un stingrus noteikumus par pirmiedzīvotāju tautu tiesībām, tostarp SDO Konvenciju Nr. 169 un Apvienoto Nāciju Organizācijas Deklarāciju par pirmiedzīvotāju tautu tiesībām;</w:t>
      </w:r>
    </w:p>
    <w:p w:rsidR="00981146" w:rsidRPr="00C53724" w:rsidRDefault="00981146" w:rsidP="00981146">
      <w:pPr>
        <w:pStyle w:val="NormalHanging12a"/>
      </w:pPr>
      <w:r w:rsidRPr="00C53724">
        <w:t>34.</w:t>
      </w:r>
      <w:r w:rsidRPr="00C53724">
        <w:tab/>
        <w:t xml:space="preserve">mudina Beļģiju, Bulgāriju, Franciju, Grieķiju, Itāliju, Īriju, Kipru, Poliju, Ungāriju un Slovēniju drīzumā ratificēt </w:t>
      </w:r>
      <w:r w:rsidRPr="00C53724">
        <w:rPr>
          <w:i/>
          <w:iCs/>
        </w:rPr>
        <w:t>CETA</w:t>
      </w:r>
      <w:r w:rsidRPr="00C53724">
        <w:t xml:space="preserve">, jo tas būs svarīgi arī nolīguma atjaunināšanai, un atkārtoti uzsver, ka ir svarīgi ir pilnībā piemērot </w:t>
      </w:r>
      <w:r w:rsidRPr="00C53724">
        <w:rPr>
          <w:i/>
          <w:iCs/>
        </w:rPr>
        <w:t>CETA</w:t>
      </w:r>
      <w:r w:rsidRPr="00C53724">
        <w:t>, tostarp tā ieguldījumu aizsardzības noteikumus;</w:t>
      </w:r>
    </w:p>
    <w:p w:rsidR="00E365E1" w:rsidRPr="00C53724" w:rsidRDefault="00981146" w:rsidP="00C53724">
      <w:pPr>
        <w:ind w:left="567" w:hanging="567"/>
      </w:pPr>
      <w:r w:rsidRPr="00C53724">
        <w:t>35.</w:t>
      </w:r>
      <w:r w:rsidRPr="00C53724">
        <w:tab/>
        <w:t>uzdod priekšsēdētājai šo rezolūciju nosūtīt Padomei un Komisijai, kā arī Kanādas valdībai un parlamentam.</w:t>
      </w:r>
      <w:bookmarkStart w:id="9" w:name="TextBodyEnd"/>
      <w:bookmarkEnd w:id="9"/>
    </w:p>
    <w:sectPr w:rsidR="00E365E1" w:rsidRPr="00C53724" w:rsidSect="003E4DE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FC1" w:rsidRPr="003E4DEF" w:rsidRDefault="00817FC1">
      <w:r w:rsidRPr="003E4DEF">
        <w:separator/>
      </w:r>
    </w:p>
  </w:endnote>
  <w:endnote w:type="continuationSeparator" w:id="0">
    <w:p w:rsidR="00817FC1" w:rsidRPr="003E4DEF" w:rsidRDefault="00817FC1">
      <w:r w:rsidRPr="003E4D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4DE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4DE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4D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FC1" w:rsidRPr="003E4DEF" w:rsidRDefault="00817FC1">
      <w:r w:rsidRPr="003E4DEF">
        <w:separator/>
      </w:r>
    </w:p>
  </w:footnote>
  <w:footnote w:type="continuationSeparator" w:id="0">
    <w:p w:rsidR="00817FC1" w:rsidRPr="003E4DEF" w:rsidRDefault="00817FC1">
      <w:r w:rsidRPr="003E4DEF">
        <w:continuationSeparator/>
      </w:r>
    </w:p>
  </w:footnote>
  <w:footnote w:id="1">
    <w:p w:rsidR="00981146" w:rsidRPr="003A3729" w:rsidRDefault="00981146" w:rsidP="003E4DEF">
      <w:pPr>
        <w:pStyle w:val="FootnoteText"/>
        <w:ind w:left="567" w:hanging="567"/>
        <w:rPr>
          <w:sz w:val="24"/>
          <w:szCs w:val="24"/>
          <w:lang w:val="lv-LV" w:eastAsia="en-GB"/>
        </w:rPr>
      </w:pPr>
      <w:r w:rsidRPr="003A3729">
        <w:rPr>
          <w:rStyle w:val="FootnoteReference"/>
          <w:sz w:val="24"/>
          <w:szCs w:val="24"/>
          <w:lang w:val="lv-LV"/>
        </w:rPr>
        <w:footnoteRef/>
      </w:r>
      <w:r w:rsidR="003E4DEF" w:rsidRPr="003A3729">
        <w:rPr>
          <w:sz w:val="24"/>
          <w:szCs w:val="24"/>
          <w:lang w:val="lv-LV"/>
        </w:rPr>
        <w:t xml:space="preserve"> </w:t>
      </w:r>
      <w:r w:rsidR="003E4DEF" w:rsidRPr="003A3729">
        <w:rPr>
          <w:sz w:val="24"/>
          <w:szCs w:val="24"/>
          <w:lang w:val="lv-LV"/>
        </w:rPr>
        <w:tab/>
      </w:r>
      <w:hyperlink r:id="rId1" w:history="1">
        <w:r w:rsidRPr="00C53724">
          <w:rPr>
            <w:szCs w:val="24"/>
            <w:lang w:val="sv-SE" w:eastAsia="en-GB"/>
          </w:rPr>
          <w:t>OV L 11, 14.1.2017., 23. </w:t>
        </w:r>
        <w:proofErr w:type="spellStart"/>
        <w:r w:rsidRPr="00C53724">
          <w:rPr>
            <w:szCs w:val="24"/>
            <w:lang w:val="sv-SE" w:eastAsia="en-GB"/>
          </w:rPr>
          <w:t>lpp</w:t>
        </w:r>
        <w:proofErr w:type="spellEnd"/>
        <w:r w:rsidRPr="00C53724">
          <w:rPr>
            <w:szCs w:val="24"/>
            <w:lang w:val="sv-SE" w:eastAsia="en-GB"/>
          </w:rPr>
          <w:t>.</w:t>
        </w:r>
      </w:hyperlink>
    </w:p>
  </w:footnote>
  <w:footnote w:id="2">
    <w:p w:rsidR="00981146" w:rsidRPr="003A3729" w:rsidRDefault="00981146" w:rsidP="003E4DEF">
      <w:pPr>
        <w:pStyle w:val="FootnoteText"/>
        <w:ind w:left="567" w:hanging="567"/>
        <w:rPr>
          <w:sz w:val="24"/>
          <w:szCs w:val="24"/>
          <w:lang w:val="lv-LV" w:eastAsia="en-GB"/>
        </w:rPr>
      </w:pPr>
      <w:r w:rsidRPr="003A3729">
        <w:rPr>
          <w:rStyle w:val="FootnoteReference"/>
          <w:sz w:val="24"/>
          <w:szCs w:val="24"/>
          <w:lang w:val="lv-LV"/>
        </w:rPr>
        <w:footnoteRef/>
      </w:r>
      <w:r w:rsidR="003E4DEF" w:rsidRPr="003A3729">
        <w:rPr>
          <w:sz w:val="24"/>
          <w:szCs w:val="24"/>
          <w:lang w:val="lv-LV"/>
        </w:rPr>
        <w:t xml:space="preserve"> </w:t>
      </w:r>
      <w:r w:rsidR="003E4DEF" w:rsidRPr="003A3729">
        <w:rPr>
          <w:sz w:val="24"/>
          <w:szCs w:val="24"/>
          <w:lang w:val="lv-LV"/>
        </w:rPr>
        <w:tab/>
      </w:r>
      <w:hyperlink r:id="rId2" w:history="1">
        <w:r w:rsidRPr="00C53724">
          <w:rPr>
            <w:szCs w:val="24"/>
            <w:lang w:val="sv-SE" w:eastAsia="en-GB"/>
          </w:rPr>
          <w:t>OV L 11, 14.1.2017., 3. </w:t>
        </w:r>
        <w:proofErr w:type="spellStart"/>
        <w:r w:rsidRPr="00C53724">
          <w:rPr>
            <w:szCs w:val="24"/>
            <w:lang w:val="sv-SE" w:eastAsia="en-GB"/>
          </w:rPr>
          <w:t>lpp</w:t>
        </w:r>
        <w:proofErr w:type="spellEnd"/>
        <w:r w:rsidRPr="00C53724">
          <w:rPr>
            <w:szCs w:val="24"/>
            <w:lang w:val="sv-SE" w:eastAsia="en-GB"/>
          </w:rPr>
          <w:t>.</w:t>
        </w:r>
      </w:hyperlink>
    </w:p>
  </w:footnote>
  <w:footnote w:id="3">
    <w:p w:rsidR="00981146" w:rsidRPr="003A3729" w:rsidRDefault="00981146" w:rsidP="003E4DEF">
      <w:pPr>
        <w:pStyle w:val="FootnoteText"/>
        <w:ind w:left="567" w:hanging="567"/>
        <w:rPr>
          <w:sz w:val="24"/>
          <w:szCs w:val="24"/>
          <w:lang w:val="lv-LV" w:eastAsia="en-GB"/>
        </w:rPr>
      </w:pPr>
      <w:r w:rsidRPr="003A3729">
        <w:rPr>
          <w:rStyle w:val="FootnoteReference"/>
          <w:sz w:val="24"/>
          <w:szCs w:val="24"/>
          <w:lang w:val="lv-LV"/>
        </w:rPr>
        <w:footnoteRef/>
      </w:r>
      <w:r w:rsidR="003E4DEF" w:rsidRPr="003A3729">
        <w:rPr>
          <w:sz w:val="24"/>
          <w:szCs w:val="24"/>
          <w:lang w:val="lv-LV"/>
        </w:rPr>
        <w:t xml:space="preserve"> </w:t>
      </w:r>
      <w:r w:rsidR="003E4DEF" w:rsidRPr="003A3729">
        <w:rPr>
          <w:sz w:val="24"/>
          <w:szCs w:val="24"/>
          <w:lang w:val="lv-LV"/>
        </w:rPr>
        <w:tab/>
      </w:r>
      <w:hyperlink r:id="rId3" w:history="1">
        <w:r w:rsidRPr="00C53724">
          <w:rPr>
            <w:szCs w:val="24"/>
            <w:lang w:val="lv-LV" w:eastAsia="en-GB"/>
          </w:rPr>
          <w:t>OV C 252, 18.7.2018., 348. lpp.</w:t>
        </w:r>
      </w:hyperlink>
    </w:p>
  </w:footnote>
  <w:footnote w:id="4">
    <w:p w:rsidR="00981146" w:rsidRPr="003E4DEF" w:rsidRDefault="00981146" w:rsidP="003E4DEF">
      <w:pPr>
        <w:pStyle w:val="FootnoteText"/>
        <w:ind w:left="567" w:hanging="567"/>
        <w:rPr>
          <w:sz w:val="24"/>
          <w:lang w:val="lv-LV"/>
        </w:rPr>
      </w:pPr>
      <w:r w:rsidRPr="003E4DEF">
        <w:rPr>
          <w:rStyle w:val="FootnoteReference"/>
          <w:sz w:val="24"/>
          <w:lang w:val="lv-LV"/>
        </w:rPr>
        <w:footnoteRef/>
      </w:r>
      <w:r w:rsidR="003E4DEF" w:rsidRPr="003E4DEF">
        <w:rPr>
          <w:sz w:val="24"/>
          <w:lang w:val="lv-LV"/>
        </w:rPr>
        <w:t xml:space="preserve"> </w:t>
      </w:r>
      <w:r w:rsidR="003E4DEF" w:rsidRPr="003E4DEF">
        <w:rPr>
          <w:sz w:val="24"/>
          <w:lang w:val="lv-LV"/>
        </w:rPr>
        <w:tab/>
      </w:r>
      <w:r w:rsidRPr="003E4DEF">
        <w:rPr>
          <w:sz w:val="24"/>
          <w:lang w:val="lv-LV"/>
        </w:rPr>
        <w:t>Tiesas 2017. gada 16. maija Atzinums saskaņā ar LESD 218. panta 11. punktu par Brīvās tirdzniecības nolīgumu starp Eiropas Savienību un Singapūras Republiku, ECLI:EU:C:2017:376.</w:t>
      </w:r>
    </w:p>
  </w:footnote>
  <w:footnote w:id="5">
    <w:p w:rsidR="00981146" w:rsidRPr="003E4DEF" w:rsidRDefault="00981146" w:rsidP="003E4DEF">
      <w:pPr>
        <w:pStyle w:val="FootnoteText"/>
        <w:ind w:left="567" w:hanging="567"/>
        <w:rPr>
          <w:sz w:val="24"/>
          <w:lang w:val="lv-LV"/>
        </w:rPr>
      </w:pPr>
      <w:r w:rsidRPr="003E4DEF">
        <w:rPr>
          <w:rStyle w:val="FootnoteReference"/>
          <w:sz w:val="24"/>
          <w:lang w:val="lv-LV"/>
        </w:rPr>
        <w:footnoteRef/>
      </w:r>
      <w:r w:rsidR="003E4DEF" w:rsidRPr="003E4DEF">
        <w:rPr>
          <w:sz w:val="24"/>
          <w:lang w:val="lv-LV"/>
        </w:rPr>
        <w:t xml:space="preserve"> </w:t>
      </w:r>
      <w:r w:rsidR="003E4DEF" w:rsidRPr="003E4DEF">
        <w:rPr>
          <w:sz w:val="24"/>
          <w:lang w:val="lv-LV"/>
        </w:rPr>
        <w:tab/>
      </w:r>
      <w:r w:rsidRPr="003E4DEF">
        <w:rPr>
          <w:sz w:val="24"/>
          <w:lang w:val="lv-LV"/>
        </w:rPr>
        <w:t>OV C 32, 27.1.2023., 96. lpp.</w:t>
      </w:r>
    </w:p>
  </w:footnote>
  <w:footnote w:id="6">
    <w:p w:rsidR="00981146" w:rsidRPr="003E4DEF" w:rsidRDefault="00981146" w:rsidP="003E4DEF">
      <w:pPr>
        <w:pStyle w:val="FootnoteText"/>
        <w:ind w:left="567" w:hanging="567"/>
        <w:rPr>
          <w:sz w:val="24"/>
          <w:lang w:val="lv-LV"/>
        </w:rPr>
      </w:pPr>
      <w:r w:rsidRPr="003E4DEF">
        <w:rPr>
          <w:rStyle w:val="FootnoteReference"/>
          <w:sz w:val="24"/>
          <w:lang w:val="lv-LV"/>
        </w:rPr>
        <w:footnoteRef/>
      </w:r>
      <w:r w:rsidR="003E4DEF" w:rsidRPr="003E4DEF">
        <w:rPr>
          <w:sz w:val="24"/>
          <w:lang w:val="lv-LV"/>
        </w:rPr>
        <w:t xml:space="preserve"> </w:t>
      </w:r>
      <w:r w:rsidR="003E4DEF" w:rsidRPr="003E4DEF">
        <w:rPr>
          <w:sz w:val="24"/>
          <w:lang w:val="lv-LV"/>
        </w:rPr>
        <w:tab/>
      </w:r>
      <w:r w:rsidRPr="003E4DEF">
        <w:rPr>
          <w:sz w:val="24"/>
          <w:lang w:val="lv-LV"/>
        </w:rPr>
        <w:t>Komisijas 2021. gada 9. decembra paziņojums “Ekonomikas, kas darbojas cilvēku labā, veidošana. Rīcības plāns sociālajai ekonomikai” (COM(2021)0778).</w:t>
      </w:r>
    </w:p>
  </w:footnote>
  <w:footnote w:id="7">
    <w:p w:rsidR="00981146" w:rsidRPr="003E4DEF" w:rsidRDefault="00981146" w:rsidP="003E4DEF">
      <w:pPr>
        <w:pStyle w:val="FootnoteText"/>
        <w:ind w:left="567" w:hanging="567"/>
        <w:rPr>
          <w:sz w:val="24"/>
          <w:lang w:val="lv-LV"/>
        </w:rPr>
      </w:pPr>
      <w:r w:rsidRPr="003E4DEF">
        <w:rPr>
          <w:rStyle w:val="FootnoteReference"/>
          <w:sz w:val="24"/>
          <w:lang w:val="lv-LV"/>
        </w:rPr>
        <w:footnoteRef/>
      </w:r>
      <w:r w:rsidR="003E4DEF" w:rsidRPr="003E4DEF">
        <w:rPr>
          <w:sz w:val="24"/>
          <w:lang w:val="lv-LV"/>
        </w:rPr>
        <w:t xml:space="preserve"> </w:t>
      </w:r>
      <w:r w:rsidR="003E4DEF" w:rsidRPr="003E4DEF">
        <w:rPr>
          <w:sz w:val="24"/>
          <w:lang w:val="lv-LV"/>
        </w:rPr>
        <w:tab/>
      </w:r>
      <w:r w:rsidRPr="003E4DEF">
        <w:rPr>
          <w:sz w:val="24"/>
          <w:lang w:val="lv-LV"/>
        </w:rPr>
        <w:t>Eiropas Parlamenta 2022. gada 10. marta rezolūcija par ES trešo dzimumu līdztiesības rīcības plānu (OV C 347, 9.9.2022., 150.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4DE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4DE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4D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0/2023"/>
    <w:docVar w:name="dvlangue" w:val="LV"/>
    <w:docVar w:name="dvnumam" w:val="0"/>
    <w:docVar w:name="dvpe" w:val="753.671"/>
    <w:docVar w:name="dvrapporteur" w:val="Referents: "/>
    <w:docVar w:name="dvtitre" w:val="Eiropas Parlamenta 2024. gada XX. XXX  rezolūcija par ES un Kanādas Visaptverošā ekonomikas un tirdzniecības nolīguma (CETA) īstenošanu(2023/2001(INI))"/>
  </w:docVars>
  <w:rsids>
    <w:rsidRoot w:val="00817FC1"/>
    <w:rsid w:val="00002272"/>
    <w:rsid w:val="000169E1"/>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3729"/>
    <w:rsid w:val="003E15D4"/>
    <w:rsid w:val="003E4DE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17FC1"/>
    <w:rsid w:val="00842779"/>
    <w:rsid w:val="00865F67"/>
    <w:rsid w:val="00881A7B"/>
    <w:rsid w:val="008840E5"/>
    <w:rsid w:val="00887B3E"/>
    <w:rsid w:val="008C2AC6"/>
    <w:rsid w:val="00930C23"/>
    <w:rsid w:val="0093193B"/>
    <w:rsid w:val="009509D8"/>
    <w:rsid w:val="00950B64"/>
    <w:rsid w:val="00981146"/>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372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C73D9"/>
  <w15:chartTrackingRefBased/>
  <w15:docId w15:val="{27F4ADEE-FA75-415A-9159-FA85DA975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fn,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81146"/>
    <w:rPr>
      <w:b/>
    </w:rPr>
  </w:style>
  <w:style w:type="paragraph" w:customStyle="1" w:styleId="NormalHanging12a">
    <w:name w:val="NormalHanging12a"/>
    <w:basedOn w:val="Normal"/>
    <w:link w:val="NormalHanging12aChar"/>
    <w:rsid w:val="00981146"/>
    <w:pPr>
      <w:spacing w:after="240"/>
      <w:ind w:left="567" w:hanging="567"/>
    </w:pPr>
  </w:style>
  <w:style w:type="paragraph" w:customStyle="1" w:styleId="EPComma">
    <w:name w:val="EPComma"/>
    <w:basedOn w:val="Normal"/>
    <w:rsid w:val="00981146"/>
    <w:pPr>
      <w:spacing w:before="480" w:after="240"/>
    </w:pPr>
  </w:style>
  <w:style w:type="character" w:styleId="Hyperlink">
    <w:name w:val="Hyperlink"/>
    <w:basedOn w:val="DefaultParagraphFont"/>
    <w:rsid w:val="00981146"/>
    <w:rPr>
      <w:color w:val="0563C1" w:themeColor="hyperlink"/>
      <w:u w:val="single"/>
    </w:rPr>
  </w:style>
  <w:style w:type="character" w:customStyle="1" w:styleId="NormalHanging12aChar">
    <w:name w:val="NormalHanging12a Char"/>
    <w:basedOn w:val="DefaultParagraphFont"/>
    <w:link w:val="NormalHanging12a"/>
    <w:rsid w:val="00981146"/>
    <w:rPr>
      <w:sz w:val="24"/>
      <w:lang w:val="lv-LV"/>
    </w:rPr>
  </w:style>
  <w:style w:type="paragraph" w:styleId="BalloonText">
    <w:name w:val="Balloon Text"/>
    <w:basedOn w:val="Normal"/>
    <w:link w:val="BalloonTextChar"/>
    <w:rsid w:val="003A3729"/>
    <w:rPr>
      <w:rFonts w:ascii="Segoe UI" w:hAnsi="Segoe UI" w:cs="Segoe UI"/>
      <w:sz w:val="18"/>
      <w:szCs w:val="18"/>
    </w:rPr>
  </w:style>
  <w:style w:type="character" w:customStyle="1" w:styleId="BalloonTextChar">
    <w:name w:val="Balloon Text Char"/>
    <w:basedOn w:val="DefaultParagraphFont"/>
    <w:link w:val="BalloonText"/>
    <w:rsid w:val="003A3729"/>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LV/TXT/?uri=CELEX:52017AP0030" TargetMode="External"/><Relationship Id="rId2" Type="http://schemas.openxmlformats.org/officeDocument/2006/relationships/hyperlink" Target="https://eur-lex.europa.eu/legal-content/LV/TXT/?uri=CELEX:22017X0114(01)" TargetMode="External"/><Relationship Id="rId1" Type="http://schemas.openxmlformats.org/officeDocument/2006/relationships/hyperlink" Target="http://data.europa.eu/eli/agree_internation/2017/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4BA13-4312-42E3-9FEA-9AF3EE28B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3380</Words>
  <Characters>22035</Characters>
  <Application>Microsoft Office Word</Application>
  <DocSecurity>0</DocSecurity>
  <Lines>183</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2024-02-21T14:17:00Z</dcterms:created>
  <dcterms:modified xsi:type="dcterms:W3CDTF">2024-02-21T14:17:00Z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A9-0400/2023</vt:lpwstr>
  </property>
  <property fmtid="{D5CDD505-2E9C-101B-9397-08002B2CF9AE}" pid="4" name="&lt;Type&gt;">
    <vt:lpwstr>RR</vt:lpwstr>
  </property>
</Properties>
</file>