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7C2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37C2D" w:rsidRDefault="00850ADB" w:rsidP="0010095E">
            <w:pPr>
              <w:pStyle w:val="EPName"/>
            </w:pPr>
            <w:r w:rsidRPr="00237C2D">
              <w:t>Parlament Europejski</w:t>
            </w:r>
          </w:p>
          <w:p w:rsidR="00751A4A" w:rsidRPr="00237C2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7C2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37C2D" w:rsidRDefault="00187494" w:rsidP="0010095E">
            <w:pPr>
              <w:pStyle w:val="EPLogo"/>
            </w:pPr>
            <w:r w:rsidRPr="00237C2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37C2D" w:rsidRDefault="00D058B8" w:rsidP="004C5D52">
      <w:pPr>
        <w:pStyle w:val="LineTop"/>
      </w:pPr>
    </w:p>
    <w:p w:rsidR="00680577" w:rsidRPr="00237C2D" w:rsidRDefault="00850ADB" w:rsidP="00680577">
      <w:pPr>
        <w:pStyle w:val="EPBodyTA1"/>
      </w:pPr>
      <w:r w:rsidRPr="00237C2D">
        <w:t>TEKSTY PRZYJĘTE</w:t>
      </w:r>
    </w:p>
    <w:p w:rsidR="00D058B8" w:rsidRPr="00237C2D" w:rsidRDefault="00D058B8" w:rsidP="00D058B8">
      <w:pPr>
        <w:pStyle w:val="LineBottom"/>
      </w:pPr>
    </w:p>
    <w:p w:rsidR="00850ADB" w:rsidRPr="00237C2D" w:rsidRDefault="00850ADB" w:rsidP="00850ADB">
      <w:pPr>
        <w:pStyle w:val="ATHeading1"/>
      </w:pPr>
      <w:bookmarkStart w:id="0" w:name="TANumber"/>
      <w:r w:rsidRPr="00237C2D">
        <w:t>P9_TA(2024)00</w:t>
      </w:r>
      <w:bookmarkEnd w:id="0"/>
      <w:r w:rsidR="0014036F">
        <w:t>26</w:t>
      </w:r>
    </w:p>
    <w:p w:rsidR="00850ADB" w:rsidRPr="003837E0" w:rsidRDefault="003837E0" w:rsidP="00850ADB">
      <w:pPr>
        <w:pStyle w:val="ATHeading2"/>
      </w:pPr>
      <w:r w:rsidRPr="003837E0">
        <w:t>Wdrażanie kompleksowej umowy gospodarczo-handlowej UE–Kanada (CETA)</w:t>
      </w:r>
    </w:p>
    <w:p w:rsidR="00850ADB" w:rsidRPr="00237C2D" w:rsidRDefault="00850ADB" w:rsidP="00850ADB">
      <w:pPr>
        <w:rPr>
          <w:i/>
          <w:vanish/>
        </w:rPr>
      </w:pPr>
      <w:r w:rsidRPr="00237C2D">
        <w:rPr>
          <w:i/>
        </w:rPr>
        <w:fldChar w:fldCharType="begin"/>
      </w:r>
      <w:r w:rsidRPr="00237C2D">
        <w:rPr>
          <w:i/>
        </w:rPr>
        <w:instrText xml:space="preserve"> TC"(</w:instrText>
      </w:r>
      <w:bookmarkStart w:id="1" w:name="DocNumber"/>
      <w:r w:rsidRPr="00237C2D">
        <w:rPr>
          <w:i/>
        </w:rPr>
        <w:instrText>A9-0400/2023</w:instrText>
      </w:r>
      <w:bookmarkEnd w:id="1"/>
      <w:r w:rsidRPr="00237C2D">
        <w:rPr>
          <w:i/>
        </w:rPr>
        <w:instrText xml:space="preserve"> - Sprawozdawca: Javier Moreno </w:instrText>
      </w:r>
      <w:proofErr w:type="spellStart"/>
      <w:r w:rsidRPr="00237C2D">
        <w:rPr>
          <w:i/>
        </w:rPr>
        <w:instrText>Sánchez</w:instrText>
      </w:r>
      <w:proofErr w:type="spellEnd"/>
      <w:proofErr w:type="gramStart"/>
      <w:r w:rsidRPr="00237C2D">
        <w:rPr>
          <w:i/>
        </w:rPr>
        <w:instrText>)"\l</w:instrText>
      </w:r>
      <w:proofErr w:type="gramEnd"/>
      <w:r w:rsidRPr="00237C2D">
        <w:rPr>
          <w:i/>
        </w:rPr>
        <w:instrText xml:space="preserve">3 \n&gt; \* MERGEFORMAT </w:instrText>
      </w:r>
      <w:r w:rsidRPr="00237C2D">
        <w:rPr>
          <w:i/>
        </w:rPr>
        <w:fldChar w:fldCharType="end"/>
      </w:r>
    </w:p>
    <w:p w:rsidR="00850ADB" w:rsidRPr="00237C2D" w:rsidRDefault="00850ADB" w:rsidP="00850ADB">
      <w:pPr>
        <w:rPr>
          <w:vanish/>
        </w:rPr>
      </w:pPr>
      <w:bookmarkStart w:id="2" w:name="Commission"/>
      <w:r w:rsidRPr="00237C2D">
        <w:rPr>
          <w:vanish/>
        </w:rPr>
        <w:t>Komisja Handlu Międzynarodowego</w:t>
      </w:r>
      <w:bookmarkEnd w:id="2"/>
    </w:p>
    <w:p w:rsidR="00850ADB" w:rsidRPr="00237C2D" w:rsidRDefault="00850ADB" w:rsidP="00850ADB">
      <w:pPr>
        <w:rPr>
          <w:vanish/>
        </w:rPr>
      </w:pPr>
      <w:bookmarkStart w:id="3" w:name="PE"/>
      <w:r w:rsidRPr="00237C2D">
        <w:rPr>
          <w:vanish/>
        </w:rPr>
        <w:t>PE753.671</w:t>
      </w:r>
      <w:bookmarkEnd w:id="3"/>
    </w:p>
    <w:p w:rsidR="00850ADB" w:rsidRPr="00237C2D" w:rsidRDefault="00850ADB" w:rsidP="00850ADB">
      <w:pPr>
        <w:pStyle w:val="ATHeading3"/>
      </w:pPr>
      <w:bookmarkStart w:id="4" w:name="Sujet"/>
      <w:r w:rsidRPr="00237C2D">
        <w:t xml:space="preserve">Rezolucja Parlamentu Europejskiego z dnia </w:t>
      </w:r>
      <w:r w:rsidR="00937AC2">
        <w:t>17</w:t>
      </w:r>
      <w:bookmarkStart w:id="5" w:name="_GoBack"/>
      <w:bookmarkEnd w:id="5"/>
      <w:r w:rsidR="00B13185">
        <w:t xml:space="preserve"> stycznia</w:t>
      </w:r>
      <w:r w:rsidRPr="00237C2D">
        <w:t xml:space="preserve"> 2024 r. w sprawie wdrażania kompleksowej umowy gospodarczo-handlowej UE–Kanada (CETA)</w:t>
      </w:r>
      <w:bookmarkEnd w:id="4"/>
      <w:r w:rsidRPr="00237C2D">
        <w:t xml:space="preserve"> </w:t>
      </w:r>
      <w:bookmarkStart w:id="6" w:name="References"/>
      <w:r w:rsidRPr="00237C2D">
        <w:t>(2023/2001(INI))</w:t>
      </w:r>
      <w:bookmarkEnd w:id="6"/>
    </w:p>
    <w:p w:rsidR="00850ADB" w:rsidRPr="00237C2D" w:rsidRDefault="00850ADB" w:rsidP="00850ADB"/>
    <w:p w:rsidR="00D54280" w:rsidRPr="00237C2D" w:rsidRDefault="00D54280" w:rsidP="00D54280">
      <w:pPr>
        <w:pStyle w:val="EPComma"/>
      </w:pPr>
      <w:bookmarkStart w:id="7" w:name="TextBodyBegin"/>
      <w:bookmarkEnd w:id="7"/>
      <w:r w:rsidRPr="00237C2D">
        <w:rPr>
          <w:i/>
        </w:rPr>
        <w:t>Parlament Europejski</w:t>
      </w:r>
      <w:r w:rsidRPr="00237C2D">
        <w:t>,</w:t>
      </w:r>
    </w:p>
    <w:p w:rsidR="00D54280" w:rsidRPr="00237C2D" w:rsidRDefault="00D54280" w:rsidP="00D54280">
      <w:pPr>
        <w:pStyle w:val="NormalHanging12a"/>
      </w:pPr>
      <w:r w:rsidRPr="00237C2D">
        <w:t>–</w:t>
      </w:r>
      <w:r w:rsidRPr="00237C2D">
        <w:tab/>
        <w:t>uwzględniając kompleksową umowę gospodarczo-handlową (CETA) między Kanadą a Unią Europejską i jej państwami członkowskimi</w:t>
      </w:r>
      <w:r w:rsidRPr="00237C2D">
        <w:rPr>
          <w:rStyle w:val="FootnoteReference"/>
        </w:rPr>
        <w:footnoteReference w:id="1"/>
      </w:r>
      <w:r w:rsidRPr="00237C2D">
        <w:t>,</w:t>
      </w:r>
    </w:p>
    <w:p w:rsidR="00D54280" w:rsidRPr="00237C2D" w:rsidRDefault="00D54280" w:rsidP="00D54280">
      <w:pPr>
        <w:pStyle w:val="NormalHanging12a"/>
        <w:rPr>
          <w:b/>
          <w:i/>
        </w:rPr>
      </w:pPr>
      <w:r w:rsidRPr="00237C2D">
        <w:t>–</w:t>
      </w:r>
      <w:r w:rsidRPr="00237C2D">
        <w:tab/>
        <w:t>uwzględniając Wspólny instrument interpretacyjny dotyczący kompleksowej umowy gospodarczo-handlowej między Kanadą a Unią Europejską i jej państwami członkowskimi (CETA)</w:t>
      </w:r>
      <w:r w:rsidRPr="00237C2D">
        <w:rPr>
          <w:rStyle w:val="FootnoteReference"/>
        </w:rPr>
        <w:footnoteReference w:id="2"/>
      </w:r>
      <w:r w:rsidRPr="00237C2D">
        <w:t>,</w:t>
      </w:r>
    </w:p>
    <w:p w:rsidR="00D54280" w:rsidRPr="00237C2D" w:rsidRDefault="00D54280" w:rsidP="00D54280">
      <w:pPr>
        <w:pStyle w:val="NormalHanging12a"/>
      </w:pPr>
      <w:r w:rsidRPr="00237C2D">
        <w:t>–</w:t>
      </w:r>
      <w:r w:rsidRPr="00237C2D">
        <w:tab/>
        <w:t>uwzględniając partnerstwo strategiczne w zakresie surowców krytycznych między Kanadą a Unią Europejską i jej państwami członkowskimi, uzgodnione i zainicjowane na szczycie UE–Kanada w dniach 14–15 czerwca 2021 r.,</w:t>
      </w:r>
    </w:p>
    <w:p w:rsidR="00D54280" w:rsidRPr="00237C2D" w:rsidRDefault="00D54280" w:rsidP="00D54280">
      <w:pPr>
        <w:pStyle w:val="NormalHanging12a"/>
      </w:pPr>
      <w:r w:rsidRPr="00237C2D">
        <w:t>–</w:t>
      </w:r>
      <w:r w:rsidRPr="00237C2D">
        <w:tab/>
        <w:t>uwzględniając decyzję nr X/2023 Wspólnego Komitetu CETA w sprawie wykładni niektórych warunków określonych w art. 8.10, załączniku 8-A i art. 8.39,</w:t>
      </w:r>
    </w:p>
    <w:p w:rsidR="00D54280" w:rsidRPr="00237C2D" w:rsidRDefault="00D54280" w:rsidP="00D54280">
      <w:pPr>
        <w:pStyle w:val="NormalHanging12a"/>
      </w:pPr>
      <w:r w:rsidRPr="00237C2D">
        <w:t>–</w:t>
      </w:r>
      <w:r w:rsidRPr="00237C2D">
        <w:tab/>
        <w:t>uwzględniając swoje stanowisko z 15 lutego 2017 r. dotyczące projektu decyzji Rady w sprawie zawarcia kompleksowej umowy gospodarczo-handlowej (CETA) między Kanadą a Unią Europejską i jej państwami członkowskimi</w:t>
      </w:r>
      <w:r w:rsidRPr="00237C2D">
        <w:rPr>
          <w:rStyle w:val="FootnoteReference"/>
        </w:rPr>
        <w:footnoteReference w:id="3"/>
      </w:r>
      <w:r w:rsidRPr="00237C2D">
        <w:t>,</w:t>
      </w:r>
    </w:p>
    <w:p w:rsidR="00D54280" w:rsidRPr="00237C2D" w:rsidRDefault="00D54280" w:rsidP="00D54280">
      <w:pPr>
        <w:pStyle w:val="NormalHanging12a"/>
      </w:pPr>
      <w:r w:rsidRPr="00237C2D">
        <w:t>–</w:t>
      </w:r>
      <w:r w:rsidRPr="00237C2D">
        <w:tab/>
        <w:t xml:space="preserve">uwzględniając opinię 2/15 Trybunału Sprawiedliwości Unii Europejskiej z 16 maja 2017 r. wydaną na podstawie art. 218 ust. 11 TFUE w sprawie umowy o wolnym </w:t>
      </w:r>
      <w:r w:rsidRPr="00237C2D">
        <w:lastRenderedPageBreak/>
        <w:t>handlu między Unią Europejską a Republiką Singapuru</w:t>
      </w:r>
      <w:r w:rsidRPr="00237C2D">
        <w:rPr>
          <w:rStyle w:val="FootnoteReference"/>
        </w:rPr>
        <w:footnoteReference w:id="4"/>
      </w:r>
      <w:r w:rsidRPr="00237C2D">
        <w:t>,</w:t>
      </w:r>
    </w:p>
    <w:p w:rsidR="00D54280" w:rsidRPr="00237C2D" w:rsidRDefault="00D54280" w:rsidP="00D54280">
      <w:pPr>
        <w:pStyle w:val="NormalHanging12a"/>
      </w:pPr>
      <w:r w:rsidRPr="00237C2D">
        <w:t>–</w:t>
      </w:r>
      <w:r w:rsidRPr="00237C2D">
        <w:tab/>
        <w:t>uwzględniając wspólne deklaracje wewnętrznych grup doradczych UE i Kanady,</w:t>
      </w:r>
    </w:p>
    <w:p w:rsidR="00D54280" w:rsidRPr="00237C2D" w:rsidRDefault="00D54280" w:rsidP="00D54280">
      <w:pPr>
        <w:pStyle w:val="NormalHanging12a"/>
      </w:pPr>
      <w:r w:rsidRPr="00237C2D">
        <w:t>–</w:t>
      </w:r>
      <w:r w:rsidRPr="00237C2D">
        <w:tab/>
        <w:t>uwzględniając sprawozdanie Komisji z 11 października 2022 r. z wdrażania i egzekwowania umów handlowych UE (COM(2022)0730),</w:t>
      </w:r>
    </w:p>
    <w:p w:rsidR="00D54280" w:rsidRPr="00237C2D" w:rsidRDefault="00D54280" w:rsidP="00D54280">
      <w:pPr>
        <w:pStyle w:val="NormalHanging12a"/>
      </w:pPr>
      <w:r w:rsidRPr="00237C2D">
        <w:t>–</w:t>
      </w:r>
      <w:r w:rsidRPr="00237C2D">
        <w:tab/>
        <w:t>uwzględniając komunikat Komisji z 22 czerwca 2022 r. pt. „Siła partnerstw handlowych: współpraca na rzecz zielonego i sprawiedliwego wzrostu” (COM(2022)0409),</w:t>
      </w:r>
    </w:p>
    <w:p w:rsidR="00D54280" w:rsidRPr="00237C2D" w:rsidRDefault="00D54280" w:rsidP="00D54280">
      <w:pPr>
        <w:pStyle w:val="NormalHanging12a"/>
      </w:pPr>
      <w:r w:rsidRPr="00237C2D">
        <w:t>–</w:t>
      </w:r>
      <w:r w:rsidRPr="00237C2D">
        <w:tab/>
        <w:t>uwzględniając sprawozdanie Wspólnego Komitetu CETA z 31 marca 2023 r. po jego trzecim posiedzeniu,</w:t>
      </w:r>
    </w:p>
    <w:p w:rsidR="00D54280" w:rsidRPr="00237C2D" w:rsidRDefault="00D54280" w:rsidP="00D54280">
      <w:pPr>
        <w:pStyle w:val="NormalHanging12a"/>
      </w:pPr>
      <w:r w:rsidRPr="00237C2D">
        <w:t>–</w:t>
      </w:r>
      <w:r w:rsidRPr="00237C2D">
        <w:tab/>
        <w:t>uwzględniając swoją rezolucję z 23 czerwca 2022 r. w sprawie przyszłości polityki UE dotyczącej inwestycji międzynarodowych</w:t>
      </w:r>
      <w:r w:rsidRPr="00237C2D">
        <w:rPr>
          <w:rStyle w:val="FootnoteReference"/>
        </w:rPr>
        <w:footnoteReference w:id="5"/>
      </w:r>
      <w:r w:rsidRPr="00237C2D">
        <w:t>,</w:t>
      </w:r>
    </w:p>
    <w:p w:rsidR="00D54280" w:rsidRPr="00237C2D" w:rsidRDefault="00D54280" w:rsidP="00D54280">
      <w:pPr>
        <w:pStyle w:val="NormalHanging12a"/>
      </w:pPr>
      <w:r w:rsidRPr="00237C2D">
        <w:t>–</w:t>
      </w:r>
      <w:r w:rsidRPr="00237C2D">
        <w:tab/>
        <w:t>uwzględniając zalecenia Wspólnego Komitetu CETA z 26 września 2018 r. w sprawie handlu, działań w dziedzinie klimatu i porozumienia paryskiego, w sprawie handlu i płci oraz w sprawie małych i średnich przedsiębiorstw (MŚP),</w:t>
      </w:r>
    </w:p>
    <w:p w:rsidR="00D54280" w:rsidRPr="00237C2D" w:rsidRDefault="00D54280" w:rsidP="00D54280">
      <w:pPr>
        <w:pStyle w:val="NormalHanging12a"/>
      </w:pPr>
      <w:r w:rsidRPr="00237C2D">
        <w:t>–</w:t>
      </w:r>
      <w:r w:rsidRPr="00237C2D">
        <w:tab/>
        <w:t>uwzględniając komunikat Komisji z 5 marca 2020 r. pt. „Unia równości: strategia na rzecz równouprawnienia płci na lata 2020–2025” (COM(2020)0152),</w:t>
      </w:r>
    </w:p>
    <w:p w:rsidR="00D54280" w:rsidRPr="00237C2D" w:rsidRDefault="00D54280" w:rsidP="00D54280">
      <w:pPr>
        <w:pStyle w:val="NormalHanging12a"/>
      </w:pPr>
      <w:r w:rsidRPr="00237C2D">
        <w:t>–</w:t>
      </w:r>
      <w:r w:rsidRPr="00237C2D">
        <w:tab/>
        <w:t>uwzględniając sprawozdania różnych wyspecjalizowanych komitetów, Forum Społeczeństwa Obywatelskiego i Forum Współpracy Regulacyjnej,</w:t>
      </w:r>
    </w:p>
    <w:p w:rsidR="00D54280" w:rsidRPr="00237C2D" w:rsidRDefault="00D54280" w:rsidP="00D54280">
      <w:pPr>
        <w:pStyle w:val="NormalHanging12a"/>
      </w:pPr>
      <w:r w:rsidRPr="00237C2D">
        <w:t>–</w:t>
      </w:r>
      <w:r w:rsidRPr="00237C2D">
        <w:tab/>
        <w:t>uwzględniając szóste sprawozdanie oceniające Międzyrządowego Zespołu ds. Zmian Klimatu (IPCC) opublikowane 20 marca 2023 r.,</w:t>
      </w:r>
    </w:p>
    <w:p w:rsidR="00D54280" w:rsidRPr="00237C2D" w:rsidRDefault="00D54280" w:rsidP="00D54280">
      <w:pPr>
        <w:pStyle w:val="NormalHanging12a"/>
      </w:pPr>
      <w:r w:rsidRPr="00237C2D">
        <w:t>–</w:t>
      </w:r>
      <w:r w:rsidRPr="00237C2D">
        <w:tab/>
        <w:t>uwzględniając kolejne audyty Dyrekcji Generalnej ds. Zdrowia i Bezpieczeństwa Żywności Komisji Europejskiej przeprowadzone w latach 2014, 2019 i 2022 oraz dotyczące identyfikowalności i jakości istniejących systemów kontroli regulujących produkcję mięsa wołowego i wieprzowego przeznaczonego na wywóz do Unii Europejskiej,</w:t>
      </w:r>
    </w:p>
    <w:p w:rsidR="00D54280" w:rsidRPr="00237C2D" w:rsidRDefault="00D54280" w:rsidP="00D54280">
      <w:pPr>
        <w:pStyle w:val="NormalHanging12a"/>
      </w:pPr>
      <w:r w:rsidRPr="00237C2D">
        <w:t>–</w:t>
      </w:r>
      <w:r w:rsidRPr="00237C2D">
        <w:tab/>
        <w:t>uwzględniając art. 54 Regulaminu oraz art. 1 ust. 1 lit. e) i załącznik 3 do decyzji Konferencji Przewodniczących z 12 grudnia 2002 r. dotyczącej procedury udzielania zgody na sporządzenie sprawozdań z własnej inicjatywy,</w:t>
      </w:r>
    </w:p>
    <w:p w:rsidR="00D54280" w:rsidRPr="00237C2D" w:rsidRDefault="00D54280" w:rsidP="00D54280">
      <w:pPr>
        <w:pStyle w:val="NormalHanging12a"/>
      </w:pPr>
      <w:r w:rsidRPr="00237C2D">
        <w:t>–</w:t>
      </w:r>
      <w:r w:rsidRPr="00237C2D">
        <w:tab/>
        <w:t>uwzględniając opinię przedstawioną przez Komisję Rolnictwa i Rozwoju Wsi,</w:t>
      </w:r>
    </w:p>
    <w:p w:rsidR="00D54280" w:rsidRPr="00237C2D" w:rsidRDefault="00D54280" w:rsidP="00D54280">
      <w:pPr>
        <w:pStyle w:val="NormalHanging12a"/>
      </w:pPr>
      <w:r w:rsidRPr="00237C2D">
        <w:t>–</w:t>
      </w:r>
      <w:r w:rsidRPr="00237C2D">
        <w:tab/>
        <w:t>uwzględniając sprawozdanie Komisji Handlu Międzynarodowego (A9-0400/2023),</w:t>
      </w:r>
    </w:p>
    <w:p w:rsidR="00D54280" w:rsidRPr="00237C2D" w:rsidRDefault="00D54280" w:rsidP="00D54280">
      <w:pPr>
        <w:pStyle w:val="NormalHanging12a"/>
      </w:pPr>
      <w:r w:rsidRPr="00237C2D">
        <w:t>A.</w:t>
      </w:r>
      <w:r w:rsidRPr="00237C2D">
        <w:tab/>
      </w:r>
      <w:proofErr w:type="gramStart"/>
      <w:r w:rsidRPr="00237C2D">
        <w:t>mając</w:t>
      </w:r>
      <w:proofErr w:type="gramEnd"/>
      <w:r w:rsidRPr="00237C2D">
        <w:t xml:space="preserve"> na uwadze, że CETA była jedną z pierwszych (po Korei Południowej) umów handlowych, które UE zawarła z inną znaczącą gospodarką OECD; mając na uwadze, że była to również najbardziej ambitna i kompleksowa umowa zawarta wówczas przez </w:t>
      </w:r>
      <w:r w:rsidRPr="00237C2D">
        <w:lastRenderedPageBreak/>
        <w:t>UE i Kanadę, obejmująca m.in. bezprecedensowy dostęp do zamówień publicznych na szczeblu federalnym i niższym niż federalny;</w:t>
      </w:r>
    </w:p>
    <w:p w:rsidR="00D54280" w:rsidRPr="00237C2D" w:rsidRDefault="00D54280" w:rsidP="00D54280">
      <w:pPr>
        <w:pStyle w:val="NormalHanging12a"/>
      </w:pPr>
      <w:r w:rsidRPr="00237C2D">
        <w:t>B.</w:t>
      </w:r>
      <w:r w:rsidRPr="00237C2D">
        <w:tab/>
        <w:t>mając na uwadze, że CETA jest tymczasowo stosowana od 21 września 2017 r., tj. od ponad sześciu lat;</w:t>
      </w:r>
    </w:p>
    <w:p w:rsidR="00D54280" w:rsidRPr="00237C2D" w:rsidRDefault="00D54280" w:rsidP="00D54280">
      <w:pPr>
        <w:pStyle w:val="NormalHanging12a"/>
      </w:pPr>
      <w:r w:rsidRPr="00237C2D">
        <w:t>C.</w:t>
      </w:r>
      <w:r w:rsidRPr="00237C2D">
        <w:tab/>
      </w:r>
      <w:proofErr w:type="gramStart"/>
      <w:r w:rsidRPr="00237C2D">
        <w:t>mając</w:t>
      </w:r>
      <w:proofErr w:type="gramEnd"/>
      <w:r w:rsidRPr="00237C2D">
        <w:t xml:space="preserve"> na uwadze, że nadal nie stosuje się istotnych przepisów tej umowy, w szczególności dotyczących ochrony inwestycji, ponieważ nie wszystkie państwa członkowskie ratyfikowały umowę;</w:t>
      </w:r>
    </w:p>
    <w:p w:rsidR="00D54280" w:rsidRPr="00237C2D" w:rsidRDefault="00D54280" w:rsidP="00D54280">
      <w:pPr>
        <w:pStyle w:val="NormalHanging12a"/>
      </w:pPr>
      <w:r w:rsidRPr="00237C2D">
        <w:t>D.</w:t>
      </w:r>
      <w:r w:rsidRPr="00237C2D">
        <w:tab/>
      </w:r>
      <w:proofErr w:type="gramStart"/>
      <w:r w:rsidRPr="00237C2D">
        <w:t>mając</w:t>
      </w:r>
      <w:proofErr w:type="gramEnd"/>
      <w:r w:rsidRPr="00237C2D">
        <w:t xml:space="preserve"> na uwadze, że Kanada i UE przygotowują ostateczny projekt decyzji Wspólnego Komitetu CETA w sprawie wykładni niektórych warunków określonych w art. 8.10, załączniku 8-A i art. 8.39 doprecyzowującej zakres uprawnień do wprowadzania regulacji w kontekście rozdziału dotyczącego ochrony inwestycji oraz ułatwienia dostępu MŚP do systemu sądów ds. inwestycji w ramach CETA;</w:t>
      </w:r>
    </w:p>
    <w:p w:rsidR="00D54280" w:rsidRPr="00237C2D" w:rsidRDefault="00D54280" w:rsidP="00D54280">
      <w:pPr>
        <w:pStyle w:val="NormalHanging12a"/>
      </w:pPr>
      <w:r w:rsidRPr="00237C2D">
        <w:t>E.</w:t>
      </w:r>
      <w:r w:rsidRPr="00237C2D">
        <w:tab/>
      </w:r>
      <w:proofErr w:type="gramStart"/>
      <w:r w:rsidRPr="00237C2D">
        <w:t>mając</w:t>
      </w:r>
      <w:proofErr w:type="gramEnd"/>
      <w:r w:rsidRPr="00237C2D">
        <w:t xml:space="preserve"> na uwadze, że UE była trzecim co do wielkości partnerem handlowym Kanady po Stanach Zjednoczonych i Chinach i odpowiadała za 8,2 % jej handlu towarami na świecie w 2022 r.; mając na uwadze, że w tym samym roku Kanada zajęła 14. </w:t>
      </w:r>
      <w:proofErr w:type="gramStart"/>
      <w:r w:rsidRPr="00237C2D">
        <w:t>miejsce</w:t>
      </w:r>
      <w:proofErr w:type="gramEnd"/>
      <w:r w:rsidRPr="00237C2D">
        <w:t xml:space="preserve"> wśród międzynarodowych partnerów handlowych UE, a jej wymiana handlowa z UE stanowiła niemal 1,4 % całkowitego zewnętrznego handlu towarami UE;</w:t>
      </w:r>
    </w:p>
    <w:p w:rsidR="00D54280" w:rsidRPr="00237C2D" w:rsidRDefault="00D54280" w:rsidP="00D54280">
      <w:pPr>
        <w:pStyle w:val="NormalHanging12a"/>
      </w:pPr>
      <w:r w:rsidRPr="00237C2D">
        <w:t>F.</w:t>
      </w:r>
      <w:r w:rsidRPr="00237C2D">
        <w:tab/>
      </w:r>
      <w:proofErr w:type="gramStart"/>
      <w:r w:rsidRPr="00237C2D">
        <w:t>mając</w:t>
      </w:r>
      <w:proofErr w:type="gramEnd"/>
      <w:r w:rsidRPr="00237C2D">
        <w:t xml:space="preserve"> na uwadze, że rosyjska wojna napastnicza przeciwko Ukrainie ukazała potrzebę dywersyfikacji umów handlowych i zmniejszenia zależności od ograniczonej liczby partnerów handlowych, jeśli chodzi o przywóz i wywóz, oraz znaczenie zawierania umów handlowych z partnerami o zbieżnych poglądach;</w:t>
      </w:r>
    </w:p>
    <w:p w:rsidR="00D54280" w:rsidRPr="00237C2D" w:rsidRDefault="00D54280" w:rsidP="00D54280">
      <w:pPr>
        <w:pStyle w:val="NormalHanging12a"/>
      </w:pPr>
      <w:r w:rsidRPr="00237C2D">
        <w:t>G.</w:t>
      </w:r>
      <w:r w:rsidRPr="00237C2D">
        <w:tab/>
        <w:t>mając na uwadze, że skuteczne wdrożenie i monitorowanie umów handlowych UE jest kluczowym priorytetem Parlamentu, Rady i Komisji do celów monitorowania, oceny i dostosowywania wspólnej polityki handlowej UE; mając na uwadze, że sprawozdania dotyczące wdrażania umowy z Kanadą stanowią szybki i użyteczny wkład w refleksję nad funkcjonowaniem umów handlowych UE;</w:t>
      </w:r>
    </w:p>
    <w:p w:rsidR="00D54280" w:rsidRPr="00237C2D" w:rsidRDefault="00D54280" w:rsidP="00D54280">
      <w:pPr>
        <w:pStyle w:val="NormalHanging12a"/>
      </w:pPr>
      <w:r w:rsidRPr="00237C2D">
        <w:t>H.</w:t>
      </w:r>
      <w:r w:rsidRPr="00237C2D">
        <w:tab/>
      </w:r>
      <w:proofErr w:type="gramStart"/>
      <w:r w:rsidRPr="00237C2D">
        <w:t>mając</w:t>
      </w:r>
      <w:proofErr w:type="gramEnd"/>
      <w:r w:rsidRPr="00237C2D">
        <w:t xml:space="preserve"> na uwadze, że ramy instytucjonalne CETA są obecnie w pełni wdrożone i obejmują 19 wyspecjalizowanych komitetów, Forum Współpracy Regulacyjnej i Forum Społeczeństwa Obywatelskiego, a ich programy i sprawozdania są publicznie dostępne;</w:t>
      </w:r>
    </w:p>
    <w:p w:rsidR="00D54280" w:rsidRPr="00237C2D" w:rsidRDefault="00D54280" w:rsidP="00D54280">
      <w:pPr>
        <w:pStyle w:val="NormalHanging12a"/>
      </w:pPr>
      <w:r w:rsidRPr="00237C2D">
        <w:t>I.</w:t>
      </w:r>
      <w:r w:rsidRPr="00237C2D">
        <w:tab/>
      </w:r>
      <w:proofErr w:type="gramStart"/>
      <w:r w:rsidRPr="00237C2D">
        <w:t>mając</w:t>
      </w:r>
      <w:proofErr w:type="gramEnd"/>
      <w:r w:rsidRPr="00237C2D">
        <w:t xml:space="preserve"> na uwadze, że Kanada była pierwszym krajem, z którym UE nawiązała partnerstwo strategiczne w sprawie surowców krytycznych, uzupełnione następnie inicjatywą na rzecz zielonego sojuszu, partnerstwem cyfrowym UE–Kanada i partnerstwem oceanicznym;</w:t>
      </w:r>
    </w:p>
    <w:p w:rsidR="00D54280" w:rsidRPr="00237C2D" w:rsidRDefault="00D54280" w:rsidP="00D54280">
      <w:pPr>
        <w:pStyle w:val="NormalHanging12a"/>
      </w:pPr>
      <w:r w:rsidRPr="00237C2D">
        <w:t>J.</w:t>
      </w:r>
      <w:r w:rsidRPr="00237C2D">
        <w:tab/>
        <w:t>mając na uwadze, że Kanada bierze czynny udział w dialogu WTO na temat zanieczyszczenia tworzywami sztucznymi i handlu zrównoważonymi środowiskowo tworzywami sztucznymi oraz pracach komisji WTO ds. handlu i środowiska, lecz nie przystąpiła do inicjatywy na rzecz reformy dotacji do paliw kopalnych (FFSR);</w:t>
      </w:r>
    </w:p>
    <w:p w:rsidR="00D54280" w:rsidRPr="00237C2D" w:rsidRDefault="00D54280" w:rsidP="00D54280">
      <w:pPr>
        <w:pStyle w:val="NormalHanging12a"/>
      </w:pPr>
      <w:r w:rsidRPr="00237C2D">
        <w:t>K.</w:t>
      </w:r>
      <w:r w:rsidRPr="00237C2D">
        <w:tab/>
        <w:t>mając na uwadze, że zebrano wystarczającą ilość doświadczeń, danych i informacji statystycznych, aby ocenić tymczasowe wdrażanie CETA;</w:t>
      </w:r>
    </w:p>
    <w:p w:rsidR="00D54280" w:rsidRPr="00237C2D" w:rsidRDefault="00D54280" w:rsidP="00D54280">
      <w:pPr>
        <w:pStyle w:val="NormalHanging12a"/>
      </w:pPr>
      <w:r w:rsidRPr="00237C2D">
        <w:t>L.</w:t>
      </w:r>
      <w:r w:rsidRPr="00237C2D">
        <w:tab/>
      </w:r>
      <w:proofErr w:type="gramStart"/>
      <w:r w:rsidRPr="00237C2D">
        <w:t>mając</w:t>
      </w:r>
      <w:proofErr w:type="gramEnd"/>
      <w:r w:rsidRPr="00237C2D">
        <w:t xml:space="preserve"> na uwadze, że Kanada jest światowym liderem współtworzenia polityki publicznej na rzecz gospodarki społecznej i solidarnej, oraz mając na uwadze, że w </w:t>
      </w:r>
      <w:r w:rsidRPr="00237C2D">
        <w:lastRenderedPageBreak/>
        <w:t xml:space="preserve">niektórych prowincjach, np. w </w:t>
      </w:r>
      <w:proofErr w:type="spellStart"/>
      <w:r w:rsidRPr="00237C2D">
        <w:t>Quebecu</w:t>
      </w:r>
      <w:proofErr w:type="spellEnd"/>
      <w:r w:rsidRPr="00237C2D">
        <w:t>, gospodarka społeczna i solidarna stanowi niemal 10 % produktu krajowego brutto, zapewniając ok. 210 000 miejsc pracy;</w:t>
      </w:r>
    </w:p>
    <w:p w:rsidR="00D54280" w:rsidRPr="00237C2D" w:rsidRDefault="00D54280" w:rsidP="00D54280">
      <w:pPr>
        <w:pStyle w:val="NormalHanging12a"/>
        <w:rPr>
          <w:b/>
          <w:szCs w:val="24"/>
        </w:rPr>
      </w:pPr>
      <w:r w:rsidRPr="00237C2D">
        <w:rPr>
          <w:b/>
          <w:i/>
        </w:rPr>
        <w:t>Główne wnioski i zalecenia</w:t>
      </w:r>
    </w:p>
    <w:p w:rsidR="00D54280" w:rsidRPr="00237C2D" w:rsidRDefault="00D54280" w:rsidP="00D54280">
      <w:pPr>
        <w:pStyle w:val="NormalHanging12a"/>
      </w:pPr>
      <w:r w:rsidRPr="00237C2D">
        <w:t>1.</w:t>
      </w:r>
      <w:r w:rsidRPr="00237C2D">
        <w:tab/>
      </w:r>
      <w:proofErr w:type="gramStart"/>
      <w:r w:rsidRPr="00237C2D">
        <w:t>podkreśla</w:t>
      </w:r>
      <w:proofErr w:type="gramEnd"/>
      <w:r w:rsidRPr="00237C2D">
        <w:t>, że podstawą CETA są stosunki oparte na zasadach i wartościach, które sprzyjają bezpieczniejszemu i stabilniejszemu otoczeniu gospodarczemu między partnerami handlowymi, co jest szczególnie ważne w kontekście zwiększonej niepewności geopolitycznej, w oparciu o zasady zrównoważonego rozwoju i poszanowanie praw człowieka oraz normy pracy i środowiska; uważa, że taka przewidywalność może sprzyjać wzrostowi gospodarczemu, wymianie towarów, świadczeniu usług, uczestnictwu w zamówieniach publicznych, atrakcyjności inwestycji, jakości zatrudnienia, tworzeniu większej liczby lepiej płatnych miejsc pracy oraz poprawie warunków życia i pracy; zauważa jednak, że CETA powinna jeszcze bardziej wzmocnić zrównoważony rozwój, szanować prawa człowieka i prawa pracownicze oraz chronić klimat;</w:t>
      </w:r>
    </w:p>
    <w:p w:rsidR="00D54280" w:rsidRPr="00237C2D" w:rsidRDefault="00D54280" w:rsidP="00D54280">
      <w:pPr>
        <w:pStyle w:val="NormalHanging12a"/>
      </w:pPr>
      <w:r w:rsidRPr="00237C2D">
        <w:t>2.</w:t>
      </w:r>
      <w:r w:rsidRPr="00237C2D">
        <w:tab/>
      </w:r>
      <w:proofErr w:type="gramStart"/>
      <w:r w:rsidRPr="00237C2D">
        <w:t>z</w:t>
      </w:r>
      <w:proofErr w:type="gramEnd"/>
      <w:r w:rsidRPr="00237C2D">
        <w:t xml:space="preserve"> satysfakcją zauważa, że handel towarami między UE a Kanadą wzrósł o 66 % w latach 2016–2022, podczas gdy handel usługami między UE a Kanadą wzrósł o 46 %, a wartość ta przewyższa inny handel zewnętrzny UE; odnotowuje fakt, że wywóz towarów z UE do Kanady wzrósł o 47 % w ciągu pierwszych pięciu lat tymczasowego stosowania umowy, a największe zyski odnotowano w przypadku produktów wytworzonych, produktów chemicznych, żywności i produktów pochodzenia zwierzęcego; zauważa, że większość wątpliwości wyrażonych przed rozpoczęciem tymczasowego stosowania umowy dotyczących napływu kanadyjskich produktów rolnych na rynek UE okazała się bezpodstawna; zauważa, że wywóz towarów z Kanady do UE wzrósł o 46,4 %, a największe zyski </w:t>
      </w:r>
      <w:proofErr w:type="gramStart"/>
      <w:r w:rsidRPr="00237C2D">
        <w:t>odnotowano</w:t>
      </w:r>
      <w:proofErr w:type="gramEnd"/>
      <w:r w:rsidRPr="00237C2D">
        <w:t xml:space="preserve"> w przypadku rud, kamieni i metali szlachetnych oraz paliw mineralnych i olejów mineralnych;</w:t>
      </w:r>
    </w:p>
    <w:p w:rsidR="00D54280" w:rsidRPr="00237C2D" w:rsidRDefault="00D54280" w:rsidP="00D54280">
      <w:pPr>
        <w:pStyle w:val="NormalHanging12a"/>
        <w:rPr>
          <w:bCs/>
          <w:iCs/>
        </w:rPr>
      </w:pPr>
      <w:r w:rsidRPr="00237C2D">
        <w:t>3.</w:t>
      </w:r>
      <w:r w:rsidRPr="00237C2D">
        <w:tab/>
      </w:r>
      <w:proofErr w:type="gramStart"/>
      <w:r w:rsidRPr="00237C2D">
        <w:t>wskazuje</w:t>
      </w:r>
      <w:proofErr w:type="gramEnd"/>
      <w:r w:rsidRPr="00237C2D">
        <w:t xml:space="preserve"> na znaczny wzrost dwustronnej wymiany handlowej żywnością i produktami rolnymi między UE a Kanadą, w ramach której wywóz unijnych produktów rolno-spożywczych do Kanady wzrósł o 62 %, a przywóz do UE takich produktów z Kanady wzrósł o 52 % od początku tymczasowego stosowania CETA; zwraca uwagę, że przyniosło to znaczne korzyści producentom i eksporterom po obu stronach, a także przyczyniło się do tworzenia miejsc pracy; z zadowoleniem przyjmuje znaczny wzrost liczby unijnych mikroprzedsiębiorstw oraz małych i średnich przedsiębiorstw eksportujących do Kanady, a także wzrost wartości wywożonych produktów, i zwraca uwagę, że umowa w znacznym stopniu służy ich interesom;</w:t>
      </w:r>
    </w:p>
    <w:p w:rsidR="00D54280" w:rsidRPr="00237C2D" w:rsidRDefault="00D54280" w:rsidP="00D54280">
      <w:pPr>
        <w:pStyle w:val="NormalHanging12a"/>
        <w:rPr>
          <w:szCs w:val="24"/>
        </w:rPr>
      </w:pPr>
      <w:r w:rsidRPr="00237C2D">
        <w:t>4.</w:t>
      </w:r>
      <w:r w:rsidRPr="00237C2D">
        <w:tab/>
      </w:r>
      <w:proofErr w:type="gramStart"/>
      <w:r w:rsidRPr="00237C2D">
        <w:t>podkreśla</w:t>
      </w:r>
      <w:proofErr w:type="gramEnd"/>
      <w:r w:rsidRPr="00237C2D">
        <w:t>, że przy wdrażaniu CETA, podobnie jak w przypadku wszystkich innych umów handlowych UE, trzeba należycie uwzględnić poszanowanie zrównoważonej produkcji rolnej, wzajemność i utrzymanie wysokich norm, w szczególności norm sanitarnych, fitosanitarnych i weterynaryjnych, a także prowadzenie odpowiednich kontroli i monitorowanie wzajemnej zgodności z tymi normami;</w:t>
      </w:r>
    </w:p>
    <w:p w:rsidR="00D54280" w:rsidRPr="00237C2D" w:rsidRDefault="00D54280" w:rsidP="00D54280">
      <w:pPr>
        <w:pStyle w:val="NormalHanging12a"/>
      </w:pPr>
      <w:r w:rsidRPr="00237C2D">
        <w:t>5.</w:t>
      </w:r>
      <w:r w:rsidRPr="00237C2D">
        <w:tab/>
      </w:r>
      <w:proofErr w:type="gramStart"/>
      <w:r w:rsidRPr="00237C2D">
        <w:t>z</w:t>
      </w:r>
      <w:proofErr w:type="gramEnd"/>
      <w:r w:rsidRPr="00237C2D">
        <w:t xml:space="preserve"> zadowoleniem przyjmuje fakt, że przepływy handlowe między stronami ogólnie okazały się odporne w czasie pandemii, a także w czasie trudnej sytuacji spowodowanej rosyjską wojną napastniczą w Ukrainie, opierając się presji na łańcuchy dostaw i przyczyniając się do wzmocnienia bezpieczeństwa żywnościowego; uważa, że CETA powinna służyć jako narzędzie ułatwiające współpracę i wspólne działania na rzecz odbudowy Ukrainy po zakończeniu wojny;</w:t>
      </w:r>
    </w:p>
    <w:p w:rsidR="00D54280" w:rsidRPr="00237C2D" w:rsidRDefault="00D54280" w:rsidP="00D54280">
      <w:pPr>
        <w:pStyle w:val="NormalHanging12a"/>
      </w:pPr>
      <w:r w:rsidRPr="00237C2D">
        <w:lastRenderedPageBreak/>
        <w:t>6.</w:t>
      </w:r>
      <w:r w:rsidRPr="00237C2D">
        <w:tab/>
      </w:r>
      <w:proofErr w:type="gramStart"/>
      <w:r w:rsidRPr="00237C2D">
        <w:t>podkreśla</w:t>
      </w:r>
      <w:proofErr w:type="gramEnd"/>
      <w:r w:rsidRPr="00237C2D">
        <w:t>, że eksport z UE ma kluczowe znaczenie dla zatrudnienia; z zadowoleniem przyjmuje fakt, że CETA przyczyniła się do nowych możliwości zatrudnienia, ponieważ liczba miejsc pracy wspieranych przez eksport z UE do Kanady wzrosła z 624 000 w 2017 r. do ponad 700 000 w 2021 r.;</w:t>
      </w:r>
    </w:p>
    <w:p w:rsidR="00D54280" w:rsidRPr="00237C2D" w:rsidRDefault="00D54280" w:rsidP="00D54280">
      <w:pPr>
        <w:pStyle w:val="NormalHanging12a"/>
      </w:pPr>
      <w:r w:rsidRPr="00237C2D">
        <w:t>7.</w:t>
      </w:r>
      <w:r w:rsidRPr="00237C2D">
        <w:tab/>
      </w:r>
      <w:proofErr w:type="gramStart"/>
      <w:r w:rsidRPr="00237C2D">
        <w:t>podkreśla</w:t>
      </w:r>
      <w:proofErr w:type="gramEnd"/>
      <w:r w:rsidRPr="00237C2D">
        <w:t xml:space="preserve"> znaczenie ułatwień w zakresie mobilności pracowników przyznanych w ramach CETA, ponieważ pomaga to zapewnić odpowiedni transfer umiejętności między UE a Kanadą i uniknąć niedoborów wykwalifikowanej siły roboczej; w związku z tym z zadowoleniem przyjmuje pomyślne zawarcie w 2022 r. pierwszej umowy o wzajemnym uznawaniu kwalifikacji architektów w ramach CETA; jest zdania, że niebieska karta UE mogłaby jeszcze bardziej ułatwić wymianę między dwiema konkurencyjnymi gospodarkami o wysoko wykształconym społeczeństwie; podkreśla, że programy wymiany między instytucjami naukowymi z UE i Kanady mogą w większym stopniu przyczynić się do niezbędnej mobilności pracowników w perspektywie długoterminowej;</w:t>
      </w:r>
    </w:p>
    <w:p w:rsidR="00D54280" w:rsidRPr="00237C2D" w:rsidRDefault="00D54280" w:rsidP="00D54280">
      <w:pPr>
        <w:pStyle w:val="NormalHanging12a"/>
      </w:pPr>
      <w:r w:rsidRPr="00237C2D">
        <w:t>8.</w:t>
      </w:r>
      <w:r w:rsidRPr="00237C2D">
        <w:tab/>
      </w:r>
      <w:proofErr w:type="gramStart"/>
      <w:r w:rsidRPr="00237C2D">
        <w:t>zauważa</w:t>
      </w:r>
      <w:proofErr w:type="gramEnd"/>
      <w:r w:rsidRPr="00237C2D">
        <w:t xml:space="preserve">, że dwie najważniejsze kategorie produktów, które UE i Kanada eksportują między sobą, to maszyny i sprzęt transportowy, które odpowiadają za około 34 % zarówno wywozu, jak i przywozu, oraz produkty chemiczne, farmaceutyczne i produkty z tworzyw sztucznych, stanowiące około 20 % całkowitego wywozu i przywozu; zauważa jednak, że sektor górnictwa i wydobycia, zwłaszcza sektor nawozów, niklu, uranu i piasków bitumicznych, ma duże znaczenie w przypadku importu z Kanady w porównaniu z innymi partnerami handlowymi, gdyż odpowiada za prawie 20 % całkowitego przywozu z Kanady do UE; podkreśla, że dostęp do surowców krytycznych od wiarygodnych partnerów handlowych, w tym Kanady, jest kluczowym elementem strategii UE w </w:t>
      </w:r>
      <w:proofErr w:type="gramStart"/>
      <w:r w:rsidRPr="00237C2D">
        <w:t>zakresie</w:t>
      </w:r>
      <w:proofErr w:type="gramEnd"/>
      <w:r w:rsidRPr="00237C2D">
        <w:t xml:space="preserve"> surowców krytycznych oraz ma zasadnicze znaczenie dla zapewnienia zrównoważonej transformacji ekologicznej;</w:t>
      </w:r>
    </w:p>
    <w:p w:rsidR="00D54280" w:rsidRPr="00237C2D" w:rsidRDefault="00D54280" w:rsidP="00D54280">
      <w:pPr>
        <w:pStyle w:val="NormalHanging12a"/>
      </w:pPr>
      <w:r w:rsidRPr="00237C2D">
        <w:t>9.</w:t>
      </w:r>
      <w:r w:rsidRPr="00237C2D">
        <w:tab/>
      </w:r>
      <w:proofErr w:type="gramStart"/>
      <w:r w:rsidRPr="00237C2D">
        <w:t>podkreśla</w:t>
      </w:r>
      <w:proofErr w:type="gramEnd"/>
      <w:r w:rsidRPr="00237C2D">
        <w:t>, że współpraca w zakresie dostępu do surowców krytycznych ma zasadnicze znaczenie w obecnej sytuacji geopolitycznej, a także dla ekologicznej i sprawiedliwej transformacji, i z zadowoleniem przyjmuje podpisanie w lipcu 2021 r. strategicznego partnerstwa UE–Kanada w sprawie surowców krytycznych w ramach CETA, które powinno pomóc w integracji łańcuchów wartości surowców UE i Kanady oraz wspierać współpracę w dziedzinie nauki, technologii i innowacji; zauważa, że stanowi to istotny element europejskiej strategii bezpieczeństwa gospodarczego; jest przekonany, że surowce należy wydobywać z poszanowaniem norm środowiskowych, praw pracowniczych i praw człowieka, w tym praw ludności rdzennej;</w:t>
      </w:r>
    </w:p>
    <w:p w:rsidR="00D54280" w:rsidRPr="00237C2D" w:rsidRDefault="00D54280" w:rsidP="00D54280">
      <w:pPr>
        <w:pStyle w:val="NormalHanging12a"/>
      </w:pPr>
      <w:r w:rsidRPr="00237C2D">
        <w:t>10.</w:t>
      </w:r>
      <w:r w:rsidRPr="00237C2D">
        <w:tab/>
      </w:r>
      <w:proofErr w:type="gramStart"/>
      <w:r w:rsidRPr="00237C2D">
        <w:t>z</w:t>
      </w:r>
      <w:proofErr w:type="gramEnd"/>
      <w:r w:rsidRPr="00237C2D">
        <w:t xml:space="preserve"> zadowoleniem przyjmuje fakt, że przedsiębiorstwa europejskie i kanadyjskie coraz częściej i stale korzystają z preferencji przyznanych na mocy CETA, przy czym wskaźniki wykorzystania preferencji zarówno w przypadku UE, jak i Kanady wyniosły 60 % w 2022 r. w porównaniu z, odpowiednio, 40 % i 52 % w 2018 r.; zauważa z zainteresowaniem, że mniejsze przedsiębiorstwa korzystają z preferencji w większym stopniu niż duże przedsiębiorstwa oraz że wskaźniki wykorzystania są znacznie wyższe w przypadku przemysłu rolno-spożywczego w porównaniu z przemysłem wytwórczym; podkreśla, że niskie wskaźniki wykorzystania w kluczowych sektorach w kilku państwach członkowskich UE wskazują na utracone oszczędności kosztów i zmniejszenie korzyści społecznych wynikających z umowy; zachęca obie </w:t>
      </w:r>
      <w:proofErr w:type="gramStart"/>
      <w:r w:rsidRPr="00237C2D">
        <w:t>strony</w:t>
      </w:r>
      <w:proofErr w:type="gramEnd"/>
      <w:r w:rsidRPr="00237C2D">
        <w:t xml:space="preserve">, by w dalszym ciągu promowały działania na rzecz podnoszenia świadomości na temat CETA wśród zainteresowanych stron w obu regionach, w tym za pośrednictwem unijnej platformy „Access2Markets”; podkreśla znaczenie udostępnienia nowych możliwości </w:t>
      </w:r>
      <w:r w:rsidRPr="00237C2D">
        <w:lastRenderedPageBreak/>
        <w:t>przedsiębiorstwom i konsumentom za pomocą handlu cyfrowego zgodnie ze standardami unijnymi;</w:t>
      </w:r>
    </w:p>
    <w:p w:rsidR="00D54280" w:rsidRPr="00237C2D" w:rsidRDefault="00D54280" w:rsidP="00D54280">
      <w:pPr>
        <w:pStyle w:val="NormalHanging12a"/>
      </w:pPr>
      <w:r w:rsidRPr="00237C2D">
        <w:t>11.</w:t>
      </w:r>
      <w:r w:rsidRPr="00237C2D">
        <w:tab/>
      </w:r>
      <w:proofErr w:type="gramStart"/>
      <w:r w:rsidRPr="00237C2D">
        <w:t>zauważa</w:t>
      </w:r>
      <w:proofErr w:type="gramEnd"/>
      <w:r w:rsidRPr="00237C2D">
        <w:t xml:space="preserve">, że wskaźnik wykorzystania kontyngentu taryfowego na przywóz wołowiny i cielęciny do UE wyniósł jedynie 3 % w 2021 r. oraz że eksporterzy z UE zwiększyli swój udział w rynku w Kanadzie, w związku z czym UE eksportuje do Kanady więcej mrożonej wołowiny niż z niej importuje; zauważa jednak, że wskaźnik wykorzystania kontyngentu taryfowego z biegiem czasu może ulec zmianie w wyniku wahań na innych rynkach eksportowych Kanady, zwłaszcza w USA i Chinach; </w:t>
      </w:r>
    </w:p>
    <w:p w:rsidR="00D54280" w:rsidRPr="00237C2D" w:rsidRDefault="00D54280" w:rsidP="00D54280">
      <w:pPr>
        <w:pStyle w:val="NormalHanging12a"/>
      </w:pPr>
      <w:r w:rsidRPr="00237C2D">
        <w:t>12.</w:t>
      </w:r>
      <w:r w:rsidRPr="00237C2D">
        <w:tab/>
      </w:r>
      <w:proofErr w:type="gramStart"/>
      <w:r w:rsidRPr="00237C2D">
        <w:t>podkreśla</w:t>
      </w:r>
      <w:proofErr w:type="gramEnd"/>
      <w:r w:rsidRPr="00237C2D">
        <w:t>, że według sprawozdania z audytu przeprowadzonego przez Dyrekcję Generalną ds. Zdrowia i Bezpieczeństwa Żywności Komisji Europejskiej Kanada nie wdrożyła jeszcze w zadowalający sposób zaleceń sformułowanych w ramach audytu dyrekcji generalnej dotyczących identyfikowalności i jakości istniejących systemów kontroli regulujących produkcję mięsa wołowego i wieprzowego przeznaczonego na wywóz do Unii Europejskiej;</w:t>
      </w:r>
    </w:p>
    <w:p w:rsidR="00D54280" w:rsidRPr="00237C2D" w:rsidRDefault="00D54280" w:rsidP="00D54280">
      <w:pPr>
        <w:pStyle w:val="NormalHanging12a"/>
      </w:pPr>
      <w:r w:rsidRPr="00237C2D">
        <w:t>13.</w:t>
      </w:r>
      <w:r w:rsidRPr="00237C2D">
        <w:tab/>
      </w:r>
      <w:proofErr w:type="gramStart"/>
      <w:r w:rsidRPr="00237C2D">
        <w:t>z</w:t>
      </w:r>
      <w:proofErr w:type="gramEnd"/>
      <w:r w:rsidRPr="00237C2D">
        <w:t xml:space="preserve"> zadowoleniem przyjmuje wprowadzenie zharmonizowanego unijnego świadectwa wywozowego na wywóz świeżego drobiu z upoważnionych państw członkowskich, które to świadectwo zaczęło być stosowane w 2021 r.; wzywa Komisję do dalszych postępów w sprawie podobnych świadectw dla przetworzonego mięsa oraz mięsa baraniego lub koziego, przy jednoczesnym zwiększeniu wysiłków na rzecz zapewnienia lepszych systemów identyfikowalności produktów mięsnych; wzywa Komisję, aby w ramach Komitetu Zarządzającego oraz we współpracy z władzami Kanady i państwami członkowskimi poczyniła postępy w uznawaniu pozostałych systemów kontroli mięsa, tak aby umożliwić pozostałym państwom członkowskim wywóz mięsa do Kanady;</w:t>
      </w:r>
    </w:p>
    <w:p w:rsidR="00D54280" w:rsidRPr="00237C2D" w:rsidRDefault="00D54280" w:rsidP="00D54280">
      <w:pPr>
        <w:pStyle w:val="NormalHanging12a"/>
      </w:pPr>
      <w:r w:rsidRPr="00237C2D">
        <w:t>14.</w:t>
      </w:r>
      <w:r w:rsidRPr="00237C2D">
        <w:tab/>
      </w:r>
      <w:proofErr w:type="gramStart"/>
      <w:r w:rsidRPr="00237C2D">
        <w:t>ubolewa</w:t>
      </w:r>
      <w:proofErr w:type="gramEnd"/>
      <w:r w:rsidRPr="00237C2D">
        <w:t>, że w umowie CETA zasadniczo nie stosuje się zasady regionalizacji i uznaje się UE za jeden obszar produkcji jedynie w przypadku produkcji zwierzęcej, ale nie w odniesieniu do sektora owoców i warzyw, co oznacza, że każde państwo członkowskie musi negocjować i uzgadniać indywidualnie wymogi eksportowe dla każdego produktu; wzywa do jak najszybszego usunięcia tego uchybienia w ramach Wspólnego Komitetu Zarządzającego UE–Kanada;</w:t>
      </w:r>
    </w:p>
    <w:p w:rsidR="00D54280" w:rsidRPr="00237C2D" w:rsidRDefault="00D54280" w:rsidP="00D54280">
      <w:pPr>
        <w:pStyle w:val="NormalHanging12a"/>
        <w:rPr>
          <w:szCs w:val="24"/>
        </w:rPr>
      </w:pPr>
      <w:r w:rsidRPr="00237C2D">
        <w:t>15.</w:t>
      </w:r>
      <w:r w:rsidRPr="00237C2D">
        <w:tab/>
      </w:r>
      <w:proofErr w:type="gramStart"/>
      <w:r w:rsidRPr="00237C2D">
        <w:t>wzywa</w:t>
      </w:r>
      <w:proofErr w:type="gramEnd"/>
      <w:r w:rsidRPr="00237C2D">
        <w:t xml:space="preserve"> Komisję do ułatwienia bieżącej współpracy z władzami kanadyjskimi, której celem jest zwrócenie większej uwagi na zabezpieczenia dotyczące norm dobrostanu zwierząt w CETA oraz ocena wykonalności przyjęcia w przyszłości klauzul lustrzanych w tej dziedzinie, aby zagwarantować równoważność norm dobrostanu zwierząt, a tym samym równe warunki działania dla unijnych i przywożonych produktów pochodzenia zwierzęcego;</w:t>
      </w:r>
    </w:p>
    <w:p w:rsidR="00D54280" w:rsidRPr="00237C2D" w:rsidRDefault="00D54280" w:rsidP="00D54280">
      <w:pPr>
        <w:pStyle w:val="NormalHanging12a"/>
      </w:pPr>
      <w:r w:rsidRPr="00237C2D">
        <w:t>16.</w:t>
      </w:r>
      <w:r w:rsidRPr="00237C2D">
        <w:tab/>
      </w:r>
      <w:proofErr w:type="gramStart"/>
      <w:r w:rsidRPr="00237C2D">
        <w:t>przypomina</w:t>
      </w:r>
      <w:proofErr w:type="gramEnd"/>
      <w:r w:rsidRPr="00237C2D">
        <w:t>, że polityka handlowa UE, a w szczególności umowa CETA, mają duży wpływ gospodarczy na regiony najbardziej oddalone, w związku z czym podkreśla potrzebę ochrony interesów tych regionów podczas przyszłych negocjacji lub ewentualnego przeglądu umowy;</w:t>
      </w:r>
    </w:p>
    <w:p w:rsidR="00D54280" w:rsidRPr="00237C2D" w:rsidRDefault="00D54280" w:rsidP="00D54280">
      <w:pPr>
        <w:pStyle w:val="NormalHanging12a"/>
      </w:pPr>
      <w:r w:rsidRPr="00237C2D">
        <w:t>17.</w:t>
      </w:r>
      <w:r w:rsidRPr="00237C2D">
        <w:tab/>
      </w:r>
      <w:proofErr w:type="gramStart"/>
      <w:r w:rsidRPr="00237C2D">
        <w:t>uważa</w:t>
      </w:r>
      <w:proofErr w:type="gramEnd"/>
      <w:r w:rsidRPr="00237C2D">
        <w:t xml:space="preserve">, że część taryf i kontyngentów przyznawanych produktom unijnym należy przydzielić podmiotom zarejestrowanym w regionach najbardziej oddalonych ze względu na ich sytuację gospodarczą; podkreśla, że zróżnicowane traktowanie podmiotów gospodarczych w regionach najbardziej oddalonych ma zasadnicze znaczenie dla zapewnienia konkurencyjności przedsiębiorstw oraz sprawiedliwego </w:t>
      </w:r>
      <w:r w:rsidRPr="00237C2D">
        <w:lastRenderedPageBreak/>
        <w:t>podziału taryf i kontyngentów między przedstawicieli handlowych, tak aby uniknąć sytuacji, w której korzyści byłyby ograniczone do niewielkiej liczby podmiotów;</w:t>
      </w:r>
    </w:p>
    <w:p w:rsidR="00D54280" w:rsidRPr="00237C2D" w:rsidRDefault="00D54280" w:rsidP="00D54280">
      <w:pPr>
        <w:pStyle w:val="NormalHanging12a"/>
      </w:pPr>
      <w:r w:rsidRPr="00237C2D">
        <w:t>18.</w:t>
      </w:r>
      <w:r w:rsidRPr="00237C2D">
        <w:tab/>
      </w:r>
      <w:proofErr w:type="gramStart"/>
      <w:r w:rsidRPr="00237C2D">
        <w:t>odnotowuje</w:t>
      </w:r>
      <w:proofErr w:type="gramEnd"/>
      <w:r w:rsidRPr="00237C2D">
        <w:t xml:space="preserve"> fakt, że wskaźnik wykorzystania kontyngentów taryfowych wynosi średnio 98 % w przypadku wywozu sera z UE; apeluje jednak o bardziej przejrzysty i elastyczny kanadyjski system zarządzania kontyngentami taryfowymi na przetwory mleczne, w szczególności kontyngentem na ser, i wzywa władze kanadyjskie do jak najszybszego przeprowadzenia ewentualnego przeglądu tego systemu;</w:t>
      </w:r>
    </w:p>
    <w:p w:rsidR="00D54280" w:rsidRPr="00237C2D" w:rsidRDefault="00D54280" w:rsidP="00D54280">
      <w:pPr>
        <w:pStyle w:val="NormalHanging12a"/>
      </w:pPr>
      <w:r w:rsidRPr="00237C2D">
        <w:t>19.</w:t>
      </w:r>
      <w:r w:rsidRPr="00237C2D">
        <w:tab/>
      </w:r>
      <w:proofErr w:type="gramStart"/>
      <w:r w:rsidRPr="00237C2D">
        <w:t>podkreśla</w:t>
      </w:r>
      <w:proofErr w:type="gramEnd"/>
      <w:r w:rsidRPr="00237C2D">
        <w:t xml:space="preserve"> znaczenie uznania systemu oznaczeń geograficznych jako kluczowego elementu umowy; podkreśla potrzebę dalszego skutecznego egzekwowania ochrony oznaczeń geograficznych w odniesieniu do unijnych posiadaczy praw w Kanadzie, aby zapewnić zaufanie do prawidłowego funkcjonowania umowy;</w:t>
      </w:r>
    </w:p>
    <w:p w:rsidR="00D54280" w:rsidRPr="00237C2D" w:rsidRDefault="00D54280" w:rsidP="00D54280">
      <w:pPr>
        <w:pStyle w:val="NormalHanging12a"/>
        <w:rPr>
          <w:szCs w:val="24"/>
        </w:rPr>
      </w:pPr>
      <w:r w:rsidRPr="00237C2D">
        <w:t>20.</w:t>
      </w:r>
      <w:r w:rsidRPr="00237C2D">
        <w:tab/>
      </w:r>
      <w:proofErr w:type="gramStart"/>
      <w:r w:rsidRPr="00237C2D">
        <w:t>odnotowuje</w:t>
      </w:r>
      <w:proofErr w:type="gramEnd"/>
      <w:r w:rsidRPr="00237C2D">
        <w:t xml:space="preserve"> fakt, że w ciągu pierwszych sześciu lat tymczasowego stosowania CETA eksport usług z UE do Kanady i import usług z Kanady do UE wzrósł odpowiednio o 54 % i 74 %, przy czym największe zyski odnotowano w usługach transportowych, biznesowych, informacyjnych, informatycznych i telekomunikacyjnych, z korzyścią w szczególności dla mniejszych państw członkowskich UE, w których usługi odgrywają znaczną rolę w krajowej strukturze gospodarczej;</w:t>
      </w:r>
    </w:p>
    <w:p w:rsidR="00D54280" w:rsidRPr="00237C2D" w:rsidRDefault="00D54280" w:rsidP="00D54280">
      <w:pPr>
        <w:pStyle w:val="NormalHanging12a"/>
        <w:rPr>
          <w:szCs w:val="24"/>
        </w:rPr>
      </w:pPr>
      <w:r w:rsidRPr="00237C2D">
        <w:t>21.</w:t>
      </w:r>
      <w:r w:rsidRPr="00237C2D">
        <w:tab/>
      </w:r>
      <w:proofErr w:type="gramStart"/>
      <w:r w:rsidRPr="00237C2D">
        <w:t>z</w:t>
      </w:r>
      <w:proofErr w:type="gramEnd"/>
      <w:r w:rsidRPr="00237C2D">
        <w:t xml:space="preserve"> zadowoleniem przyjmuje konkretne wysiłki na rzecz ułatwienia dostępu do zamówień publicznych, takie jak pojedynczy punkt dostępu w Kanadzie; jest zdania, że nawet jeśli znacznie więcej przedsiębiorstw z UE z powodzeniem uczestniczy w przetargach kanadyjskich, np. dotyczących regionalnych kolejowych przewozów pasażerskich w Ontario lub mostów w Montrealu, dostawcy z UE mogliby w jeszcze większym stopniu korzystać z oferowanych możliwości, w szczególności w odniesieniu do projektów infrastrukturalnych i przetargów na zamówienia w prowincjach i gminach;</w:t>
      </w:r>
    </w:p>
    <w:p w:rsidR="00D54280" w:rsidRPr="00237C2D" w:rsidRDefault="00D54280" w:rsidP="00D54280">
      <w:pPr>
        <w:pStyle w:val="NormalHanging12a"/>
      </w:pPr>
      <w:r w:rsidRPr="00237C2D">
        <w:t>22.</w:t>
      </w:r>
      <w:r w:rsidRPr="00237C2D">
        <w:tab/>
      </w:r>
      <w:proofErr w:type="gramStart"/>
      <w:r w:rsidRPr="00237C2D">
        <w:t>wzywa</w:t>
      </w:r>
      <w:proofErr w:type="gramEnd"/>
      <w:r w:rsidRPr="00237C2D">
        <w:t xml:space="preserve"> strony, by udzieliły MŚP wszelkiego wsparcia prawnego i administracyjnego oraz udostępniły im potrzebne narzędzia, co pozwoli im angażować się w handel i inwestycje w ramach CETA w celu zwiększenia wymiany i uczestnictwa, tak aby mogły czerpać korzyści z CETA, w tym poprzez aktywne środki ułatwiające umiędzynarodowienie MŚP, uproszczenie procedur i wyeliminowanie barier technicznych w handlu, które w sposób nieproporcjonalny dotykają MŚP; w związku z tym z zadowoleniem przyjmuje zalecenie w sprawie MŚP przyjęte przez Wspólny Komitet w 2018 r. oraz późniejsze plany działania, w tym konkretne działania, takie jak uruchomienie platformy Access2Markets w październiku 2020 r., która wspiera MŚP za </w:t>
      </w:r>
      <w:proofErr w:type="gramStart"/>
      <w:r w:rsidRPr="00237C2D">
        <w:t>pomocą</w:t>
      </w:r>
      <w:proofErr w:type="gramEnd"/>
      <w:r w:rsidRPr="00237C2D">
        <w:t xml:space="preserve"> praktycznych informacji na temat umów handlowych i barier w handlu; oczekuje, że ocena ex post dostarczy danych na temat rozwoju udziału MŚP w handlu między UE i Kanadą; wzywa strony do rozważenia możliwości uwzględnienia pełnoprawnego rozdziału dotyczącego MŚP na wzór rozdziałów w umowach zawartych z Nową Zelandią i Chile;</w:t>
      </w:r>
    </w:p>
    <w:p w:rsidR="00D54280" w:rsidRPr="00237C2D" w:rsidRDefault="00D54280" w:rsidP="00D54280">
      <w:pPr>
        <w:pStyle w:val="NormalHanging12a"/>
      </w:pPr>
      <w:r w:rsidRPr="00237C2D">
        <w:t>23.</w:t>
      </w:r>
      <w:r w:rsidRPr="00237C2D">
        <w:tab/>
      </w:r>
      <w:proofErr w:type="gramStart"/>
      <w:r w:rsidRPr="00237C2D">
        <w:t>w</w:t>
      </w:r>
      <w:proofErr w:type="gramEnd"/>
      <w:r w:rsidRPr="00237C2D">
        <w:t xml:space="preserve"> świetle znaczenia sektora gospodarki społecznej i solidarnej w Kanadzie oraz planu działania na rzecz gospodarki społecznej przyjętego przez Komisję 9 grudnia 2021 r.</w:t>
      </w:r>
      <w:r w:rsidRPr="00237C2D">
        <w:rPr>
          <w:rStyle w:val="FootnoteReference"/>
        </w:rPr>
        <w:footnoteReference w:id="6"/>
      </w:r>
      <w:r w:rsidRPr="00237C2D">
        <w:t xml:space="preserve"> wzywa Wspólny Komitet do wskazania konkretnych środków, które można by wdrożyć w celu wsparcia zacieśnionej współpracy transatlantyckiej między podmiotami </w:t>
      </w:r>
      <w:r w:rsidRPr="00237C2D">
        <w:lastRenderedPageBreak/>
        <w:t>gospodarki społecznej i solidarnej;</w:t>
      </w:r>
    </w:p>
    <w:p w:rsidR="00D54280" w:rsidRPr="00237C2D" w:rsidRDefault="00D54280" w:rsidP="00D54280">
      <w:pPr>
        <w:pStyle w:val="NormalHanging12a"/>
      </w:pPr>
      <w:r w:rsidRPr="00237C2D">
        <w:t>24.</w:t>
      </w:r>
      <w:r w:rsidRPr="00237C2D">
        <w:tab/>
      </w:r>
      <w:proofErr w:type="gramStart"/>
      <w:r w:rsidRPr="00237C2D">
        <w:t>zachęca</w:t>
      </w:r>
      <w:proofErr w:type="gramEnd"/>
      <w:r w:rsidRPr="00237C2D">
        <w:t xml:space="preserve"> obie strony do kontynuowania działań informacyjnych, ze szczególnym uwzględnieniem MŚP oraz podmiotów gospodarki społecznej i solidarnej, w celu podnoszenia świadomości na temat możliwości oferowanych przez CETA poprzez ukierunkowane kampanie informacyjne, przy jednoczesnym zapewnieniu równego podziału korzyści płynących z umowy między mężczyzn a kobiety;</w:t>
      </w:r>
    </w:p>
    <w:p w:rsidR="00D54280" w:rsidRPr="00237C2D" w:rsidRDefault="00D54280" w:rsidP="00D54280">
      <w:pPr>
        <w:pStyle w:val="NormalHanging12a"/>
      </w:pPr>
      <w:r w:rsidRPr="00237C2D">
        <w:t>25.</w:t>
      </w:r>
      <w:r w:rsidRPr="00237C2D">
        <w:tab/>
      </w:r>
      <w:proofErr w:type="gramStart"/>
      <w:r w:rsidRPr="00237C2D">
        <w:t>z</w:t>
      </w:r>
      <w:proofErr w:type="gramEnd"/>
      <w:r w:rsidRPr="00237C2D">
        <w:t xml:space="preserve"> zadowoleniem odnosi się do przyjęcia zalecenia w sprawie handlu i płci przez Wspólny Komitet CETA już w 2018 r., które obejmuje zobowiązanie do dzielenia się metodami i procedurami gromadzenia danych segregowanych według kryterium płci, stosowania wskaźników, metod monitorowania i oceny oraz analizy statystyk dotyczących handlu ukierunkowanych na aspekt płci; podkreśla, że wymiana handlowa powinna przynosić korzyści wszystkim, a zwłaszcza wzmacniać upodmiotowienie ekonomiczne kobiet; zdecydowanie zachęca Wspólny Komitet CETA do dalszego monitorowania wpływu umowy na kwestie dotyczące płci; jest zdania, że prace prowadzone w ramach wspólnie przyjętego planu działania mogą służyć za przykład dla innych umów handlowych, nawet jeżeli w samej </w:t>
      </w:r>
      <w:proofErr w:type="gramStart"/>
      <w:r w:rsidRPr="00237C2D">
        <w:t>umowie</w:t>
      </w:r>
      <w:proofErr w:type="gramEnd"/>
      <w:r w:rsidRPr="00237C2D">
        <w:t xml:space="preserve"> nie ma specjalnych rozdziałów dotyczących handlu i płci; przypomina o rezolucji Parlamentu w sprawie trzeciego unijnego planu działania w sprawie równości płci</w:t>
      </w:r>
      <w:r w:rsidRPr="00237C2D">
        <w:rPr>
          <w:rStyle w:val="FootnoteReference"/>
        </w:rPr>
        <w:footnoteReference w:id="7"/>
      </w:r>
      <w:r w:rsidRPr="00237C2D">
        <w:t xml:space="preserve"> oraz zachęca Komisję do publikowania łatwiej dostępnych danych segregowanych według kryterium płci na temat stosowania umowy, zwłaszcza w odniesieniu do rozdziałów dotyczących zamówień publicznych oraz handlu i pracy;</w:t>
      </w:r>
    </w:p>
    <w:p w:rsidR="00D54280" w:rsidRPr="00237C2D" w:rsidRDefault="00D54280" w:rsidP="00D54280">
      <w:pPr>
        <w:pStyle w:val="NormalHanging12a"/>
      </w:pPr>
      <w:r w:rsidRPr="00237C2D">
        <w:t>26.</w:t>
      </w:r>
      <w:r w:rsidRPr="00237C2D">
        <w:tab/>
      </w:r>
      <w:proofErr w:type="gramStart"/>
      <w:r w:rsidRPr="00237C2D">
        <w:t>wzywa</w:t>
      </w:r>
      <w:proofErr w:type="gramEnd"/>
      <w:r w:rsidRPr="00237C2D">
        <w:t xml:space="preserve"> Komisję, by zapobiegła osłabieniu zasady ostrożności jako podstawowej zasady Unii Europejskiej zapisanej w traktatach oraz gwarantującej ochronę europejskich rolników i obywateli; podkreśla, że należy promować zasadę ostrożności we wszystkich aspektach handlu i zapewnić jej stosowanie, jednocześnie unikając nieuzasadnionych barier w handlu;</w:t>
      </w:r>
    </w:p>
    <w:p w:rsidR="00D54280" w:rsidRPr="00237C2D" w:rsidRDefault="00D54280" w:rsidP="00D54280">
      <w:pPr>
        <w:pStyle w:val="NormalHanging12a"/>
      </w:pPr>
      <w:r w:rsidRPr="00237C2D">
        <w:t>27.</w:t>
      </w:r>
      <w:r w:rsidRPr="00237C2D">
        <w:tab/>
      </w:r>
      <w:proofErr w:type="gramStart"/>
      <w:r w:rsidRPr="00237C2D">
        <w:t>podkreśla</w:t>
      </w:r>
      <w:proofErr w:type="gramEnd"/>
      <w:r w:rsidRPr="00237C2D">
        <w:t xml:space="preserve">, że CETA zapewnia ramy sprzyjające zarówno handlowi, jak i działaniom w dziedzinie klimatu poprzez włączenie zobowiązań do współpracy w kwestiach środowiskowych związanych z handlem będących przedmiotem wspólnego zainteresowania, takich jak zmiana klimatu, co wykazano w zaleceniu w sprawie handlu, działań w dziedzinie klimatu i porozumienia paryskiego, w szczególności przez propagowanie czystych technologii; podkreśla znaczenie globalnej produkcji energii w Kanadzie dla przyspieszenia transformacji w kierunku czystej energii dzięki wytwarzaniu energii ze źródeł odnawialnych; z zadowoleniem przyjmuje wzrost handlu towarami ekologicznymi o 27 % od rozpoczęcia tymczasowego stosowania; zauważa jednak, że Kanada uznała elementy europejskich inicjatyw ustawodawczych i </w:t>
      </w:r>
      <w:proofErr w:type="spellStart"/>
      <w:r w:rsidRPr="00237C2D">
        <w:t>nieustawodawczych</w:t>
      </w:r>
      <w:proofErr w:type="spellEnd"/>
      <w:r w:rsidRPr="00237C2D">
        <w:t xml:space="preserve"> w odniesieniu do Europejskiego Zielonego Ładu za bariery techniczne w handlu; zachęca strony do znalezienia synergii z wdrażaniem mechanizmu dostosowywania cen na granicach z uwzględnieniem emisji CO</w:t>
      </w:r>
      <w:r w:rsidRPr="00237C2D">
        <w:rPr>
          <w:vertAlign w:val="subscript"/>
        </w:rPr>
        <w:t>2</w:t>
      </w:r>
      <w:r w:rsidRPr="00237C2D">
        <w:t xml:space="preserve"> (CBAM) i innych inicjatyw w UE oraz do wspólnego wsparcia działań na rzecz opracowania wspólnych lub porównywalnych metod w zakresie emisji dwutlenku węgla na szczeblu międzynarodowym;</w:t>
      </w:r>
    </w:p>
    <w:p w:rsidR="00D54280" w:rsidRPr="00237C2D" w:rsidRDefault="00D54280" w:rsidP="00D54280">
      <w:pPr>
        <w:pStyle w:val="NormalHanging12a"/>
      </w:pPr>
      <w:r w:rsidRPr="00237C2D">
        <w:t>28.</w:t>
      </w:r>
      <w:r w:rsidRPr="00237C2D">
        <w:tab/>
      </w:r>
      <w:proofErr w:type="gramStart"/>
      <w:r w:rsidRPr="00237C2D">
        <w:t>z</w:t>
      </w:r>
      <w:proofErr w:type="gramEnd"/>
      <w:r w:rsidRPr="00237C2D">
        <w:t xml:space="preserve"> zadowoleniem przyjmuje nawiązanie partnerstwa cyfrowego UE–Kanada jako </w:t>
      </w:r>
      <w:r w:rsidRPr="00237C2D">
        <w:lastRenderedPageBreak/>
        <w:t xml:space="preserve">kluczowy czynnik umożliwiający zieloną i cyfrową transformację; wzywa obie strony do zacieśnienia współpracy w zakresie wdrażania CETA w odniesieniu do strategicznych obszarów wspólnego zainteresowania, takich jak sztuczna inteligencja, </w:t>
      </w:r>
      <w:proofErr w:type="spellStart"/>
      <w:r w:rsidRPr="00237C2D">
        <w:t>cyberbezpieczeństwo</w:t>
      </w:r>
      <w:proofErr w:type="spellEnd"/>
      <w:r w:rsidRPr="00237C2D">
        <w:t xml:space="preserve"> i zwalczanie dezinformacji;</w:t>
      </w:r>
    </w:p>
    <w:p w:rsidR="00D54280" w:rsidRPr="00237C2D" w:rsidRDefault="00D54280" w:rsidP="00D54280">
      <w:pPr>
        <w:pStyle w:val="NormalHanging12a"/>
      </w:pPr>
      <w:r w:rsidRPr="00237C2D">
        <w:t>29.</w:t>
      </w:r>
      <w:r w:rsidRPr="00237C2D">
        <w:tab/>
      </w:r>
      <w:proofErr w:type="gramStart"/>
      <w:r w:rsidRPr="00237C2D">
        <w:t>z</w:t>
      </w:r>
      <w:proofErr w:type="gramEnd"/>
      <w:r w:rsidRPr="00237C2D">
        <w:t xml:space="preserve"> zadowoleniem przyjmuje aktywne zaangażowanie i monitorowanie wdrażania CETA przez wewnętrzne grupy doradcze i Forum Społeczeństwa Obywatelskiego, w skład których wchodzą setki przedstawicieli z całej UE i Kanady, w tym przedsiębiorstw, organizacji środowiskowych i pracowniczych, społeczeństwa obywatelskiego, środowiska akademickiego oraz przedstawicieli ludności rdzennej z Kanady, a także aktywny wkład w prace, w szczególności Komitetu ds. Handlu i Zrównoważonego Rozwoju, poprzez wspólne oświadczenia; wzywa Komisję i Radę ds. Handlu i Zrównoważonego Rozwoju do realizacji przedstawionych propozycji; podkreśla, że mandat wewnętrznych grup doradczych powinien także uwzględniać wpływ całej umowy na zrównoważony rozwój; podkreśla znaczenie uwzględnienia w ich pracach rozważań na temat wpływu </w:t>
      </w:r>
      <w:proofErr w:type="gramStart"/>
      <w:r w:rsidRPr="00237C2D">
        <w:t>rozdziału</w:t>
      </w:r>
      <w:proofErr w:type="gramEnd"/>
      <w:r w:rsidRPr="00237C2D">
        <w:t xml:space="preserve"> dotyczącego ochrony inwestycji na zrównoważony rozwój i prawa człowieka;</w:t>
      </w:r>
    </w:p>
    <w:p w:rsidR="00D54280" w:rsidRPr="00237C2D" w:rsidRDefault="00D54280" w:rsidP="00D54280">
      <w:pPr>
        <w:pStyle w:val="NormalHanging12a"/>
      </w:pPr>
      <w:r w:rsidRPr="00237C2D">
        <w:t>30.</w:t>
      </w:r>
      <w:r w:rsidRPr="00237C2D">
        <w:tab/>
      </w:r>
      <w:proofErr w:type="gramStart"/>
      <w:r w:rsidRPr="00237C2D">
        <w:t>wzywa</w:t>
      </w:r>
      <w:proofErr w:type="gramEnd"/>
      <w:r w:rsidRPr="00237C2D">
        <w:t xml:space="preserve"> obie strony do zapewnienia lepszej integracji drobnych rolników i konsumentów w ramach wewnętrznych grup doradczych w kontekście odnowienia tych grup;</w:t>
      </w:r>
    </w:p>
    <w:p w:rsidR="00D54280" w:rsidRPr="00237C2D" w:rsidRDefault="00D54280" w:rsidP="00D54280">
      <w:pPr>
        <w:pStyle w:val="NormalHanging12a"/>
      </w:pPr>
      <w:r w:rsidRPr="00237C2D">
        <w:t>31.</w:t>
      </w:r>
      <w:r w:rsidRPr="00237C2D">
        <w:tab/>
      </w:r>
      <w:proofErr w:type="gramStart"/>
      <w:r w:rsidRPr="00237C2D">
        <w:t>nalega</w:t>
      </w:r>
      <w:proofErr w:type="gramEnd"/>
      <w:r w:rsidRPr="00237C2D">
        <w:t xml:space="preserve"> na skuteczną realizację szczegółowych zobowiązań związanych z postanowieniami dotyczącymi handlu i zrównoważonego rozwoju – co obejmuje również wciąż niezrealizowany wczesny przegląd tych postanowień zapowiadany we Wspólnym instrumencie interpretacyjnym – które to postanowienia stanowią integralną część CETA i są niezbędne do osiągnięcia wyznaczonych celów; zauważa, że w 2024 r. Komisja przeprowadzi ocenę </w:t>
      </w:r>
      <w:r w:rsidRPr="00237C2D">
        <w:rPr>
          <w:i/>
          <w:iCs/>
        </w:rPr>
        <w:t>ex post</w:t>
      </w:r>
      <w:r w:rsidRPr="00237C2D">
        <w:t xml:space="preserve"> CETA, w tym rozdziału dotyczącego handlu i zrównoważonego rozwoju, z udziałem niezależnych ekspertów, która będzie okazją do jej oceny pod kątem nowego podejścia Komisji z czerwca 2022 r. oraz do rozważenia uwzględnienia konkretnych propozycji przedstawionych przez Kanadę w 2020 r. w celu nadania niektórym postanowieniom tego rozdziału bardziej wiążącego zakresu; przypomina, </w:t>
      </w:r>
      <w:proofErr w:type="gramStart"/>
      <w:r w:rsidRPr="00237C2D">
        <w:t>że</w:t>
      </w:r>
      <w:proofErr w:type="gramEnd"/>
      <w:r w:rsidRPr="00237C2D">
        <w:t xml:space="preserve"> Wspólny Komitet może podjąć wiążącą decyzję ustanawiającą plan działania na rzecz wdrażania umowy w celu zacieśnienia współpracy w obszarach, w których ocena </w:t>
      </w:r>
      <w:r w:rsidRPr="00237C2D">
        <w:rPr>
          <w:i/>
          <w:iCs/>
        </w:rPr>
        <w:t>ex post</w:t>
      </w:r>
      <w:r w:rsidRPr="00237C2D">
        <w:t xml:space="preserve"> ujawniłaby niedociągnięcia, a także oczekuje aktywnego działania w tym zakresie; uważa, że starania na rzecz lepszej realizacji postanowień rozdziału dotyczącego handlu i zrównoważonego rozwoju lub jego przegląd należy poprzedzić istotnymi konsultacjami z wszystkimi zainteresowanymi stronami;</w:t>
      </w:r>
    </w:p>
    <w:p w:rsidR="00D54280" w:rsidRPr="00237C2D" w:rsidRDefault="00D54280" w:rsidP="00D54280">
      <w:pPr>
        <w:pStyle w:val="NormalHanging12a"/>
      </w:pPr>
      <w:r w:rsidRPr="00237C2D">
        <w:t>32.</w:t>
      </w:r>
      <w:r w:rsidRPr="00237C2D">
        <w:tab/>
      </w:r>
      <w:proofErr w:type="gramStart"/>
      <w:r w:rsidRPr="00237C2D">
        <w:t>zauważa</w:t>
      </w:r>
      <w:proofErr w:type="gramEnd"/>
      <w:r w:rsidRPr="00237C2D">
        <w:t>, że po rozpoczęciu tymczasowego stosowania CETA Zjednoczone Królestwo wystąpiło z Unii Europejskiej; zauważa, że Zjednoczone Królestwo i Kanada uzgodniły szereg dwustronnych umów handlowych, aby uwzględnić ten stan rzeczy, w tym w odniesieniu do wykorzystywania i kumulacji kontyngentów taryfowych; zauważa, że niektóre z tych umów przestaną obowiązywać po 2024 r., co może prowadzić do drobnych zakłóceń w utrwalonych łańcuchach dostaw; wzywa Komisję do przeanalizowania możliwości zawarcia nowych umów w przypadkach, w których zakłócenia te mogą mieć niekorzystny wpływ na podmioty gospodarcze w Unii;</w:t>
      </w:r>
    </w:p>
    <w:p w:rsidR="00D54280" w:rsidRPr="00237C2D" w:rsidRDefault="00D54280" w:rsidP="00D54280">
      <w:pPr>
        <w:tabs>
          <w:tab w:val="left" w:pos="567"/>
        </w:tabs>
        <w:spacing w:after="240"/>
        <w:ind w:left="567" w:hanging="567"/>
      </w:pPr>
      <w:r w:rsidRPr="00237C2D">
        <w:t>33.</w:t>
      </w:r>
      <w:r w:rsidRPr="00237C2D">
        <w:tab/>
      </w:r>
      <w:proofErr w:type="gramStart"/>
      <w:r w:rsidRPr="00237C2D">
        <w:t>wzywa</w:t>
      </w:r>
      <w:proofErr w:type="gramEnd"/>
      <w:r w:rsidRPr="00237C2D">
        <w:t xml:space="preserve"> strony, by dokonały przeglądu CETA po jej ratyfikacji, wykorzystując klauzulę przeglądową, w celu wprowadzenia odpowiedniego i skutecznego mechanizmu rozstrzygania sporów w dziedzinie handlu i zrównoważonego rozwoju, w tym uwzględnienia – wśród różnych metod egzekwowania – sankcji jako środka </w:t>
      </w:r>
      <w:r w:rsidRPr="00237C2D">
        <w:lastRenderedPageBreak/>
        <w:t xml:space="preserve">odstraszającego, które należy stosować w ostateczności w przypadku poważnych naruszeń; podkreśla, że w ramach tego przeglądu chciałby rozważyć instytucjonalizację trwającej współpracy w zakresie handlu i płci; podkreśla, że w ramach tego przeglądu należy również rozważyć wprowadzenie konkretnych i solidnych postanowień dotyczących praw ludności rdzennej, w tym konwencji Międzynarodowej Organizacji Pracy nr 169 oraz Deklaracji Organizacji Narodów Zjednoczonych o prawach ludności rdzennej; </w:t>
      </w:r>
    </w:p>
    <w:p w:rsidR="00D54280" w:rsidRPr="00237C2D" w:rsidRDefault="00D54280" w:rsidP="00D54280">
      <w:pPr>
        <w:pStyle w:val="NormalHanging12a"/>
      </w:pPr>
      <w:r w:rsidRPr="00237C2D">
        <w:t>34.</w:t>
      </w:r>
      <w:r w:rsidRPr="00237C2D">
        <w:tab/>
      </w:r>
      <w:proofErr w:type="gramStart"/>
      <w:r w:rsidRPr="00237C2D">
        <w:t>wzywa</w:t>
      </w:r>
      <w:proofErr w:type="gramEnd"/>
      <w:r w:rsidRPr="00237C2D">
        <w:t xml:space="preserve"> Belgię, Bułgarię, Cypr, Francję, Grecję, Irlandię, Polskę, Słowenię, Węgry i Włochy do szybkiej ratyfikacji CETA, ponieważ będzie to również niezbędne do aktualizacji umowy, i ponownie podkreśla znaczenie pełnego stosowania CETA, w tym jej postanowień dotyczących ochrony inwestycji;</w:t>
      </w:r>
    </w:p>
    <w:p w:rsidR="00D54280" w:rsidRPr="00237C2D" w:rsidRDefault="00D54280" w:rsidP="00D54280">
      <w:pPr>
        <w:pStyle w:val="NormalHanging12a"/>
      </w:pPr>
      <w:r w:rsidRPr="00237C2D">
        <w:t>35.</w:t>
      </w:r>
      <w:r w:rsidRPr="00237C2D">
        <w:tab/>
      </w:r>
      <w:proofErr w:type="gramStart"/>
      <w:r w:rsidRPr="00237C2D">
        <w:t>zobowiązuje</w:t>
      </w:r>
      <w:proofErr w:type="gramEnd"/>
      <w:r w:rsidRPr="00237C2D">
        <w:t xml:space="preserve"> swoją przewodniczącą do przekazania niniejszej rezolucji Radzie i Komisji oraz rządowi i parlamentowi Kanady.</w:t>
      </w:r>
    </w:p>
    <w:p w:rsidR="00D54280" w:rsidRPr="00237C2D" w:rsidRDefault="00D54280" w:rsidP="00D54280"/>
    <w:p w:rsidR="00E365E1" w:rsidRPr="00237C2D" w:rsidRDefault="00E365E1" w:rsidP="00850ADB">
      <w:bookmarkStart w:id="8" w:name="TextBodyEnd"/>
      <w:bookmarkEnd w:id="8"/>
    </w:p>
    <w:sectPr w:rsidR="00E365E1" w:rsidRPr="00237C2D" w:rsidSect="00237C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ADB" w:rsidRPr="00237C2D" w:rsidRDefault="00850ADB">
      <w:r w:rsidRPr="00237C2D">
        <w:separator/>
      </w:r>
    </w:p>
  </w:endnote>
  <w:endnote w:type="continuationSeparator" w:id="0">
    <w:p w:rsidR="00850ADB" w:rsidRPr="00237C2D" w:rsidRDefault="00850ADB">
      <w:r w:rsidRPr="00237C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C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C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C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ADB" w:rsidRPr="00237C2D" w:rsidRDefault="00850ADB">
      <w:r w:rsidRPr="00237C2D">
        <w:separator/>
      </w:r>
    </w:p>
  </w:footnote>
  <w:footnote w:type="continuationSeparator" w:id="0">
    <w:p w:rsidR="00850ADB" w:rsidRPr="00237C2D" w:rsidRDefault="00850ADB">
      <w:r w:rsidRPr="00237C2D">
        <w:continuationSeparator/>
      </w:r>
    </w:p>
  </w:footnote>
  <w:footnote w:id="1">
    <w:p w:rsidR="00D54280" w:rsidRPr="00237C2D" w:rsidRDefault="00D54280" w:rsidP="00237C2D">
      <w:pPr>
        <w:pStyle w:val="FootnoteText"/>
        <w:ind w:left="567" w:hanging="567"/>
        <w:rPr>
          <w:sz w:val="24"/>
          <w:lang w:val="pl-PL"/>
        </w:rPr>
      </w:pPr>
      <w:r w:rsidRPr="00237C2D">
        <w:rPr>
          <w:rStyle w:val="FootnoteReference"/>
          <w:sz w:val="24"/>
          <w:lang w:val="pl-PL"/>
        </w:rPr>
        <w:footnoteRef/>
      </w:r>
      <w:r w:rsidR="00237C2D" w:rsidRPr="00237C2D">
        <w:rPr>
          <w:sz w:val="24"/>
          <w:lang w:val="pl-PL"/>
        </w:rPr>
        <w:t xml:space="preserve"> </w:t>
      </w:r>
      <w:r w:rsidR="00237C2D" w:rsidRPr="00237C2D">
        <w:rPr>
          <w:sz w:val="24"/>
          <w:lang w:val="pl-PL"/>
        </w:rPr>
        <w:tab/>
      </w:r>
      <w:r w:rsidR="00937AC2">
        <w:fldChar w:fldCharType="begin"/>
      </w:r>
      <w:r w:rsidR="00937AC2" w:rsidRPr="00937AC2">
        <w:rPr>
          <w:lang w:val="pl-PL"/>
        </w:rPr>
        <w:instrText xml:space="preserve"> HYPERLINK "http://data.europa.eu/eli/agree_internation/2017/37/oj" </w:instrText>
      </w:r>
      <w:r w:rsidR="00937AC2">
        <w:fldChar w:fldCharType="separate"/>
      </w:r>
      <w:r w:rsidRPr="00237C2D">
        <w:rPr>
          <w:rStyle w:val="Hyperlink"/>
          <w:sz w:val="24"/>
          <w:lang w:val="pl-PL"/>
        </w:rPr>
        <w:t xml:space="preserve">Dz.U. L 11 z 14.1.2017, </w:t>
      </w:r>
      <w:proofErr w:type="gramStart"/>
      <w:r w:rsidRPr="00237C2D">
        <w:rPr>
          <w:rStyle w:val="Hyperlink"/>
          <w:sz w:val="24"/>
          <w:lang w:val="pl-PL"/>
        </w:rPr>
        <w:t>s</w:t>
      </w:r>
      <w:proofErr w:type="gramEnd"/>
      <w:r w:rsidRPr="00237C2D">
        <w:rPr>
          <w:rStyle w:val="Hyperlink"/>
          <w:sz w:val="24"/>
          <w:lang w:val="pl-PL"/>
        </w:rPr>
        <w:t>. 23</w:t>
      </w:r>
      <w:r w:rsidR="00937AC2">
        <w:rPr>
          <w:rStyle w:val="Hyperlink"/>
          <w:sz w:val="24"/>
          <w:lang w:val="pl-PL"/>
        </w:rPr>
        <w:fldChar w:fldCharType="end"/>
      </w:r>
      <w:r w:rsidRPr="00237C2D">
        <w:rPr>
          <w:sz w:val="24"/>
          <w:lang w:val="pl-PL"/>
        </w:rPr>
        <w:t>.</w:t>
      </w:r>
    </w:p>
  </w:footnote>
  <w:footnote w:id="2">
    <w:p w:rsidR="00D54280" w:rsidRPr="00237C2D" w:rsidRDefault="00D54280" w:rsidP="00237C2D">
      <w:pPr>
        <w:pStyle w:val="FootnoteText"/>
        <w:ind w:left="567" w:hanging="567"/>
        <w:rPr>
          <w:sz w:val="24"/>
          <w:lang w:val="pl-PL"/>
        </w:rPr>
      </w:pPr>
      <w:r w:rsidRPr="00237C2D">
        <w:rPr>
          <w:rStyle w:val="FootnoteReference"/>
          <w:sz w:val="24"/>
          <w:lang w:val="pl-PL"/>
        </w:rPr>
        <w:footnoteRef/>
      </w:r>
      <w:r w:rsidR="00237C2D" w:rsidRPr="00237C2D">
        <w:rPr>
          <w:sz w:val="24"/>
          <w:lang w:val="pl-PL"/>
        </w:rPr>
        <w:t xml:space="preserve"> </w:t>
      </w:r>
      <w:r w:rsidR="00237C2D" w:rsidRPr="00237C2D">
        <w:rPr>
          <w:sz w:val="24"/>
          <w:lang w:val="pl-PL"/>
        </w:rPr>
        <w:tab/>
      </w:r>
      <w:hyperlink r:id="rId1" w:history="1">
        <w:r w:rsidRPr="00237C2D">
          <w:rPr>
            <w:rStyle w:val="Hyperlink"/>
            <w:sz w:val="24"/>
            <w:lang w:val="pl-PL"/>
          </w:rPr>
          <w:t xml:space="preserve">Dz.U. L 11 z 14.1.2017, </w:t>
        </w:r>
        <w:proofErr w:type="gramStart"/>
        <w:r w:rsidRPr="00237C2D">
          <w:rPr>
            <w:rStyle w:val="Hyperlink"/>
            <w:sz w:val="24"/>
            <w:lang w:val="pl-PL"/>
          </w:rPr>
          <w:t>s</w:t>
        </w:r>
        <w:proofErr w:type="gramEnd"/>
        <w:r w:rsidRPr="00237C2D">
          <w:rPr>
            <w:rStyle w:val="Hyperlink"/>
            <w:sz w:val="24"/>
            <w:lang w:val="pl-PL"/>
          </w:rPr>
          <w:t>. 3</w:t>
        </w:r>
      </w:hyperlink>
      <w:r w:rsidRPr="00237C2D">
        <w:rPr>
          <w:sz w:val="24"/>
          <w:lang w:val="pl-PL"/>
        </w:rPr>
        <w:t>.</w:t>
      </w:r>
    </w:p>
  </w:footnote>
  <w:footnote w:id="3">
    <w:p w:rsidR="00D54280" w:rsidRPr="00237C2D" w:rsidRDefault="00D54280" w:rsidP="00237C2D">
      <w:pPr>
        <w:pStyle w:val="FootnoteText"/>
        <w:ind w:left="567" w:hanging="567"/>
        <w:rPr>
          <w:sz w:val="24"/>
          <w:lang w:val="pl-PL"/>
        </w:rPr>
      </w:pPr>
      <w:r w:rsidRPr="00237C2D">
        <w:rPr>
          <w:rStyle w:val="FootnoteReference"/>
          <w:sz w:val="24"/>
          <w:lang w:val="pl-PL"/>
        </w:rPr>
        <w:footnoteRef/>
      </w:r>
      <w:r w:rsidR="00237C2D" w:rsidRPr="00237C2D">
        <w:rPr>
          <w:sz w:val="24"/>
          <w:lang w:val="pl-PL"/>
        </w:rPr>
        <w:t xml:space="preserve"> </w:t>
      </w:r>
      <w:r w:rsidR="00237C2D" w:rsidRPr="00237C2D">
        <w:rPr>
          <w:sz w:val="24"/>
          <w:lang w:val="pl-PL"/>
        </w:rPr>
        <w:tab/>
      </w:r>
      <w:hyperlink r:id="rId2" w:history="1">
        <w:r w:rsidRPr="00237C2D">
          <w:rPr>
            <w:rStyle w:val="Hyperlink"/>
            <w:sz w:val="24"/>
            <w:lang w:val="pl-PL"/>
          </w:rPr>
          <w:t xml:space="preserve">Dz.U. C 252 z 18.7.2018, </w:t>
        </w:r>
        <w:proofErr w:type="gramStart"/>
        <w:r w:rsidRPr="00237C2D">
          <w:rPr>
            <w:rStyle w:val="Hyperlink"/>
            <w:sz w:val="24"/>
            <w:lang w:val="pl-PL"/>
          </w:rPr>
          <w:t>s</w:t>
        </w:r>
        <w:proofErr w:type="gramEnd"/>
        <w:r w:rsidRPr="00237C2D">
          <w:rPr>
            <w:rStyle w:val="Hyperlink"/>
            <w:sz w:val="24"/>
            <w:lang w:val="pl-PL"/>
          </w:rPr>
          <w:t>. 348</w:t>
        </w:r>
      </w:hyperlink>
      <w:r w:rsidRPr="00237C2D">
        <w:rPr>
          <w:sz w:val="24"/>
          <w:lang w:val="pl-PL"/>
        </w:rPr>
        <w:t>.</w:t>
      </w:r>
    </w:p>
  </w:footnote>
  <w:footnote w:id="4">
    <w:p w:rsidR="00D54280" w:rsidRPr="00237C2D" w:rsidRDefault="00D54280" w:rsidP="00237C2D">
      <w:pPr>
        <w:pStyle w:val="FootnoteText"/>
        <w:ind w:left="567" w:hanging="567"/>
        <w:rPr>
          <w:sz w:val="24"/>
          <w:lang w:val="pl-PL"/>
        </w:rPr>
      </w:pPr>
      <w:r w:rsidRPr="00237C2D">
        <w:rPr>
          <w:rStyle w:val="FootnoteReference"/>
          <w:sz w:val="24"/>
          <w:lang w:val="pl-PL"/>
        </w:rPr>
        <w:footnoteRef/>
      </w:r>
      <w:r w:rsidR="00237C2D" w:rsidRPr="00237C2D">
        <w:rPr>
          <w:sz w:val="24"/>
          <w:lang w:val="pl-PL"/>
        </w:rPr>
        <w:t xml:space="preserve"> </w:t>
      </w:r>
      <w:r w:rsidR="00237C2D" w:rsidRPr="00237C2D">
        <w:rPr>
          <w:sz w:val="24"/>
          <w:lang w:val="pl-PL"/>
        </w:rPr>
        <w:tab/>
      </w:r>
      <w:r w:rsidRPr="00237C2D">
        <w:rPr>
          <w:sz w:val="24"/>
          <w:lang w:val="pl-PL"/>
        </w:rPr>
        <w:t>Opinia Trybunału z 16 maja 2017 r. wydana na podstawie art. 218 ust. 11 TFUE w sprawie umowy o wolnym handlu między Unią Europejską a Republiką Singapuru, ECLI</w:t>
      </w:r>
      <w:proofErr w:type="gramStart"/>
      <w:r w:rsidRPr="00237C2D">
        <w:rPr>
          <w:sz w:val="24"/>
          <w:lang w:val="pl-PL"/>
        </w:rPr>
        <w:t>:EU</w:t>
      </w:r>
      <w:proofErr w:type="gramEnd"/>
      <w:r w:rsidRPr="00237C2D">
        <w:rPr>
          <w:sz w:val="24"/>
          <w:lang w:val="pl-PL"/>
        </w:rPr>
        <w:t>:C:2017:376.</w:t>
      </w:r>
    </w:p>
  </w:footnote>
  <w:footnote w:id="5">
    <w:p w:rsidR="00D54280" w:rsidRPr="00237C2D" w:rsidRDefault="00D54280" w:rsidP="00237C2D">
      <w:pPr>
        <w:pStyle w:val="FootnoteText"/>
        <w:ind w:left="567" w:hanging="567"/>
        <w:rPr>
          <w:sz w:val="24"/>
          <w:lang w:val="pl-PL"/>
        </w:rPr>
      </w:pPr>
      <w:r w:rsidRPr="00237C2D">
        <w:rPr>
          <w:rStyle w:val="FootnoteReference"/>
          <w:sz w:val="24"/>
          <w:lang w:val="pl-PL"/>
        </w:rPr>
        <w:footnoteRef/>
      </w:r>
      <w:r w:rsidR="00237C2D" w:rsidRPr="00237C2D">
        <w:rPr>
          <w:sz w:val="24"/>
          <w:lang w:val="pl-PL"/>
        </w:rPr>
        <w:t xml:space="preserve"> </w:t>
      </w:r>
      <w:r w:rsidR="00237C2D" w:rsidRPr="00237C2D">
        <w:rPr>
          <w:sz w:val="24"/>
          <w:lang w:val="pl-PL"/>
        </w:rPr>
        <w:tab/>
      </w:r>
      <w:r w:rsidRPr="00237C2D">
        <w:rPr>
          <w:sz w:val="24"/>
          <w:lang w:val="pl-PL"/>
        </w:rPr>
        <w:t xml:space="preserve">Dz.U. C 32 z 27.1.2023, </w:t>
      </w:r>
      <w:proofErr w:type="gramStart"/>
      <w:r w:rsidRPr="00237C2D">
        <w:rPr>
          <w:sz w:val="24"/>
          <w:lang w:val="pl-PL"/>
        </w:rPr>
        <w:t>s</w:t>
      </w:r>
      <w:proofErr w:type="gramEnd"/>
      <w:r w:rsidRPr="00237C2D">
        <w:rPr>
          <w:sz w:val="24"/>
          <w:lang w:val="pl-PL"/>
        </w:rPr>
        <w:t>. 96.</w:t>
      </w:r>
    </w:p>
  </w:footnote>
  <w:footnote w:id="6">
    <w:p w:rsidR="00D54280" w:rsidRPr="00237C2D" w:rsidRDefault="00D54280" w:rsidP="00237C2D">
      <w:pPr>
        <w:pStyle w:val="FootnoteText"/>
        <w:ind w:left="567" w:hanging="567"/>
        <w:rPr>
          <w:sz w:val="24"/>
          <w:lang w:val="pl-PL"/>
        </w:rPr>
      </w:pPr>
      <w:r w:rsidRPr="00237C2D">
        <w:rPr>
          <w:rStyle w:val="FootnoteReference"/>
          <w:sz w:val="24"/>
          <w:lang w:val="pl-PL"/>
        </w:rPr>
        <w:footnoteRef/>
      </w:r>
      <w:r w:rsidR="00237C2D" w:rsidRPr="00237C2D">
        <w:rPr>
          <w:sz w:val="24"/>
          <w:lang w:val="pl-PL"/>
        </w:rPr>
        <w:t xml:space="preserve"> </w:t>
      </w:r>
      <w:r w:rsidR="00237C2D" w:rsidRPr="00237C2D">
        <w:rPr>
          <w:sz w:val="24"/>
          <w:lang w:val="pl-PL"/>
        </w:rPr>
        <w:tab/>
      </w:r>
      <w:r w:rsidRPr="00237C2D">
        <w:rPr>
          <w:sz w:val="24"/>
          <w:lang w:val="pl-PL"/>
        </w:rPr>
        <w:t>Komunikat Komisji z 9 grudnia 2021 r. pt. „Budowanie gospodarki służącej ludziom: plan działania na rzecz gospodarki społecznej” (COM(2021)0778).</w:t>
      </w:r>
    </w:p>
  </w:footnote>
  <w:footnote w:id="7">
    <w:p w:rsidR="00D54280" w:rsidRPr="00237C2D" w:rsidRDefault="00D54280" w:rsidP="00237C2D">
      <w:pPr>
        <w:pStyle w:val="FootnoteText"/>
        <w:ind w:left="567" w:hanging="567"/>
        <w:rPr>
          <w:sz w:val="24"/>
          <w:lang w:val="pl-PL"/>
        </w:rPr>
      </w:pPr>
      <w:r w:rsidRPr="00237C2D">
        <w:rPr>
          <w:rStyle w:val="FootnoteReference"/>
          <w:sz w:val="24"/>
          <w:lang w:val="pl-PL"/>
        </w:rPr>
        <w:footnoteRef/>
      </w:r>
      <w:r w:rsidR="00237C2D" w:rsidRPr="00237C2D">
        <w:rPr>
          <w:sz w:val="24"/>
          <w:lang w:val="pl-PL"/>
        </w:rPr>
        <w:t xml:space="preserve"> </w:t>
      </w:r>
      <w:r w:rsidR="00237C2D" w:rsidRPr="00237C2D">
        <w:rPr>
          <w:sz w:val="24"/>
          <w:lang w:val="pl-PL"/>
        </w:rPr>
        <w:tab/>
      </w:r>
      <w:r w:rsidRPr="00237C2D">
        <w:rPr>
          <w:sz w:val="24"/>
          <w:lang w:val="pl-PL"/>
        </w:rPr>
        <w:t xml:space="preserve">Rezolucja Parlamentu Europejskiego z 10 marca 2022 r. w sprawie trzeciego unijnego planu działania w sprawie równości płci </w:t>
      </w:r>
      <w:r w:rsidR="003837E0">
        <w:rPr>
          <w:sz w:val="24"/>
          <w:lang w:val="pl-PL"/>
        </w:rPr>
        <w:t>(</w:t>
      </w:r>
      <w:r w:rsidRPr="00237C2D">
        <w:rPr>
          <w:sz w:val="24"/>
          <w:lang w:val="pl-PL"/>
        </w:rPr>
        <w:t xml:space="preserve">Dz.U. C 347 z 9.9.2022, </w:t>
      </w:r>
      <w:proofErr w:type="gramStart"/>
      <w:r w:rsidRPr="00237C2D">
        <w:rPr>
          <w:sz w:val="24"/>
          <w:lang w:val="pl-PL"/>
        </w:rPr>
        <w:t>s</w:t>
      </w:r>
      <w:proofErr w:type="gramEnd"/>
      <w:r w:rsidRPr="00237C2D">
        <w:rPr>
          <w:sz w:val="24"/>
          <w:lang w:val="pl-PL"/>
        </w:rPr>
        <w:t>. 150</w:t>
      </w:r>
      <w:r w:rsidR="003837E0">
        <w:rPr>
          <w:sz w:val="24"/>
          <w:lang w:val="pl-PL"/>
        </w:rPr>
        <w:t>)</w:t>
      </w:r>
      <w:r w:rsidRPr="00237C2D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C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C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C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0/2023"/>
    <w:docVar w:name="dvlangue" w:val="PL"/>
    <w:docVar w:name="dvnumam" w:val="0"/>
    <w:docVar w:name="dvpe" w:val="753.671"/>
    <w:docVar w:name="dvrapporteur" w:val="Sprawozdawca: "/>
    <w:docVar w:name="dvstar" w:val="/?"/>
    <w:docVar w:name="dvtitre" w:val="Rezolucja Parlamentu Europejskiego z dnia  2024 r. w sprawie wdrażania kompleksowej umowy gospodarczo-handlowej UE–Kanada (CETA)(2023/2001(INI))"/>
  </w:docVars>
  <w:rsids>
    <w:rsidRoot w:val="00850ADB"/>
    <w:rsid w:val="00002272"/>
    <w:rsid w:val="00064002"/>
    <w:rsid w:val="000677B9"/>
    <w:rsid w:val="000831BA"/>
    <w:rsid w:val="000A42CC"/>
    <w:rsid w:val="000E7DD9"/>
    <w:rsid w:val="0010095E"/>
    <w:rsid w:val="00125B37"/>
    <w:rsid w:val="0014036F"/>
    <w:rsid w:val="00187494"/>
    <w:rsid w:val="001F32AE"/>
    <w:rsid w:val="00237C2D"/>
    <w:rsid w:val="002767FF"/>
    <w:rsid w:val="002B18FE"/>
    <w:rsid w:val="002B5493"/>
    <w:rsid w:val="00343214"/>
    <w:rsid w:val="00361C00"/>
    <w:rsid w:val="003837E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0ADB"/>
    <w:rsid w:val="00865F67"/>
    <w:rsid w:val="00881A7B"/>
    <w:rsid w:val="008840E5"/>
    <w:rsid w:val="00887B3E"/>
    <w:rsid w:val="008C2AC6"/>
    <w:rsid w:val="00930C23"/>
    <w:rsid w:val="0093193B"/>
    <w:rsid w:val="00937AC2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318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428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FB029E"/>
  <w15:chartTrackingRefBased/>
  <w15:docId w15:val="{EF115E5E-83A4-47FD-8434-D3A67288D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aliases w:val="Fußnotentextf,Fußnotentextr,stile 1,Footnote,Footnote1,Footnote2,Footnote3,Footnote4,Footnote5,Footnote6,Footnote7,Footnote8,Footnote9,Footnote10,Footnote11,Footnote21,Footnote31,Footnote41,Footnote51,Footnote61,Footnote71,fn,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ußnotentextf Char,Fußnotentextr Char,stile 1 Char,Footnote Char,Footnote1 Char,Footnote2 Char,Footnote3 Char,Footnote4 Char,Footnote5 Char,Footnote6 Char,Footnote7 Char,Footnote8 Char,Footnote9 Char,Footnote10 Char,Footnote11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54280"/>
    <w:pPr>
      <w:spacing w:after="240"/>
      <w:ind w:left="567" w:hanging="567"/>
    </w:pPr>
  </w:style>
  <w:style w:type="paragraph" w:customStyle="1" w:styleId="EPComma">
    <w:name w:val="EPComma"/>
    <w:basedOn w:val="Normal"/>
    <w:rsid w:val="00D54280"/>
    <w:pPr>
      <w:spacing w:before="480" w:after="240"/>
    </w:pPr>
  </w:style>
  <w:style w:type="character" w:styleId="Hyperlink">
    <w:name w:val="Hyperlink"/>
    <w:basedOn w:val="DefaultParagraphFont"/>
    <w:rsid w:val="00D54280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D54280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-lex.europa.eu/legal-content/PL/TXT/?uri=CELEX:52017AP0030" TargetMode="External"/><Relationship Id="rId1" Type="http://schemas.openxmlformats.org/officeDocument/2006/relationships/hyperlink" Target="https://eur-lex.europa.eu/legal-content/PL/TXT/HTML/?uri=CELEX:22017X0114(01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8C46A-FF09-4ADF-A32D-8D87E858E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4121</Words>
  <Characters>23491</Characters>
  <Application>Microsoft Office Word</Application>
  <DocSecurity>0</DocSecurity>
  <Lines>195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2024-01-17T11:56:00Z</dcterms:created>
  <dcterms:modified xsi:type="dcterms:W3CDTF">2024-01-17T11:56:00Z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P9_TA(2024)0026_</vt:lpwstr>
  </property>
  <property fmtid="{D5CDD505-2E9C-101B-9397-08002B2CF9AE}" pid="4" name="&lt;Type&gt;">
    <vt:lpwstr>RR</vt:lpwstr>
  </property>
</Properties>
</file>