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46FC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46FC9" w:rsidRDefault="007700B8" w:rsidP="0010095E">
            <w:pPr>
              <w:pStyle w:val="EPName"/>
            </w:pPr>
            <w:r w:rsidRPr="00946FC9">
              <w:t>Parlamento Europeu</w:t>
            </w:r>
          </w:p>
          <w:p w:rsidR="00751A4A" w:rsidRPr="00946FC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46FC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946FC9" w:rsidRDefault="00187494" w:rsidP="0010095E">
            <w:pPr>
              <w:pStyle w:val="EPLogo"/>
            </w:pPr>
            <w:r w:rsidRPr="00946FC9">
              <w:rPr>
                <w:noProof/>
                <w:lang w:eastAsia="pt-PT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46FC9" w:rsidRDefault="00D058B8" w:rsidP="004C5D52">
      <w:pPr>
        <w:pStyle w:val="LineTop"/>
      </w:pPr>
    </w:p>
    <w:p w:rsidR="00680577" w:rsidRPr="00946FC9" w:rsidRDefault="007700B8" w:rsidP="00680577">
      <w:pPr>
        <w:pStyle w:val="EPBodyTA1"/>
      </w:pPr>
      <w:r w:rsidRPr="00946FC9">
        <w:t>TEXTOS APROVADOS</w:t>
      </w:r>
    </w:p>
    <w:p w:rsidR="00D058B8" w:rsidRPr="00946FC9" w:rsidRDefault="00D058B8" w:rsidP="00D058B8">
      <w:pPr>
        <w:pStyle w:val="LineBottom"/>
      </w:pPr>
    </w:p>
    <w:p w:rsidR="007700B8" w:rsidRPr="00946FC9" w:rsidRDefault="007700B8" w:rsidP="007700B8">
      <w:pPr>
        <w:pStyle w:val="ATHeading1"/>
      </w:pPr>
      <w:bookmarkStart w:id="0" w:name="TANumber"/>
      <w:r w:rsidRPr="00946FC9">
        <w:t>P9_</w:t>
      </w:r>
      <w:proofErr w:type="gramStart"/>
      <w:r w:rsidRPr="00946FC9">
        <w:t>TA(</w:t>
      </w:r>
      <w:proofErr w:type="gramEnd"/>
      <w:r w:rsidRPr="00946FC9">
        <w:t>2024)</w:t>
      </w:r>
      <w:bookmarkEnd w:id="0"/>
      <w:r w:rsidR="0011003A" w:rsidRPr="00946FC9">
        <w:t>0026</w:t>
      </w:r>
    </w:p>
    <w:p w:rsidR="007700B8" w:rsidRPr="00946FC9" w:rsidRDefault="007700B8" w:rsidP="007700B8">
      <w:pPr>
        <w:pStyle w:val="ATHeading2"/>
      </w:pPr>
      <w:bookmarkStart w:id="1" w:name="title"/>
      <w:r w:rsidRPr="00946FC9">
        <w:t>Aplicação do Acordo Económico e Comercial Global UE-Canadá (CETA)</w:t>
      </w:r>
      <w:bookmarkEnd w:id="1"/>
    </w:p>
    <w:p w:rsidR="007700B8" w:rsidRPr="00946FC9" w:rsidRDefault="007700B8" w:rsidP="007700B8">
      <w:pPr>
        <w:rPr>
          <w:i/>
          <w:vanish/>
        </w:rPr>
      </w:pPr>
      <w:r w:rsidRPr="00946FC9">
        <w:rPr>
          <w:i/>
        </w:rPr>
        <w:fldChar w:fldCharType="begin"/>
      </w:r>
      <w:r w:rsidRPr="00946FC9">
        <w:rPr>
          <w:i/>
        </w:rPr>
        <w:instrText xml:space="preserve"> TC"(</w:instrText>
      </w:r>
      <w:bookmarkStart w:id="2" w:name="DocNumber"/>
      <w:r w:rsidRPr="00946FC9">
        <w:rPr>
          <w:i/>
        </w:rPr>
        <w:instrText>A9-0400/2023</w:instrText>
      </w:r>
      <w:bookmarkEnd w:id="2"/>
      <w:r w:rsidRPr="00946FC9">
        <w:rPr>
          <w:i/>
        </w:rPr>
        <w:instrText xml:space="preserve"> - Relator: Javier Moreno Sánchez)"\l3 \n&gt; \* MERGEFORMAT </w:instrText>
      </w:r>
      <w:r w:rsidRPr="00946FC9">
        <w:rPr>
          <w:i/>
        </w:rPr>
        <w:fldChar w:fldCharType="end"/>
      </w:r>
    </w:p>
    <w:p w:rsidR="007700B8" w:rsidRPr="00946FC9" w:rsidRDefault="007700B8" w:rsidP="007700B8">
      <w:pPr>
        <w:rPr>
          <w:vanish/>
        </w:rPr>
      </w:pPr>
      <w:bookmarkStart w:id="3" w:name="Commission"/>
      <w:r w:rsidRPr="00946FC9">
        <w:rPr>
          <w:vanish/>
        </w:rPr>
        <w:t>Comissão do Comércio Internacional</w:t>
      </w:r>
      <w:bookmarkEnd w:id="3"/>
    </w:p>
    <w:p w:rsidR="007700B8" w:rsidRPr="00946FC9" w:rsidRDefault="007700B8" w:rsidP="007700B8">
      <w:pPr>
        <w:rPr>
          <w:vanish/>
        </w:rPr>
      </w:pPr>
      <w:bookmarkStart w:id="4" w:name="PE"/>
      <w:r w:rsidRPr="00946FC9">
        <w:rPr>
          <w:vanish/>
        </w:rPr>
        <w:t>PE753.671</w:t>
      </w:r>
      <w:bookmarkEnd w:id="4"/>
    </w:p>
    <w:p w:rsidR="007700B8" w:rsidRPr="00946FC9" w:rsidRDefault="007700B8" w:rsidP="007700B8">
      <w:pPr>
        <w:pStyle w:val="ATHeading3"/>
      </w:pPr>
      <w:bookmarkStart w:id="5" w:name="Sujet"/>
      <w:r w:rsidRPr="00946FC9">
        <w:t xml:space="preserve">Resolução do Parlamento Europeu, de </w:t>
      </w:r>
      <w:r w:rsidR="00D1097A" w:rsidRPr="00946FC9">
        <w:t xml:space="preserve">17 </w:t>
      </w:r>
      <w:r w:rsidRPr="00946FC9">
        <w:t xml:space="preserve">de </w:t>
      </w:r>
      <w:r w:rsidR="005E4DE3" w:rsidRPr="00946FC9">
        <w:t xml:space="preserve">janeiro </w:t>
      </w:r>
      <w:r w:rsidRPr="00946FC9">
        <w:t>de 2024, sobre a aplicação do Acordo Económico e Comercial Global UE-Canadá (CETA)</w:t>
      </w:r>
      <w:bookmarkEnd w:id="5"/>
      <w:r w:rsidRPr="00946FC9">
        <w:t xml:space="preserve"> </w:t>
      </w:r>
      <w:bookmarkStart w:id="6" w:name="References"/>
      <w:r w:rsidRPr="00946FC9">
        <w:t>(2023/2001(INI))</w:t>
      </w:r>
      <w:bookmarkEnd w:id="6"/>
    </w:p>
    <w:p w:rsidR="005432D8" w:rsidRPr="00946FC9" w:rsidRDefault="005432D8" w:rsidP="005432D8">
      <w:pPr>
        <w:pStyle w:val="EPComma"/>
      </w:pPr>
      <w:bookmarkStart w:id="7" w:name="TextBodyBegin"/>
      <w:bookmarkEnd w:id="7"/>
      <w:r w:rsidRPr="00946FC9">
        <w:rPr>
          <w:i/>
          <w:iCs/>
        </w:rPr>
        <w:t>O Parlamento Europeu</w:t>
      </w:r>
      <w:r w:rsidRPr="00946FC9">
        <w:t>,</w:t>
      </w:r>
    </w:p>
    <w:p w:rsidR="005432D8" w:rsidRPr="00946FC9" w:rsidRDefault="005432D8" w:rsidP="005432D8">
      <w:pPr>
        <w:pStyle w:val="NormalHanging12a"/>
      </w:pPr>
      <w:r w:rsidRPr="00946FC9">
        <w:t>–</w:t>
      </w:r>
      <w:r w:rsidRPr="00946FC9">
        <w:tab/>
        <w:t>Tendo em conta o Acordo Económico e Comercial Global (CETA</w:t>
      </w:r>
      <w:r w:rsidR="00946FC9">
        <w:t>, do inglês «</w:t>
      </w:r>
      <w:r w:rsidR="00946FC9" w:rsidRPr="00946FC9">
        <w:t>Comprehensive Economic and Trade Agreement</w:t>
      </w:r>
      <w:r w:rsidR="00946FC9">
        <w:t>»</w:t>
      </w:r>
      <w:r w:rsidRPr="00946FC9">
        <w:t>) entre o Canadá, por um lado, e a União Europeia e os seus Estados</w:t>
      </w:r>
      <w:r w:rsidRPr="00946FC9">
        <w:noBreakHyphen/>
        <w:t>Membros, por outro</w:t>
      </w:r>
      <w:r w:rsidRPr="00946FC9">
        <w:rPr>
          <w:rStyle w:val="FootnoteReference"/>
        </w:rPr>
        <w:footnoteReference w:id="1"/>
      </w:r>
      <w:r w:rsidRPr="00946FC9">
        <w:t>,</w:t>
      </w:r>
    </w:p>
    <w:p w:rsidR="005432D8" w:rsidRPr="00946FC9" w:rsidRDefault="005432D8" w:rsidP="005432D8">
      <w:pPr>
        <w:pStyle w:val="NormalHanging12a"/>
        <w:rPr>
          <w:b/>
          <w:i/>
        </w:rPr>
      </w:pPr>
      <w:r w:rsidRPr="00946FC9">
        <w:t>–</w:t>
      </w:r>
      <w:r w:rsidRPr="00946FC9">
        <w:tab/>
        <w:t>Tendo em conta o Instrumento Comum Interpretativo sobre o Acordo Económico e Comercial Global (CETA) entre o Canadá e a União Europeia e os seus Estados</w:t>
      </w:r>
      <w:r w:rsidRPr="00946FC9">
        <w:noBreakHyphen/>
        <w:t>Membros</w:t>
      </w:r>
      <w:r w:rsidRPr="00946FC9">
        <w:rPr>
          <w:rStyle w:val="FootnoteReference"/>
        </w:rPr>
        <w:footnoteReference w:id="2"/>
      </w:r>
      <w:r w:rsidRPr="00946FC9">
        <w:t>,</w:t>
      </w:r>
    </w:p>
    <w:p w:rsidR="005432D8" w:rsidRPr="00946FC9" w:rsidRDefault="005432D8" w:rsidP="005432D8">
      <w:pPr>
        <w:pStyle w:val="NormalHanging12a"/>
      </w:pPr>
      <w:r w:rsidRPr="00946FC9">
        <w:t>–</w:t>
      </w:r>
      <w:r w:rsidRPr="00946FC9">
        <w:tab/>
        <w:t>Tendo em conta a Parceria Estratégica sobre Matérias</w:t>
      </w:r>
      <w:r w:rsidRPr="00946FC9">
        <w:noBreakHyphen/>
        <w:t>Primas entre o Canadá, por um lado, e a União Europeia e os seus Estados</w:t>
      </w:r>
      <w:r w:rsidRPr="00946FC9">
        <w:noBreakHyphen/>
        <w:t>Membros, por outro, que foi acordado e lançado na Cimeira UE</w:t>
      </w:r>
      <w:r w:rsidRPr="00946FC9">
        <w:noBreakHyphen/>
        <w:t>Canadá, em 14 e 15 de junho de 2021,</w:t>
      </w:r>
    </w:p>
    <w:p w:rsidR="005432D8" w:rsidRPr="00946FC9" w:rsidRDefault="005432D8" w:rsidP="005432D8">
      <w:pPr>
        <w:pStyle w:val="NormalHanging12a"/>
      </w:pPr>
      <w:r w:rsidRPr="00946FC9">
        <w:t>–</w:t>
      </w:r>
      <w:r w:rsidRPr="00946FC9">
        <w:tab/>
        <w:t>Tendo em conta a Decisão n.º X/2023 do Comité Misto CETA relativo à interpretação de determinados termos do artigo 8.º, n.º 10, do anexo 8</w:t>
      </w:r>
      <w:r w:rsidRPr="00946FC9">
        <w:noBreakHyphen/>
        <w:t>A e do artigo 8.º, n.º 39,</w:t>
      </w:r>
    </w:p>
    <w:p w:rsidR="005432D8" w:rsidRPr="00946FC9" w:rsidRDefault="005432D8" w:rsidP="005432D8">
      <w:pPr>
        <w:pStyle w:val="NormalHanging12a"/>
      </w:pPr>
      <w:r w:rsidRPr="00946FC9">
        <w:t>–</w:t>
      </w:r>
      <w:r w:rsidRPr="00946FC9">
        <w:tab/>
        <w:t>Tendo em conta a sua posição, de 15 de fevereiro de 2017, sobre o projeto de decisão do Conselho relativa à celebração do Acordo Económico e Comercial Global (CETA) entre o Canadá, por um lado, e a U</w:t>
      </w:r>
      <w:bookmarkStart w:id="8" w:name="_GoBack"/>
      <w:bookmarkEnd w:id="8"/>
      <w:r w:rsidRPr="00946FC9">
        <w:t>nião Europeia e os seus Estados</w:t>
      </w:r>
      <w:r w:rsidRPr="00946FC9">
        <w:noBreakHyphen/>
        <w:t>Membros, por outro</w:t>
      </w:r>
      <w:r w:rsidRPr="00946FC9">
        <w:rPr>
          <w:rStyle w:val="FootnoteReference"/>
        </w:rPr>
        <w:footnoteReference w:id="3"/>
      </w:r>
      <w:r w:rsidRPr="00946FC9">
        <w:t>,</w:t>
      </w:r>
    </w:p>
    <w:p w:rsidR="005432D8" w:rsidRPr="00946FC9" w:rsidRDefault="005432D8" w:rsidP="005432D8">
      <w:pPr>
        <w:pStyle w:val="NormalHanging12a"/>
      </w:pPr>
      <w:r w:rsidRPr="00946FC9">
        <w:t>–</w:t>
      </w:r>
      <w:r w:rsidRPr="00946FC9">
        <w:tab/>
        <w:t>Tendo em conta o Parecer 2/15 do Tribunal de Justiça da União Europeia, de 16 de maio de 20</w:t>
      </w:r>
      <w:r w:rsidR="00807813">
        <w:t>1</w:t>
      </w:r>
      <w:r w:rsidRPr="00946FC9">
        <w:t>7, nos termos do artigo 218.º, n.º 11, do TFUE, sobre o Acordo de Comércio Livre entre a União Europeia e a República de Singapura</w:t>
      </w:r>
      <w:r w:rsidRPr="00946FC9">
        <w:rPr>
          <w:rStyle w:val="FootnoteReference"/>
        </w:rPr>
        <w:footnoteReference w:id="4"/>
      </w:r>
      <w:r w:rsidRPr="00946FC9">
        <w:t>,</w:t>
      </w:r>
    </w:p>
    <w:p w:rsidR="005432D8" w:rsidRPr="00946FC9" w:rsidRDefault="005432D8" w:rsidP="005432D8">
      <w:pPr>
        <w:pStyle w:val="NormalHanging12a"/>
      </w:pPr>
      <w:r w:rsidRPr="00946FC9">
        <w:t>–</w:t>
      </w:r>
      <w:r w:rsidRPr="00946FC9">
        <w:tab/>
        <w:t>Tendo em conta as declarações conjuntas da UE e dos grupos consultivos internos (GCI) do Canadá,</w:t>
      </w:r>
    </w:p>
    <w:p w:rsidR="005432D8" w:rsidRPr="00946FC9" w:rsidRDefault="005432D8" w:rsidP="005432D8">
      <w:pPr>
        <w:pStyle w:val="NormalHanging12a"/>
      </w:pPr>
      <w:r w:rsidRPr="00946FC9">
        <w:lastRenderedPageBreak/>
        <w:t>–</w:t>
      </w:r>
      <w:r w:rsidRPr="00946FC9">
        <w:tab/>
        <w:t>Tendo em conta o Relatório da Comissão, de 11 de outubro de 2022, sobre a Aplicação e o Cumprimento dos Acordos Comerciais da UE (</w:t>
      </w:r>
      <w:proofErr w:type="gramStart"/>
      <w:r w:rsidRPr="00946FC9">
        <w:t>COM(</w:t>
      </w:r>
      <w:proofErr w:type="gramEnd"/>
      <w:r w:rsidRPr="00946FC9">
        <w:t>2022)0730),</w:t>
      </w:r>
    </w:p>
    <w:p w:rsidR="005432D8" w:rsidRPr="00946FC9" w:rsidRDefault="005432D8" w:rsidP="005432D8">
      <w:pPr>
        <w:pStyle w:val="NormalHanging12a"/>
      </w:pPr>
      <w:r w:rsidRPr="00946FC9">
        <w:t>–</w:t>
      </w:r>
      <w:r w:rsidRPr="00946FC9">
        <w:tab/>
        <w:t>Tendo em conta a Comunicação da Comissão, de 22 de junho de 2022, intitulada «O poder das parcerias comerciais: juntos por um crescimento económico ecológico e justo» (</w:t>
      </w:r>
      <w:proofErr w:type="gramStart"/>
      <w:r w:rsidRPr="00946FC9">
        <w:t>COM(</w:t>
      </w:r>
      <w:proofErr w:type="gramEnd"/>
      <w:r w:rsidRPr="00946FC9">
        <w:t>2022)0409),</w:t>
      </w:r>
    </w:p>
    <w:p w:rsidR="005432D8" w:rsidRPr="00946FC9" w:rsidRDefault="005432D8" w:rsidP="005432D8">
      <w:pPr>
        <w:pStyle w:val="NormalHanging12a"/>
      </w:pPr>
      <w:r w:rsidRPr="00946FC9">
        <w:t>–</w:t>
      </w:r>
      <w:r w:rsidRPr="00946FC9">
        <w:tab/>
        <w:t>Tendo em conta o relatório do Comité Misto CETA de 31 de março de 2023, na sequência da sua terceira reunião,</w:t>
      </w:r>
    </w:p>
    <w:p w:rsidR="005432D8" w:rsidRPr="00946FC9" w:rsidRDefault="005432D8" w:rsidP="005432D8">
      <w:pPr>
        <w:pStyle w:val="NormalHanging12a"/>
      </w:pPr>
      <w:r w:rsidRPr="00946FC9">
        <w:t>–</w:t>
      </w:r>
      <w:r w:rsidRPr="00946FC9">
        <w:tab/>
        <w:t>Tendo em conta a sua Resolução, de 23 de junho de 2022, sobre o futuro da política da UE em matéria de investimento internacional</w:t>
      </w:r>
      <w:r w:rsidRPr="00946FC9">
        <w:rPr>
          <w:rStyle w:val="FootnoteReference"/>
        </w:rPr>
        <w:footnoteReference w:id="5"/>
      </w:r>
      <w:r w:rsidRPr="00946FC9">
        <w:t>,</w:t>
      </w:r>
    </w:p>
    <w:p w:rsidR="005432D8" w:rsidRPr="00946FC9" w:rsidRDefault="005432D8" w:rsidP="005432D8">
      <w:pPr>
        <w:pStyle w:val="NormalHanging12a"/>
      </w:pPr>
      <w:r w:rsidRPr="00946FC9">
        <w:t>–</w:t>
      </w:r>
      <w:r w:rsidRPr="00946FC9">
        <w:tab/>
        <w:t>Tendo em conta as recomendações do Comité Misto CETA, de 26 de setembro de 2018, sobre comércio, ação climática e o Acordo de Paris, sobre o comércio e género e sobre as micro, pequenas e médias empresas (PME),</w:t>
      </w:r>
    </w:p>
    <w:p w:rsidR="005432D8" w:rsidRPr="00946FC9" w:rsidRDefault="005432D8" w:rsidP="005432D8">
      <w:pPr>
        <w:pStyle w:val="NormalHanging12a"/>
      </w:pPr>
      <w:r w:rsidRPr="00946FC9">
        <w:t>–</w:t>
      </w:r>
      <w:r w:rsidRPr="00946FC9">
        <w:tab/>
        <w:t>Tendo em conta a Comunicação da Comissão, de 5 de março de 2020, intitulada «Uma União da Igualdade: Estratégia para a Igualdade de Género 2020</w:t>
      </w:r>
      <w:r w:rsidRPr="00946FC9">
        <w:noBreakHyphen/>
        <w:t>2025» (</w:t>
      </w:r>
      <w:proofErr w:type="gramStart"/>
      <w:r w:rsidRPr="00946FC9">
        <w:t>COM(</w:t>
      </w:r>
      <w:proofErr w:type="gramEnd"/>
      <w:r w:rsidRPr="00946FC9">
        <w:t>2020)0152),</w:t>
      </w:r>
    </w:p>
    <w:p w:rsidR="005432D8" w:rsidRPr="00946FC9" w:rsidRDefault="005432D8" w:rsidP="005432D8">
      <w:pPr>
        <w:pStyle w:val="NormalHanging12a"/>
      </w:pPr>
      <w:r w:rsidRPr="00946FC9">
        <w:t>–</w:t>
      </w:r>
      <w:r w:rsidRPr="00946FC9">
        <w:tab/>
        <w:t>Tendo em conta os relatórios dos diferentes comités especializados, do fórum da sociedade civil e do fórum de cooperação em matéria de regulamentação,</w:t>
      </w:r>
    </w:p>
    <w:p w:rsidR="005432D8" w:rsidRPr="00946FC9" w:rsidRDefault="005432D8" w:rsidP="005432D8">
      <w:pPr>
        <w:pStyle w:val="NormalHanging12a"/>
      </w:pPr>
      <w:r w:rsidRPr="00946FC9">
        <w:t>–</w:t>
      </w:r>
      <w:r w:rsidRPr="00946FC9">
        <w:tab/>
        <w:t>Tendo em conta o Sexto Relatório de Avaliação do Painel Intergovernamental sobre as Alterações Climáticas (PIAC), publicado em 20 de março de 2023,</w:t>
      </w:r>
    </w:p>
    <w:p w:rsidR="005432D8" w:rsidRPr="00946FC9" w:rsidRDefault="005432D8" w:rsidP="005432D8">
      <w:pPr>
        <w:pStyle w:val="NormalHanging12a"/>
      </w:pPr>
      <w:r w:rsidRPr="00946FC9">
        <w:t>–</w:t>
      </w:r>
      <w:r w:rsidRPr="00946FC9">
        <w:tab/>
        <w:t>Tendo em conta as sucessivas auditorias realizadas em 2014, 2019 e 2022 pela Direção</w:t>
      </w:r>
      <w:r w:rsidRPr="00946FC9">
        <w:noBreakHyphen/>
        <w:t>Geral da Saúde e da Segurança dos Alimentos da Comissão sobre a rastreabilidade e a qualidade dos sistemas de controlo em vigor que regem a produção de carne de bovino e de suíno destinada à exportação para a União Europeia,</w:t>
      </w:r>
    </w:p>
    <w:p w:rsidR="005432D8" w:rsidRPr="00946FC9" w:rsidRDefault="005432D8" w:rsidP="005432D8">
      <w:pPr>
        <w:pStyle w:val="NormalHanging12a"/>
      </w:pPr>
      <w:r w:rsidRPr="00946FC9">
        <w:t>–</w:t>
      </w:r>
      <w:r w:rsidRPr="00946FC9">
        <w:tab/>
        <w:t>Tendo em conta o artigo 54.º do seu Regimento, bem como o artigo 1.º, n.º 1, alínea e), e o anexo 3 da Decisão da Conferência dos Presidentes, de 12 de dezembro de 2002, sobre o processo de autorização para elaborar relatórios de iniciativa,</w:t>
      </w:r>
    </w:p>
    <w:p w:rsidR="005432D8" w:rsidRPr="00946FC9" w:rsidRDefault="005432D8" w:rsidP="005432D8">
      <w:pPr>
        <w:pStyle w:val="NormalHanging12a"/>
      </w:pPr>
      <w:r w:rsidRPr="00946FC9">
        <w:t>–</w:t>
      </w:r>
      <w:r w:rsidRPr="00946FC9">
        <w:tab/>
        <w:t>Tendo em conta o parecer da Comissão da Agricultura e do Desenvolvimento Rural,</w:t>
      </w:r>
    </w:p>
    <w:p w:rsidR="005432D8" w:rsidRPr="00946FC9" w:rsidRDefault="005432D8" w:rsidP="005432D8">
      <w:pPr>
        <w:pStyle w:val="NormalHanging12a"/>
      </w:pPr>
      <w:r w:rsidRPr="00946FC9">
        <w:t>–</w:t>
      </w:r>
      <w:r w:rsidRPr="00946FC9">
        <w:tab/>
        <w:t>Tendo em conta o relatório da Comissão do Comércio Internacional (A9</w:t>
      </w:r>
      <w:r w:rsidRPr="00946FC9">
        <w:noBreakHyphen/>
        <w:t>0400/2023),</w:t>
      </w:r>
    </w:p>
    <w:p w:rsidR="005432D8" w:rsidRPr="00946FC9" w:rsidRDefault="005432D8" w:rsidP="005432D8">
      <w:pPr>
        <w:pStyle w:val="NormalHanging12a"/>
      </w:pPr>
      <w:r w:rsidRPr="00946FC9">
        <w:t>A.</w:t>
      </w:r>
      <w:r w:rsidRPr="00946FC9">
        <w:tab/>
        <w:t>Considerando que o CETA é um dos primeiros acordos comerciais que a UE celebrou com outra importante economia consolidada da OCDE, a seguir à Coreia do Sul</w:t>
      </w:r>
      <w:r w:rsidR="005E4DE3" w:rsidRPr="00946FC9">
        <w:t>; considerando que</w:t>
      </w:r>
      <w:r w:rsidRPr="00946FC9">
        <w:t xml:space="preserve"> foi igualmente o acordo mais ambicioso e abrangente que tanto a UE como o Canadá celebraram na altura, incluindo um acesso sem precedentes aos contratos públicos a nível subfederal e federal;</w:t>
      </w:r>
    </w:p>
    <w:p w:rsidR="005432D8" w:rsidRPr="00946FC9" w:rsidRDefault="005432D8" w:rsidP="005432D8">
      <w:pPr>
        <w:pStyle w:val="NormalHanging12a"/>
      </w:pPr>
      <w:proofErr w:type="gramStart"/>
      <w:r w:rsidRPr="00946FC9">
        <w:t>B.</w:t>
      </w:r>
      <w:r w:rsidRPr="00946FC9">
        <w:tab/>
        <w:t>Considerando</w:t>
      </w:r>
      <w:proofErr w:type="gramEnd"/>
      <w:r w:rsidRPr="00946FC9">
        <w:t xml:space="preserve"> que o CETA é aplicado a título provisório desde 21 de setembro de 2017, ou seja, há mais de seis anos;</w:t>
      </w:r>
    </w:p>
    <w:p w:rsidR="005432D8" w:rsidRPr="00946FC9" w:rsidRDefault="005432D8" w:rsidP="005432D8">
      <w:pPr>
        <w:pStyle w:val="NormalHanging12a"/>
      </w:pPr>
      <w:proofErr w:type="gramStart"/>
      <w:r w:rsidRPr="00946FC9">
        <w:t>C.</w:t>
      </w:r>
      <w:r w:rsidRPr="00946FC9">
        <w:tab/>
        <w:t>Considerando</w:t>
      </w:r>
      <w:proofErr w:type="gramEnd"/>
      <w:r w:rsidRPr="00946FC9">
        <w:t xml:space="preserve"> que ainda não foram aplicadas disposições importantes, nomeadamente </w:t>
      </w:r>
      <w:r w:rsidRPr="00946FC9">
        <w:lastRenderedPageBreak/>
        <w:t>em matéria de proteção dos investimentos, uma vez que nem todos os Estados</w:t>
      </w:r>
      <w:r w:rsidRPr="00946FC9">
        <w:noBreakHyphen/>
        <w:t>Membros ratificaram o acordo;</w:t>
      </w:r>
    </w:p>
    <w:p w:rsidR="005432D8" w:rsidRPr="00946FC9" w:rsidRDefault="005432D8" w:rsidP="005432D8">
      <w:pPr>
        <w:pStyle w:val="NormalHanging12a"/>
      </w:pPr>
      <w:r w:rsidRPr="00946FC9">
        <w:t>D.</w:t>
      </w:r>
      <w:r w:rsidRPr="00946FC9">
        <w:tab/>
        <w:t>Considerando que o Canadá e a UE estão a finalizar um projeto de decisão do Comité Misto CETA relativo à interpretação de determinados termos do artigo 8.º, n.º 10, do anexo 8</w:t>
      </w:r>
      <w:r w:rsidRPr="00946FC9">
        <w:noBreakHyphen/>
        <w:t>A e do artigo 8.º, n.º 39, que especifica o âmbito do direito de regulamentar no contexto do capítulo relativo à proteção dos investimentos, e à facilitação do acesso das PME ao sistema judicial em matéria de investimento ao abrigo do CETA;</w:t>
      </w:r>
    </w:p>
    <w:p w:rsidR="005432D8" w:rsidRPr="00946FC9" w:rsidRDefault="005432D8" w:rsidP="005432D8">
      <w:pPr>
        <w:pStyle w:val="NormalHanging12a"/>
      </w:pPr>
      <w:r w:rsidRPr="00946FC9">
        <w:t>E.</w:t>
      </w:r>
      <w:r w:rsidRPr="00946FC9">
        <w:tab/>
        <w:t>Considerando que a UE foi o terceiro maior parceiro comercial do Canadá, a seguir aos Estados Unidos e à China, representando 8,2 % do seu comércio de mercadorias a nível mundial em 2022</w:t>
      </w:r>
      <w:r w:rsidR="005E4DE3" w:rsidRPr="00946FC9">
        <w:t>; considerando que</w:t>
      </w:r>
      <w:r w:rsidRPr="00946FC9">
        <w:t>, no mesmo ano, o Canadá ocupou o 14.º lugar entre os parceiros comerciais internacionais da UE, representando quase 1,4 % do comércio externo total de mercadorias da UE;</w:t>
      </w:r>
    </w:p>
    <w:p w:rsidR="005432D8" w:rsidRPr="00946FC9" w:rsidRDefault="005432D8" w:rsidP="005432D8">
      <w:pPr>
        <w:pStyle w:val="NormalHanging12a"/>
      </w:pPr>
      <w:proofErr w:type="gramStart"/>
      <w:r w:rsidRPr="00946FC9">
        <w:t>F.</w:t>
      </w:r>
      <w:r w:rsidRPr="00946FC9">
        <w:tab/>
        <w:t>Considerando</w:t>
      </w:r>
      <w:proofErr w:type="gramEnd"/>
      <w:r w:rsidRPr="00946FC9">
        <w:t xml:space="preserve"> que a guerra de agressão da Rússia contra a Ucrânia colocou em evidência a necessidade de diversificar os acordos comerciais e de diminuir a dependência das importações e exportações de um número limitado de parceiros comerciais, bem como a importância de celebrar acordos comerciais com parceiros que partilhem as mesmas ideias;</w:t>
      </w:r>
    </w:p>
    <w:p w:rsidR="005432D8" w:rsidRPr="00946FC9" w:rsidRDefault="005432D8" w:rsidP="005432D8">
      <w:pPr>
        <w:pStyle w:val="NormalHanging12a"/>
      </w:pPr>
      <w:proofErr w:type="gramStart"/>
      <w:r w:rsidRPr="00946FC9">
        <w:t>G.</w:t>
      </w:r>
      <w:r w:rsidRPr="00946FC9">
        <w:tab/>
        <w:t>Considerando</w:t>
      </w:r>
      <w:proofErr w:type="gramEnd"/>
      <w:r w:rsidRPr="00946FC9">
        <w:t xml:space="preserve"> que a aplicação e monitorização efetivas dos acordos comerciais da UE constituem uma prioridade fundamental para o Parlamento, o Conselho e a Comissão, com o objetivo de acompanhar, avaliar e calibrar a política comercial comum da UE (CCP)</w:t>
      </w:r>
      <w:r w:rsidR="005E4DE3" w:rsidRPr="00946FC9">
        <w:t>; considerando que</w:t>
      </w:r>
      <w:r w:rsidRPr="00946FC9">
        <w:t xml:space="preserve"> a apresentação de relatórios sobre a aplicação do acordo com o Canadá é um contributo oportuno e útil para refletir sobre o funcionamento dos acordos comerciais da UE;</w:t>
      </w:r>
    </w:p>
    <w:p w:rsidR="005432D8" w:rsidRPr="00946FC9" w:rsidRDefault="005432D8" w:rsidP="005432D8">
      <w:pPr>
        <w:pStyle w:val="NormalHanging12a"/>
      </w:pPr>
      <w:proofErr w:type="gramStart"/>
      <w:r w:rsidRPr="00946FC9">
        <w:t>H.</w:t>
      </w:r>
      <w:r w:rsidRPr="00946FC9">
        <w:tab/>
        <w:t>Considerando</w:t>
      </w:r>
      <w:proofErr w:type="gramEnd"/>
      <w:r w:rsidRPr="00946FC9">
        <w:t xml:space="preserve"> que o quadro institucional ao abrigo do CETA já está plenamente operacional, com 19 comités especializados, um fórum de cooperação em matéria de regulamentação e um fórum da sociedade civil, e que os seus programas e relatórios estão disponíveis ao público;</w:t>
      </w:r>
    </w:p>
    <w:p w:rsidR="005432D8" w:rsidRPr="00946FC9" w:rsidRDefault="005432D8" w:rsidP="005432D8">
      <w:pPr>
        <w:pStyle w:val="NormalHanging12a"/>
      </w:pPr>
      <w:proofErr w:type="gramStart"/>
      <w:r w:rsidRPr="00946FC9">
        <w:t>I.</w:t>
      </w:r>
      <w:r w:rsidRPr="00946FC9">
        <w:tab/>
        <w:t>Considerando</w:t>
      </w:r>
      <w:proofErr w:type="gramEnd"/>
      <w:r w:rsidRPr="00946FC9">
        <w:t xml:space="preserve"> que o Canadá foi o primeiro país com o qual a UE estabeleceu uma Parceria Estratégica sobre Matérias</w:t>
      </w:r>
      <w:r w:rsidRPr="00946FC9">
        <w:noBreakHyphen/>
        <w:t>Primas, que foi posteriormente complementada pela Iniciativa de Aliança Verde, pela Parceria Digital UE</w:t>
      </w:r>
      <w:r w:rsidRPr="00946FC9">
        <w:noBreakHyphen/>
        <w:t>Canadá e pela Parceria Oceanos UE</w:t>
      </w:r>
      <w:r w:rsidRPr="00946FC9">
        <w:noBreakHyphen/>
        <w:t>Canadá;</w:t>
      </w:r>
    </w:p>
    <w:p w:rsidR="005432D8" w:rsidRPr="00946FC9" w:rsidRDefault="005432D8" w:rsidP="005432D8">
      <w:pPr>
        <w:pStyle w:val="NormalHanging12a"/>
      </w:pPr>
      <w:proofErr w:type="gramStart"/>
      <w:r w:rsidRPr="00946FC9">
        <w:t>J.</w:t>
      </w:r>
      <w:r w:rsidRPr="00946FC9">
        <w:tab/>
        <w:t>Considerando</w:t>
      </w:r>
      <w:proofErr w:type="gramEnd"/>
      <w:r w:rsidRPr="00946FC9">
        <w:t xml:space="preserve"> que o Canadá é um participante ativo no Diálogo da OMC sobre a Poluição por Plásticos e o Comércio de Plásticos Ambientalmente Sustentáveis e no Comité da OMC sobre Comércio e Ambiente, mas não é membro da iniciativa Reforma dos Subsídios aos Combustíveis Fósseis (FFSR</w:t>
      </w:r>
      <w:r w:rsidR="00503A48" w:rsidRPr="00946FC9">
        <w:t>, do inglês</w:t>
      </w:r>
      <w:r w:rsidRPr="00946FC9">
        <w:t xml:space="preserve"> </w:t>
      </w:r>
      <w:r w:rsidRPr="00946FC9">
        <w:rPr>
          <w:i/>
          <w:iCs/>
        </w:rPr>
        <w:t>Fossil Fuel Subsidy Reform</w:t>
      </w:r>
      <w:r w:rsidRPr="00946FC9">
        <w:t>);</w:t>
      </w:r>
    </w:p>
    <w:p w:rsidR="005432D8" w:rsidRPr="00946FC9" w:rsidRDefault="005432D8" w:rsidP="005432D8">
      <w:pPr>
        <w:pStyle w:val="NormalHanging12a"/>
      </w:pPr>
      <w:proofErr w:type="gramStart"/>
      <w:r w:rsidRPr="00946FC9">
        <w:t>K.</w:t>
      </w:r>
      <w:r w:rsidRPr="00946FC9">
        <w:tab/>
        <w:t>Considerando</w:t>
      </w:r>
      <w:proofErr w:type="gramEnd"/>
      <w:r w:rsidRPr="00946FC9">
        <w:t xml:space="preserve"> que existe atualmente experiência, dados e informações estatísticas suficientes para avaliar a aplicação provisória do CETA;</w:t>
      </w:r>
    </w:p>
    <w:p w:rsidR="005432D8" w:rsidRPr="00946FC9" w:rsidRDefault="005432D8" w:rsidP="005432D8">
      <w:pPr>
        <w:pStyle w:val="NormalHanging12a"/>
      </w:pPr>
      <w:proofErr w:type="gramStart"/>
      <w:r w:rsidRPr="00946FC9">
        <w:t>L.</w:t>
      </w:r>
      <w:r w:rsidRPr="00946FC9">
        <w:tab/>
        <w:t>Considerando</w:t>
      </w:r>
      <w:proofErr w:type="gramEnd"/>
      <w:r w:rsidRPr="00946FC9">
        <w:t xml:space="preserve"> que o Canadá é líder mundial na coconstrução de políticas públicas em prol da economia social e solidária</w:t>
      </w:r>
      <w:r w:rsidR="005E4DE3" w:rsidRPr="00946FC9">
        <w:t>; considerando que</w:t>
      </w:r>
      <w:r w:rsidRPr="00946FC9">
        <w:t xml:space="preserve"> a economia social e solidária representa quase 10 % do produto interno bruto (PIB) em determinadas províncias, como o Quebeque, representando cerca de 210 000 postos de trabalho;</w:t>
      </w:r>
    </w:p>
    <w:p w:rsidR="005432D8" w:rsidRPr="00946FC9" w:rsidRDefault="005432D8" w:rsidP="005432D8">
      <w:pPr>
        <w:pStyle w:val="NormalHanging12a"/>
        <w:rPr>
          <w:b/>
          <w:szCs w:val="24"/>
        </w:rPr>
      </w:pPr>
      <w:r w:rsidRPr="00946FC9">
        <w:rPr>
          <w:b/>
          <w:i/>
        </w:rPr>
        <w:t>Principais conclusões e recomendações</w:t>
      </w:r>
    </w:p>
    <w:p w:rsidR="005432D8" w:rsidRPr="00946FC9" w:rsidRDefault="005432D8" w:rsidP="005432D8">
      <w:pPr>
        <w:pStyle w:val="NormalHanging12a"/>
      </w:pPr>
      <w:r w:rsidRPr="00946FC9">
        <w:lastRenderedPageBreak/>
        <w:t>1.</w:t>
      </w:r>
      <w:r w:rsidRPr="00946FC9">
        <w:tab/>
        <w:t>Salienta que o CETA assenta numa relação baseada em regras e valores, que promove um ambiente económico mais seguro e estável entre os parceiros comerciais, o que é particularmente importante num contexto de grandes incertezas geopolíticas, e nos princípios do desenvolvimento sustentável e do respeito pelos direitos humanos e pelas normas laborais e ambientais; considera que essa previsibilidade pode fomentar o crescimento económico, as trocas de mercadorias, a prestação de serviços, a participação nos contratos públicos, a atratividade do investimento, a qualidade do emprego, bem como a criação de mais e melhores empregos, e melhorou as condições de trabalho e o nível de vida; observa, no entanto, que o CETA deve continuar a reforçar o desenvolvimento sustentável e o respeito pelos direitos humanos e laborais, bem como a proteger o clima;</w:t>
      </w:r>
    </w:p>
    <w:p w:rsidR="005432D8" w:rsidRPr="00946FC9" w:rsidRDefault="005432D8" w:rsidP="005432D8">
      <w:pPr>
        <w:pStyle w:val="NormalHanging12a"/>
      </w:pPr>
      <w:r w:rsidRPr="00946FC9">
        <w:t>2.</w:t>
      </w:r>
      <w:r w:rsidRPr="00946FC9">
        <w:tab/>
        <w:t>Observa com satisfação que o comércio de mercadorias entre a UE e o Canadá aumentou 66 % entre 2016 e 2022, enquanto o comércio de serviços entre a UE e o Canadá subiu 46 %, ultrapassando o outro comércio extra</w:t>
      </w:r>
      <w:r w:rsidRPr="00946FC9">
        <w:noBreakHyphen/>
        <w:t>UE; regista o facto de as exportações de mercadorias da UE para o Canadá terem aumentado 47 % durante os primeiros cinco anos de aplicação provisória, tendo os maiores ganhos sido registados nos casos de produtos transformados, dos produtos químicos e dos produtos alimentares e de origem animal; observa que a maioria das preocupações expressas antes da aplicação provisória do acordo quanto à entrada de produtos agrícolas canadianos no mercado da UE não se materializou; assinala que as exportações canadianas para a UE aumentaram 46,4 %, tendo sido registados os maiores ganhos nos setores dos minérios e das pedras e metais preciosos, dos combustíveis minerais e dos óleos;</w:t>
      </w:r>
    </w:p>
    <w:p w:rsidR="005432D8" w:rsidRPr="00946FC9" w:rsidRDefault="005432D8" w:rsidP="005432D8">
      <w:pPr>
        <w:pStyle w:val="NormalHanging12a"/>
        <w:rPr>
          <w:bCs/>
          <w:iCs/>
        </w:rPr>
      </w:pPr>
      <w:r w:rsidRPr="00946FC9">
        <w:t>3.</w:t>
      </w:r>
      <w:r w:rsidRPr="00946FC9">
        <w:tab/>
        <w:t>Realça o crescimento considerável do comércio bilateral de produtos alimentares e agrícolas entre a UE e o Canadá, com um aumento de 62 % das exportações de produtos agrícolas da UE para o Canadá e de 52 % das importações da UE destes produtos provenientes do Canadá desde o início da aplicação provisória do CETA; observa que tal beneficiou significativamente os produtores e os exportadores de ambas as Partes e contribuiu também para a criação de emprego; congratula</w:t>
      </w:r>
      <w:r w:rsidRPr="00946FC9">
        <w:noBreakHyphen/>
        <w:t>se com o aumento considerável do número de microempresas e de pequenas e médias empresas da União que exportam para o Canadá, e com o aumento do valor dos produtos exportados, observando que o acordo serve, assim, os seus interesses de forma significativa;</w:t>
      </w:r>
    </w:p>
    <w:p w:rsidR="005432D8" w:rsidRPr="00946FC9" w:rsidRDefault="005432D8" w:rsidP="005432D8">
      <w:pPr>
        <w:pStyle w:val="NormalHanging12a"/>
        <w:rPr>
          <w:szCs w:val="24"/>
        </w:rPr>
      </w:pPr>
      <w:proofErr w:type="gramStart"/>
      <w:r w:rsidRPr="00946FC9">
        <w:t>4.</w:t>
      </w:r>
      <w:r w:rsidRPr="00946FC9">
        <w:tab/>
        <w:t>Salienta</w:t>
      </w:r>
      <w:proofErr w:type="gramEnd"/>
      <w:r w:rsidRPr="00946FC9">
        <w:t xml:space="preserve"> que, na aplicação do CETA e de todos os outros acordos comerciais da UE, deve ser tido devidamente em conta o respeito pela produção agrícola sustentável, a reciprocidade e a preservação de normas rigorosas, em particular normas sanitárias, fitossanitárias e veterinárias, bem como os controlos adequados e de acompanhamento do cumprimento mútuo destas normas;</w:t>
      </w:r>
    </w:p>
    <w:p w:rsidR="005432D8" w:rsidRPr="00946FC9" w:rsidRDefault="005432D8" w:rsidP="005432D8">
      <w:pPr>
        <w:pStyle w:val="NormalHanging12a"/>
      </w:pPr>
      <w:proofErr w:type="gramStart"/>
      <w:r w:rsidRPr="00946FC9">
        <w:t>5.</w:t>
      </w:r>
      <w:r w:rsidRPr="00946FC9">
        <w:tab/>
        <w:t>Congratula</w:t>
      </w:r>
      <w:proofErr w:type="gramEnd"/>
      <w:r w:rsidRPr="00946FC9">
        <w:noBreakHyphen/>
        <w:t>se com o facto de os fluxos comerciais entre as Partes se terem revelado, de um modo geral, resilientes ao longo da pandemia, bem como perante a difícil situação criada pela guerra de agressão da Rússia na Ucrânia, resistindo assim à pressão sobre as cadeias de abastecimento e contribuindo para o reforço da segurança alimentar; entende que o CETA deve servir de instrumento para facilitar a cooperação e a ação conjunta na reconstrução da Ucrânia quando a guerra acabar;</w:t>
      </w:r>
    </w:p>
    <w:p w:rsidR="005432D8" w:rsidRPr="00946FC9" w:rsidRDefault="005432D8" w:rsidP="005432D8">
      <w:pPr>
        <w:pStyle w:val="NormalHanging12a"/>
      </w:pPr>
      <w:proofErr w:type="gramStart"/>
      <w:r w:rsidRPr="00946FC9">
        <w:t>6.</w:t>
      </w:r>
      <w:r w:rsidRPr="00946FC9">
        <w:tab/>
        <w:t>Sublinha</w:t>
      </w:r>
      <w:proofErr w:type="gramEnd"/>
      <w:r w:rsidRPr="00946FC9">
        <w:t xml:space="preserve"> que as exportações da UE são fundamentais para o emprego; congratula</w:t>
      </w:r>
      <w:r w:rsidRPr="00946FC9">
        <w:noBreakHyphen/>
        <w:t>se com o facto de o CETA ter contribuído para a criação de novas oportunidades de emprego, uma vez que o número de postos de trabalho decorrente das exportações da UE para o Canadá aumentou de 624 000, em 2017, para mais de 700 000, em 2021;</w:t>
      </w:r>
    </w:p>
    <w:p w:rsidR="005432D8" w:rsidRPr="00946FC9" w:rsidRDefault="005432D8" w:rsidP="005432D8">
      <w:pPr>
        <w:pStyle w:val="NormalHanging12a"/>
      </w:pPr>
      <w:r w:rsidRPr="00946FC9">
        <w:lastRenderedPageBreak/>
        <w:t>7.</w:t>
      </w:r>
      <w:r w:rsidRPr="00946FC9">
        <w:tab/>
        <w:t>Salienta a importância de facilitar a mobilidade laboral concedida ao abrigo do CETA, uma vez que esta ajuda a assegurar uma transferência adequada de competências entre a UE e o Canadá e a evitar a escassez de mão de obra qualificada; congratula</w:t>
      </w:r>
      <w:r w:rsidRPr="00946FC9">
        <w:noBreakHyphen/>
        <w:t>se, a este respeito, com a conclusão bem</w:t>
      </w:r>
      <w:r w:rsidRPr="00946FC9">
        <w:noBreakHyphen/>
        <w:t>sucedida, em 2022, do primeiro acordo de reconhecimento mútuo ao abrigo do CETA para as qualificações dos arquitetos; considera que o Cartão Azul UE poderia facilitar ainda mais os intercâmbios entre duas economias competitivas, com uma população altamente instruída; sublinha que os programas de intercâmbio entre as instituições académicas da UE e do Canadá podem contribuir ainda mais para a necessária mobilidade laboral a longo prazo;</w:t>
      </w:r>
    </w:p>
    <w:p w:rsidR="005432D8" w:rsidRPr="00946FC9" w:rsidRDefault="005432D8" w:rsidP="005432D8">
      <w:pPr>
        <w:pStyle w:val="NormalHanging12a"/>
      </w:pPr>
      <w:r w:rsidRPr="00946FC9">
        <w:t>8.</w:t>
      </w:r>
      <w:r w:rsidRPr="00946FC9">
        <w:tab/>
        <w:t>Observa que as duas categorias de produtos mais importantes que a UE e o Canadá comercializam entre si são a maquinaria e equipamentos de transportes, que representam cerca de 34 % das exportações e importações, e os produtos químicos, farmacêuticos e plásticos, que representam cerca de 20 % do total das exportações e importações; regista, no entanto, que o setor mineiro e extrativo, em particular dos adubos e fertilizantes, do níquel, do urânio e da areia betuminosa, é muito significativo no que diz respeito às importações provenientes do Canadá, em comparação com outros parceiros comerciais, representando quase 20 % do total das importações da UE provenientes do Canadá; salienta que o acesso a matérias</w:t>
      </w:r>
      <w:r w:rsidRPr="00946FC9">
        <w:noBreakHyphen/>
        <w:t>primas críticas de parceiros comerciais fiáveis, incluindo o Canadá, é um elemento fundamental da estratégia da UE para as matérias</w:t>
      </w:r>
      <w:r w:rsidRPr="00946FC9">
        <w:noBreakHyphen/>
        <w:t>primas críticas e vital para assegurar uma transição ecológica sustentável;</w:t>
      </w:r>
    </w:p>
    <w:p w:rsidR="005432D8" w:rsidRPr="00946FC9" w:rsidRDefault="005432D8" w:rsidP="005432D8">
      <w:pPr>
        <w:pStyle w:val="NormalHanging12a"/>
      </w:pPr>
      <w:r w:rsidRPr="00946FC9">
        <w:t>9.</w:t>
      </w:r>
      <w:r w:rsidRPr="00946FC9">
        <w:tab/>
        <w:t>Salienta que a cooperação no acesso a matérias</w:t>
      </w:r>
      <w:r w:rsidRPr="00946FC9">
        <w:noBreakHyphen/>
        <w:t>primas críticas é essencial no atual panorama geopolítico, bem como para as transições ecológica e justa; congratula</w:t>
      </w:r>
      <w:r w:rsidRPr="00946FC9">
        <w:noBreakHyphen/>
        <w:t>se com a assinatura, em julho de 2021, da Parceria Estratégica UE</w:t>
      </w:r>
      <w:r w:rsidRPr="00946FC9">
        <w:noBreakHyphen/>
        <w:t>Canadá sobre Matérias</w:t>
      </w:r>
      <w:r w:rsidRPr="00946FC9">
        <w:noBreakHyphen/>
        <w:t>Primas no âmbito do CETA, que deverá ajudar a integrar as cadeias de valor das matérias</w:t>
      </w:r>
      <w:r w:rsidRPr="00946FC9">
        <w:noBreakHyphen/>
        <w:t>primas UE</w:t>
      </w:r>
      <w:r w:rsidRPr="00946FC9">
        <w:noBreakHyphen/>
        <w:t>Canadá e promover a colaboração nos domínios da ciência, da tecnologia e da inovação; observa que tal constitui uma componente importante da estratégia europeia em matéria de segurança económica; entende que a extração de matérias</w:t>
      </w:r>
      <w:r w:rsidRPr="00946FC9">
        <w:noBreakHyphen/>
        <w:t>primas deve respeitar as normas ambientais e os direitos laborais e humanos, incluindo os direitos dos povos indígenas;</w:t>
      </w:r>
    </w:p>
    <w:p w:rsidR="005432D8" w:rsidRPr="00946FC9" w:rsidRDefault="005432D8" w:rsidP="005432D8">
      <w:pPr>
        <w:pStyle w:val="NormalHanging12a"/>
      </w:pPr>
      <w:r w:rsidRPr="00946FC9">
        <w:t>10.</w:t>
      </w:r>
      <w:r w:rsidRPr="00946FC9">
        <w:tab/>
        <w:t>Congratula</w:t>
      </w:r>
      <w:r w:rsidRPr="00946FC9">
        <w:noBreakHyphen/>
        <w:t>se com o facto de as empresas europeias e canadianas utilizarem cada vez mais, e de forma contínua, as preferências concedidas pelo CETA, registando</w:t>
      </w:r>
      <w:r w:rsidRPr="00946FC9">
        <w:noBreakHyphen/>
        <w:t>se taxas de utilização das preferências, tanto para a UE como para o Canadá, de 60 % em 2022, em comparação com 40 % e 52 %, respetivamente, em 2018; observa com interesse que as empresas de menor dimensão utilizam as preferências em maior medida do que as grandes empresas e que as taxas de utilização são significativamente mais elevadas para as indústrias agroalimentares do que para as indústrias transformadoras; salienta que as baixas taxas de utilização em setores essenciais por vários Estados</w:t>
      </w:r>
      <w:r w:rsidRPr="00946FC9">
        <w:noBreakHyphen/>
        <w:t>Membros da UE indicam que há uma reduzida economia de custos e menos benefícios sociais decorrentes do acordo; insta os dois parceiros a continuarem a promover ações de sensibilização para o CETA junto das partes interessadas em ambas as regiões, nomeadamente através da plataforma «Access2Markets» da UE; sublinha a importância de facilitar novas oportunidades para as empresas e os consumidores através do comércio digital, em conformidade com as normas da UE;</w:t>
      </w:r>
    </w:p>
    <w:p w:rsidR="005432D8" w:rsidRPr="00946FC9" w:rsidRDefault="005432D8" w:rsidP="005432D8">
      <w:pPr>
        <w:pStyle w:val="NormalHanging12a"/>
      </w:pPr>
      <w:r w:rsidRPr="00946FC9">
        <w:t>11.</w:t>
      </w:r>
      <w:r w:rsidRPr="00946FC9">
        <w:tab/>
        <w:t xml:space="preserve">Observa que a taxa de utilização do contingente pautal (CP) para as importações de carne de bovino na UE foi de apenas 3 % em 2021 e que os exportadores da UE expandiram a sua parte de mercado no Canadá, pelo que a quantidade de carne de </w:t>
      </w:r>
      <w:r w:rsidRPr="00946FC9">
        <w:lastRenderedPageBreak/>
        <w:t xml:space="preserve">bovino congelada que a UE exporta para o Canadá é superior à importada deste último; nota, no entanto, que a taxa de utilização deste contingente pautal (CP) pode mudar ao longo do tempo em resultado de variações nos outros mercados de exportação do Canadá (em particular, os EUA e a China); </w:t>
      </w:r>
    </w:p>
    <w:p w:rsidR="005432D8" w:rsidRPr="00946FC9" w:rsidRDefault="005432D8" w:rsidP="005432D8">
      <w:pPr>
        <w:pStyle w:val="NormalHanging12a"/>
      </w:pPr>
      <w:proofErr w:type="gramStart"/>
      <w:r w:rsidRPr="00946FC9">
        <w:t>12.</w:t>
      </w:r>
      <w:r w:rsidRPr="00946FC9">
        <w:tab/>
        <w:t>Realça</w:t>
      </w:r>
      <w:proofErr w:type="gramEnd"/>
      <w:r w:rsidRPr="00946FC9">
        <w:t xml:space="preserve"> que, segundo o relatório de auditoria da Direção</w:t>
      </w:r>
      <w:r w:rsidRPr="00946FC9">
        <w:noBreakHyphen/>
        <w:t>Geral da Saúde e da Segurança dos Alimentos da Comissão, o Canadá ainda não aplicou satisfatoriamente as recomendações formuladas na auditoria da referida direção</w:t>
      </w:r>
      <w:r w:rsidRPr="00946FC9">
        <w:noBreakHyphen/>
        <w:t>geral sobre a rastreabilidade e a qualidade dos sistemas de controlo em vigor que regem a produção de carne de bovino e de suíno destinada à exportação para a União Europeia;</w:t>
      </w:r>
    </w:p>
    <w:p w:rsidR="005432D8" w:rsidRPr="00946FC9" w:rsidRDefault="005432D8" w:rsidP="005432D8">
      <w:pPr>
        <w:pStyle w:val="NormalHanging12a"/>
      </w:pPr>
      <w:r w:rsidRPr="00946FC9">
        <w:t>13.</w:t>
      </w:r>
      <w:r w:rsidRPr="00946FC9">
        <w:tab/>
        <w:t>Congratula</w:t>
      </w:r>
      <w:r w:rsidRPr="00946FC9">
        <w:noBreakHyphen/>
        <w:t>se com a introdução de um certificado de exportação harmonizado da UE para a exportação de carne de aves fresca dos Estados</w:t>
      </w:r>
      <w:r w:rsidRPr="00946FC9">
        <w:noBreakHyphen/>
        <w:t>Membros autorizados, que entrou em vigor em 2021; insta a Comissão a continuar a realizar progressos no que diz respeito a certificados deste género para a carne transformada, de ovino ou de caprino, intensificando simultaneamente os esforços para assegurar sistemas de rastreabilidade mais sólidos para os produtos à base de carne; exorta a Comissão, no âmbito do Comité de Gestão e em cooperação com as autoridades canadianas e os Estados</w:t>
      </w:r>
      <w:r w:rsidRPr="00946FC9">
        <w:noBreakHyphen/>
        <w:t>Membros, a fazer progressos no reconhecimento dos restantes sistemas de inspeção da carne, a fim de permitir aos outros Estados</w:t>
      </w:r>
      <w:r w:rsidRPr="00946FC9">
        <w:noBreakHyphen/>
        <w:t>Membros exportar carne para o Canadá;</w:t>
      </w:r>
    </w:p>
    <w:p w:rsidR="005432D8" w:rsidRPr="00946FC9" w:rsidRDefault="005432D8" w:rsidP="005432D8">
      <w:pPr>
        <w:pStyle w:val="NormalHanging12a"/>
      </w:pPr>
      <w:proofErr w:type="gramStart"/>
      <w:r w:rsidRPr="00946FC9">
        <w:t>14.</w:t>
      </w:r>
      <w:r w:rsidRPr="00946FC9">
        <w:tab/>
        <w:t>Lamenta</w:t>
      </w:r>
      <w:proofErr w:type="gramEnd"/>
      <w:r w:rsidRPr="00946FC9">
        <w:t xml:space="preserve"> que o CETA não aplique o princípio da regionalização em geral, considerando apenas a UE como uma área única no que respeita à produção pecuária, mas não no que diz respeito ao setor das frutas e dos produtos hortícolas, o que significa que cada Estado</w:t>
      </w:r>
      <w:r w:rsidRPr="00946FC9">
        <w:noBreakHyphen/>
        <w:t>Membro tem de negociar e aceitar individualmente os requisitos de exportação para cada produto; solicita que esta falha seja corrigida o mais rapidamente possível no âmbito do Comité Misto de Gestão UE</w:t>
      </w:r>
      <w:r w:rsidRPr="00946FC9">
        <w:noBreakHyphen/>
        <w:t>Canadá;</w:t>
      </w:r>
    </w:p>
    <w:p w:rsidR="005432D8" w:rsidRPr="00946FC9" w:rsidRDefault="005432D8" w:rsidP="005432D8">
      <w:pPr>
        <w:pStyle w:val="NormalHanging12a"/>
        <w:rPr>
          <w:szCs w:val="24"/>
        </w:rPr>
      </w:pPr>
      <w:r w:rsidRPr="00946FC9">
        <w:t>15.</w:t>
      </w:r>
      <w:r w:rsidRPr="00946FC9">
        <w:tab/>
        <w:t>Insta a Comissão a facilitar a cooperação em curso com as autoridades canadianas com vista a dedicar mais atenção às salvaguardas para as normas de bem</w:t>
      </w:r>
      <w:r w:rsidRPr="00946FC9">
        <w:noBreakHyphen/>
        <w:t>estar dos animais no âmbito do CETA e a avaliar a viabilidade de estabelecer, no futuro, cláusulas</w:t>
      </w:r>
      <w:r w:rsidRPr="00946FC9">
        <w:noBreakHyphen/>
        <w:t>espelho neste domínio, a fim de garantir a equivalência das normas em matéria de bem</w:t>
      </w:r>
      <w:r w:rsidRPr="00946FC9">
        <w:noBreakHyphen/>
        <w:t>estar dos animais e, por conseguinte, condições de concorrência equitativas entre os produtos de origem animal da UE e os produtos de origem animal importados;</w:t>
      </w:r>
    </w:p>
    <w:p w:rsidR="005432D8" w:rsidRPr="00946FC9" w:rsidRDefault="005432D8" w:rsidP="005432D8">
      <w:pPr>
        <w:pStyle w:val="NormalHanging12a"/>
      </w:pPr>
      <w:proofErr w:type="gramStart"/>
      <w:r w:rsidRPr="00946FC9">
        <w:t>16.</w:t>
      </w:r>
      <w:r w:rsidRPr="00946FC9">
        <w:tab/>
        <w:t>Relembra</w:t>
      </w:r>
      <w:proofErr w:type="gramEnd"/>
      <w:r w:rsidRPr="00946FC9">
        <w:t xml:space="preserve"> que a política comercial da União Europeia, e o acordo CETA em particular, tem um impacto económico importante nas Regiões Ultraperiféricas (RUP), pelo que sublinha a necessidade de se proteger os interesses destas regiões em futuras negociações ou numa eventual revisão do acordo;</w:t>
      </w:r>
    </w:p>
    <w:p w:rsidR="005432D8" w:rsidRPr="00946FC9" w:rsidRDefault="005432D8" w:rsidP="005432D8">
      <w:pPr>
        <w:pStyle w:val="NormalHanging12a"/>
      </w:pPr>
      <w:proofErr w:type="gramStart"/>
      <w:r w:rsidRPr="00946FC9">
        <w:t>17.</w:t>
      </w:r>
      <w:r w:rsidRPr="00946FC9">
        <w:tab/>
        <w:t>Defende</w:t>
      </w:r>
      <w:proofErr w:type="gramEnd"/>
      <w:r w:rsidRPr="00946FC9">
        <w:t xml:space="preserve"> que parte dos direitos e contingentes pautais atribuídos a produtos da UE seja alocada a operadores registados nas RUP tendo em conta a sua realidade económica; sublinha que o tratamento diferenciado dado aos operadores destas regiões é essencial para garantir a competitividade das empresas e a justa distribuição dos direitos e contingentes pautais entre os agentes comerciais, evitando a concentração dos benefícios num número reduzido de operadores;</w:t>
      </w:r>
    </w:p>
    <w:p w:rsidR="005432D8" w:rsidRPr="00946FC9" w:rsidRDefault="005432D8" w:rsidP="005432D8">
      <w:pPr>
        <w:pStyle w:val="NormalHanging12a"/>
      </w:pPr>
      <w:proofErr w:type="gramStart"/>
      <w:r w:rsidRPr="00946FC9">
        <w:t>18.</w:t>
      </w:r>
      <w:r w:rsidRPr="00946FC9">
        <w:tab/>
        <w:t>Toma</w:t>
      </w:r>
      <w:proofErr w:type="gramEnd"/>
      <w:r w:rsidRPr="00946FC9">
        <w:t xml:space="preserve"> nota do facto de a taxa de utilização dos contingentes pautais ser, em média, de 98 % para as exportações de queijo da UE; solicita, no entanto, uma maior transparência e flexibilidade no sistema canadiano de gestão dos contingentes pautais para os </w:t>
      </w:r>
      <w:r w:rsidRPr="00946FC9">
        <w:lastRenderedPageBreak/>
        <w:t>produtos lácteos, em particular o contingente do queijo; insta as autoridades canadianas a avançarem com uma eventual revisão do sistema o mais rapidamente possível;</w:t>
      </w:r>
    </w:p>
    <w:p w:rsidR="005432D8" w:rsidRPr="00946FC9" w:rsidRDefault="005432D8" w:rsidP="005432D8">
      <w:pPr>
        <w:pStyle w:val="NormalHanging12a"/>
      </w:pPr>
      <w:proofErr w:type="gramStart"/>
      <w:r w:rsidRPr="00946FC9">
        <w:t>19.</w:t>
      </w:r>
      <w:r w:rsidRPr="00946FC9">
        <w:tab/>
        <w:t>Sublinha</w:t>
      </w:r>
      <w:proofErr w:type="gramEnd"/>
      <w:r w:rsidRPr="00946FC9">
        <w:t xml:space="preserve"> a importância de reconhecer que o sistema de indicações geográficas (IG) constitui um elemento fundamental do acordo; frisa a necessidade de uma aplicação mais eficaz da proteção das IG por parte dos titulares de direitos da UE no Canadá, a fim de assegurar a confiança no correto funcionamento do acordo;</w:t>
      </w:r>
    </w:p>
    <w:p w:rsidR="005432D8" w:rsidRPr="00946FC9" w:rsidRDefault="005432D8" w:rsidP="005432D8">
      <w:pPr>
        <w:pStyle w:val="NormalHanging12a"/>
        <w:rPr>
          <w:szCs w:val="24"/>
        </w:rPr>
      </w:pPr>
      <w:r w:rsidRPr="00946FC9">
        <w:t>20.</w:t>
      </w:r>
      <w:r w:rsidRPr="00946FC9">
        <w:tab/>
        <w:t>Toma nota de que, durante os primeiros seis anos de aplicação provisória do CETA, as exportações da UE para o Canadá e as importações provenientes do Canadá no setor dos serviços aumentaram 54 % e 74 %, respetivamente, registando</w:t>
      </w:r>
      <w:r w:rsidRPr="00946FC9">
        <w:noBreakHyphen/>
        <w:t>se os maiores ganhos nos serviços de transporte, nos serviços às empresas e nos serviços de informação, informática e telecomunicações, beneficiando, em particular, os Estados</w:t>
      </w:r>
      <w:r w:rsidRPr="00946FC9">
        <w:noBreakHyphen/>
        <w:t>Membros mais pequenos da UE, onde os serviços constituem uma parte importante da estrutura económica do país;</w:t>
      </w:r>
    </w:p>
    <w:p w:rsidR="005432D8" w:rsidRPr="00946FC9" w:rsidRDefault="005432D8" w:rsidP="005432D8">
      <w:pPr>
        <w:pStyle w:val="NormalHanging12a"/>
        <w:rPr>
          <w:szCs w:val="24"/>
        </w:rPr>
      </w:pPr>
      <w:r w:rsidRPr="00946FC9">
        <w:t>21.</w:t>
      </w:r>
      <w:r w:rsidRPr="00946FC9">
        <w:tab/>
        <w:t>Congratula</w:t>
      </w:r>
      <w:r w:rsidRPr="00946FC9">
        <w:noBreakHyphen/>
        <w:t>se com os esforços concretos para facilitar o acesso aos contratos públicos, nomeadamente o ponto de acesso único no Canadá; entende que, mesmo que muitas mais empresas da UE participem com êxito em concursos canadianos, nomeadamente relacionados com o transporte ferroviário regional de passageiros em Ontário ou as pontes em Montreal, os fornecedores da UE poderiam aproveitar em maior medida as oportunidades oferecidas, nomeadamente no que diz respeito a projetos de infraestruturas e no que toca a concorrer a contratos provinciais e municipais;</w:t>
      </w:r>
    </w:p>
    <w:p w:rsidR="005432D8" w:rsidRPr="00946FC9" w:rsidRDefault="005432D8" w:rsidP="005432D8">
      <w:pPr>
        <w:pStyle w:val="NormalHanging12a"/>
      </w:pPr>
      <w:r w:rsidRPr="00946FC9">
        <w:t>22.</w:t>
      </w:r>
      <w:r w:rsidRPr="00946FC9">
        <w:tab/>
        <w:t>Insta as Partes a disponibilizarem todo o apoio jurídico e administrativo, bem como os instrumentos de que as PME necessitem para comercializarem e investirem ao abrigo do CETA, a fim de promover um aumento dos intercâmbios e reforçar a participação, para que possam colher os benefícios do CETA, nomeadamente através de medidas ativas que facilitem a internacionalização das PME, simplifiquem os procedimentos e eliminem os obstáculos técnicos ao comércio que afetam de forma desproporcionada as PME; congratula</w:t>
      </w:r>
      <w:r w:rsidRPr="00946FC9">
        <w:noBreakHyphen/>
        <w:t xml:space="preserve">se, a este respeito, com a recomendação sobre as PME adotada pelo Comité Misto em 2018 e com os planos de ação subsequentes, que incluem ações concretas, como o lançamento da plataforma Access2Markets, em outubro de 2020, que apoia as PME através de informações práticas sobre acordos comerciais e barreiras comerciais; espera que a avaliação </w:t>
      </w:r>
      <w:r w:rsidRPr="00946FC9">
        <w:rPr>
          <w:i/>
        </w:rPr>
        <w:t>ex post</w:t>
      </w:r>
      <w:r w:rsidRPr="00946FC9">
        <w:t xml:space="preserve"> forneça dados sobre a evolução da quota do comércio entre a UE e o Canadá realizada pelas PME; insta as Partes a contemplarem a possibilidade de um capítulo completo sobre as PME semelhante aos contantes dos acordos com a Nova Zelândia e o Chile;</w:t>
      </w:r>
    </w:p>
    <w:p w:rsidR="005432D8" w:rsidRPr="00946FC9" w:rsidRDefault="005432D8" w:rsidP="005432D8">
      <w:pPr>
        <w:pStyle w:val="NormalHanging12a"/>
      </w:pPr>
      <w:r w:rsidRPr="00946FC9">
        <w:t>23.</w:t>
      </w:r>
      <w:r w:rsidRPr="00946FC9">
        <w:tab/>
        <w:t>Insta o Comité Misto, dada a importância do setor da economia social e solidária no Canadá e o Plano de Ação para a Economia Social, adotado pela Comissão em 9 de dezembro de 2021</w:t>
      </w:r>
      <w:r w:rsidRPr="00946FC9">
        <w:rPr>
          <w:rStyle w:val="FootnoteReference"/>
        </w:rPr>
        <w:footnoteReference w:id="6"/>
      </w:r>
      <w:r w:rsidRPr="00946FC9">
        <w:t>, a identificar as medidas concretas que podem ser postas em prática para promover uma maior cooperação entre os intervenientes sociais e solidários do outro lado do Atlântico;</w:t>
      </w:r>
    </w:p>
    <w:p w:rsidR="005432D8" w:rsidRPr="00946FC9" w:rsidRDefault="005432D8" w:rsidP="005432D8">
      <w:pPr>
        <w:pStyle w:val="NormalHanging12a"/>
      </w:pPr>
      <w:proofErr w:type="gramStart"/>
      <w:r w:rsidRPr="00946FC9">
        <w:t>24.</w:t>
      </w:r>
      <w:r w:rsidRPr="00946FC9">
        <w:tab/>
        <w:t>Incentiva</w:t>
      </w:r>
      <w:proofErr w:type="gramEnd"/>
      <w:r w:rsidRPr="00946FC9">
        <w:t xml:space="preserve"> ambas as Partes a prosseguirem as suas atividades de sensibilização, em particular as PME e os intervenientes da economia social e solidária, a fim de </w:t>
      </w:r>
      <w:r w:rsidRPr="00946FC9">
        <w:lastRenderedPageBreak/>
        <w:t>sensibilizar para as oportunidades oferecidas pelo CETA através de campanhas de informação específicas, assegurando simultaneamente que os benefícios do acordo sejam partilhados equitativamente entre homens e mulheres;</w:t>
      </w:r>
    </w:p>
    <w:p w:rsidR="005432D8" w:rsidRPr="00946FC9" w:rsidRDefault="005432D8" w:rsidP="005432D8">
      <w:pPr>
        <w:pStyle w:val="NormalHanging12a"/>
      </w:pPr>
      <w:r w:rsidRPr="00946FC9">
        <w:t>25.</w:t>
      </w:r>
      <w:r w:rsidRPr="00946FC9">
        <w:tab/>
        <w:t>Congratula</w:t>
      </w:r>
      <w:r w:rsidRPr="00946FC9">
        <w:noBreakHyphen/>
        <w:t>se com a adoção da recomendação em matéria de comércio e género pelo Comité Misto CETA em 2018, que inclui o compromisso de partilhar métodos e procedimentos para a recolha de dados desagregados por género, a utilização de indicadores, as metodologias de acompanhamento e avaliação e a análise de estatísticas relacionadas com o género no domínio do comércio; sublinha que o comércio deve beneficiar todos e, especificamente, reforçar o empoderamento económico das mulheres; encoraja vivamente o Comité Misto CETA a continuar a acompanhar os impactos do acordo na dimensão do género; considera que o trabalho realizado no âmbito do plano de ação adotado conjuntamente pode servir de exemplo para outros acordos comerciais, mesmo que não existam capítulos específicos sobre comércio e género nos próprios acordos; recorda a Resolução do Parlamento sobre o Plano de Ação III em matéria de Igualdade de Género</w:t>
      </w:r>
      <w:r w:rsidRPr="00946FC9">
        <w:rPr>
          <w:rStyle w:val="FootnoteReference"/>
        </w:rPr>
        <w:footnoteReference w:id="7"/>
      </w:r>
      <w:r w:rsidRPr="00946FC9">
        <w:t xml:space="preserve"> e solicita à Comissão que publique dados desagregados por género mais acessíveis sobre a utilização do acordo, em particular no que diz respeito aos capítulos sobre contratos públicos e sobre comércio e trabalho;</w:t>
      </w:r>
    </w:p>
    <w:p w:rsidR="005432D8" w:rsidRPr="00946FC9" w:rsidRDefault="005432D8" w:rsidP="005432D8">
      <w:pPr>
        <w:pStyle w:val="NormalHanging12a"/>
      </w:pPr>
      <w:r w:rsidRPr="00946FC9">
        <w:t>26.</w:t>
      </w:r>
      <w:r w:rsidRPr="00946FC9">
        <w:tab/>
        <w:t>Insta a Comissão a evitar o enfraquecimento do princípio da precaução, um princípio fundamental da União Europeia consagrado nos Tratados, que garante a proteção dos agricultores e dos cidadãos europeus; salienta a importância de promover o princípio da precaução em todos os aspetos do comércio e de assegurar a sua aplicação, evitando simultaneamente obstáculos injustificados ao comércio;</w:t>
      </w:r>
    </w:p>
    <w:p w:rsidR="005432D8" w:rsidRPr="00946FC9" w:rsidRDefault="005432D8" w:rsidP="005432D8">
      <w:pPr>
        <w:pStyle w:val="NormalHanging12a"/>
      </w:pPr>
      <w:r w:rsidRPr="00946FC9">
        <w:t>27.</w:t>
      </w:r>
      <w:r w:rsidRPr="00946FC9">
        <w:tab/>
        <w:t>Sublinha que o CETA proporciona um quadro que promove tanto o comércio como a ação climática, ao incluir compromissos de cooperação em questões ambientais de interesse comum relacionadas com o comércio, como as alterações climáticas, conforme demonstrado pela recomendação sobre o comércio, a ação climática e o Acordo de Paris, nomeadamente com a promoção de tecnologias limpas; sublinha a importância de a produção mundial de energia com base no Canadá acelerar a transição para as energias limpas através da produção de energia a partir de fontes renováveis; congratula</w:t>
      </w:r>
      <w:r w:rsidRPr="00946FC9">
        <w:noBreakHyphen/>
        <w:t>se com o aumento de 27 % do comércio de bens ambientais desde o início da aplicação provisória; observa, no entanto, que o Canadá considerou como obstáculos técnicos ao comércio elementos das iniciativas legislativas e não legislativas europeias relacionadas com o Pacto Ecológico Europeu; convida as Partes a encontrarem sinergias com a aplicação do Mecanismo de Ajustamento Carbónico Fronteiriço (CBAM) e de outras iniciativas na UE, bem como a apoiarem conjuntamente os trabalhos de desenvolvimento de metodologias conjuntas ou comparáveis em matéria de emissões de carbono a nível internacional;</w:t>
      </w:r>
    </w:p>
    <w:p w:rsidR="005432D8" w:rsidRPr="00946FC9" w:rsidRDefault="005432D8" w:rsidP="005432D8">
      <w:pPr>
        <w:pStyle w:val="NormalHanging12a"/>
      </w:pPr>
      <w:proofErr w:type="gramStart"/>
      <w:r w:rsidRPr="00946FC9">
        <w:t>28.</w:t>
      </w:r>
      <w:r w:rsidRPr="00946FC9">
        <w:tab/>
        <w:t>Congratula</w:t>
      </w:r>
      <w:proofErr w:type="gramEnd"/>
      <w:r w:rsidRPr="00946FC9">
        <w:noBreakHyphen/>
        <w:t>se com o lançamento da Parceria Digital UE</w:t>
      </w:r>
      <w:r w:rsidRPr="00946FC9">
        <w:noBreakHyphen/>
        <w:t>Canadá enquanto elemento essencial das transições ecológica e digital; insta ambas as Partes a reforçarem a sua cooperação no quadro da aplicação do CETA em questões estratégicas de interesse mútuo, como a inteligência artificial, a cibersegurança e a luta contra a desinformação;</w:t>
      </w:r>
    </w:p>
    <w:p w:rsidR="005432D8" w:rsidRPr="00946FC9" w:rsidRDefault="005432D8" w:rsidP="005432D8">
      <w:pPr>
        <w:pStyle w:val="NormalHanging12a"/>
      </w:pPr>
      <w:r w:rsidRPr="00946FC9">
        <w:t>29.</w:t>
      </w:r>
      <w:r w:rsidRPr="00946FC9">
        <w:tab/>
        <w:t>Congratula</w:t>
      </w:r>
      <w:r w:rsidRPr="00946FC9">
        <w:noBreakHyphen/>
        <w:t xml:space="preserve">se com a participação e o acompanhamento ativos da aplicação do CETA pelos GCI e pelo fórum da sociedade civil, que reúnem centenas de representantes de </w:t>
      </w:r>
      <w:r w:rsidRPr="00946FC9">
        <w:lastRenderedPageBreak/>
        <w:t>toda a UE e do Canadá, incluindo empresas, organizações ambientais e laborais, a sociedade civil, o meio académico e representantes dos povos indígenas do Canadá, e contribuem ativamente para o trabalho, em particular, do Comité de Comércio e Desenvolvimento Sustentável através das suas declarações conjuntas; insta a Comissão e o Conselho para o Comércio e Desenvolvimento Sustentável a darem seguimento às suas propostas; frisa que o mandato dos GCI deve prever o estudo do impacto de todo o acordo na sustentabilidade; sublinha a importância de incluir no seu trabalho considerações sobre o impacto na sustentabilidade e nos direitos humanos do capítulo relativo à proteção dos investimentos;</w:t>
      </w:r>
    </w:p>
    <w:p w:rsidR="005432D8" w:rsidRPr="00946FC9" w:rsidRDefault="005432D8" w:rsidP="005432D8">
      <w:pPr>
        <w:pStyle w:val="NormalHanging12a"/>
      </w:pPr>
      <w:proofErr w:type="gramStart"/>
      <w:r w:rsidRPr="00946FC9">
        <w:t>30.</w:t>
      </w:r>
      <w:r w:rsidRPr="00946FC9">
        <w:tab/>
        <w:t>Insta</w:t>
      </w:r>
      <w:proofErr w:type="gramEnd"/>
      <w:r w:rsidRPr="00946FC9">
        <w:t xml:space="preserve"> as duas Partes a assegurarem uma melhor integração dos pequenos agricultores e dos consumidores nos GCI, aquando da renovação desses grupos;</w:t>
      </w:r>
    </w:p>
    <w:p w:rsidR="005432D8" w:rsidRPr="00946FC9" w:rsidRDefault="005432D8" w:rsidP="005432D8">
      <w:pPr>
        <w:pStyle w:val="NormalHanging12a"/>
      </w:pPr>
      <w:r w:rsidRPr="00946FC9">
        <w:t>31.</w:t>
      </w:r>
      <w:r w:rsidRPr="00946FC9">
        <w:tab/>
        <w:t xml:space="preserve">Insiste na aplicação efetiva dos compromissos específicos relacionados com as disposições em matéria de comércio e desenvolvimento sustentável, incluindo a revisão precoce dessas disposições prevista no âmbito do Instrumento Comum Interpretativo e ainda não realizada, enquanto parte integrante do CETA e que são essenciais para a realização dos objetivos fixados; toma nota de que, em 2024, a Comissão realizará uma avaliação </w:t>
      </w:r>
      <w:r w:rsidRPr="00946FC9">
        <w:rPr>
          <w:i/>
          <w:iCs/>
        </w:rPr>
        <w:t>ex post</w:t>
      </w:r>
      <w:r w:rsidRPr="00946FC9">
        <w:t xml:space="preserve"> do CETA, que abrangerá o capítulo sobre comércio e desenvolvimento sustentável e terá a participação de peritos independentes. Será uma oportunidade para avaliar o acordo à luz da nova abordagem da Comissão, de junho de 2022, e para ponderar a adoção de propostas concretas, apresentadas pelo Canadá em 2020, a fim de conferir um âmbito de aplicação mais vinculativo a determinadas disposições deste capítulo; recorda que o Comité Misto pode emitir uma decisão vinculativa que estabeleça roteiros de execução para reforçar a cooperação nos domínios em que a avaliação </w:t>
      </w:r>
      <w:r w:rsidRPr="00946FC9">
        <w:rPr>
          <w:i/>
          <w:iCs/>
        </w:rPr>
        <w:t>ex post</w:t>
      </w:r>
      <w:r w:rsidRPr="00946FC9">
        <w:t xml:space="preserve"> identificaria lacunas, e espera que o faça; considera que os esforços envidados para uma melhor aplicação do capítulo sobre comércio e desenvolvimento sustentável ou a sua revisão devem ser precedidos de uma consulta significativa de todas as partes interessadas;</w:t>
      </w:r>
    </w:p>
    <w:p w:rsidR="005432D8" w:rsidRPr="00946FC9" w:rsidRDefault="005432D8" w:rsidP="005432D8">
      <w:pPr>
        <w:pStyle w:val="NormalHanging12a"/>
      </w:pPr>
      <w:r w:rsidRPr="00946FC9">
        <w:t>32.</w:t>
      </w:r>
      <w:r w:rsidRPr="00946FC9">
        <w:tab/>
        <w:t>Observa que o Reino Unido deixou de ser membro da União Europeia na sequência da aplicação provisória do CETA; observa que o Reino Unido e o Canadá acordaram uma série de acordos comerciais bilaterais para ter em conta este facto, nomeadamente no que diz respeito à utilização e acumulação do contingente pautal; observa que alguns destes acordos deixarão de ser aplicáveis após 2024, o que pode provocar pequenas perturbações nas cadeias de abastecimento estabelecidas; insta a Comissão a explorar a possibilidade de novos acordos nos casos em que estas perturbações possam afetar negativamente os operadores económicos da União;</w:t>
      </w:r>
    </w:p>
    <w:p w:rsidR="005432D8" w:rsidRPr="00946FC9" w:rsidRDefault="005432D8" w:rsidP="005432D8">
      <w:pPr>
        <w:tabs>
          <w:tab w:val="left" w:pos="567"/>
        </w:tabs>
        <w:spacing w:after="240"/>
        <w:ind w:left="567" w:hanging="567"/>
      </w:pPr>
      <w:r w:rsidRPr="00946FC9">
        <w:t>33.</w:t>
      </w:r>
      <w:r w:rsidRPr="00946FC9">
        <w:tab/>
        <w:t xml:space="preserve">Exorta as Partes a reverem o CETA, depois de ratificado, a fim de introduzirem um mecanismo de resolução de litígios adequado e eficaz, para as disposições em matéria de comércio e desenvolvimento sustentável, inclusivamente ponderando, entre vários métodos de execução, sanções como um meio dissuasor, a utilizar como último recurso em caso de violações graves; salienta o seu desejo de contemplar a institucionalização da cooperação em curso em matéria de comércio e género nesta revisão; salienta que, no âmbito desta revisão, há que ponderar a introdução de disposições específicas e sólidas sobre os direitos dos povos indígenas, incluindo a Convenção n.º 169 da Organização Internacional do Trabalho e a Declaração das Nações Unidas sobre os </w:t>
      </w:r>
      <w:r w:rsidR="00D4759E" w:rsidRPr="00946FC9">
        <w:t>Direitos dos Povos Indígenas;</w:t>
      </w:r>
    </w:p>
    <w:p w:rsidR="005432D8" w:rsidRPr="00946FC9" w:rsidRDefault="005432D8" w:rsidP="005432D8">
      <w:pPr>
        <w:pStyle w:val="NormalHanging12a"/>
      </w:pPr>
      <w:r w:rsidRPr="00946FC9">
        <w:t>34.</w:t>
      </w:r>
      <w:r w:rsidRPr="00946FC9">
        <w:tab/>
        <w:t xml:space="preserve">Insta a Bélgica, a Bulgária, Chipre, a França, a Grécia, a Hungria, a Irlanda, a Itália, a </w:t>
      </w:r>
      <w:r w:rsidRPr="00946FC9">
        <w:lastRenderedPageBreak/>
        <w:t>Polónia e a Eslovénia a ratificarem rapidamente o CETA, já que tal será igualmente essencial para atualizar o acordo; reitera a importância da plena aplicação do CETA, incluindo as suas disposições em matéria de proteção dos investimentos;</w:t>
      </w:r>
    </w:p>
    <w:p w:rsidR="005432D8" w:rsidRPr="00946FC9" w:rsidRDefault="005432D8" w:rsidP="005432D8">
      <w:pPr>
        <w:pStyle w:val="NormalHanging12a"/>
      </w:pPr>
      <w:proofErr w:type="gramStart"/>
      <w:r w:rsidRPr="00946FC9">
        <w:t>35.</w:t>
      </w:r>
      <w:r w:rsidRPr="00946FC9">
        <w:tab/>
        <w:t>Encarrega</w:t>
      </w:r>
      <w:proofErr w:type="gramEnd"/>
      <w:r w:rsidRPr="00946FC9">
        <w:t xml:space="preserve"> a sua Presidente de transmitir a presente resolução à Comissão, ao Conselho, bem como ao Governo e ao Parlamento do Canadá.</w:t>
      </w:r>
    </w:p>
    <w:sectPr w:rsidR="005432D8" w:rsidRPr="00946FC9" w:rsidSect="005264D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00B8" w:rsidRPr="005264DA" w:rsidRDefault="007700B8">
      <w:r w:rsidRPr="005264DA">
        <w:separator/>
      </w:r>
    </w:p>
  </w:endnote>
  <w:endnote w:type="continuationSeparator" w:id="0">
    <w:p w:rsidR="007700B8" w:rsidRPr="005264DA" w:rsidRDefault="007700B8">
      <w:r w:rsidRPr="005264D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64D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64D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64D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00B8" w:rsidRPr="005264DA" w:rsidRDefault="007700B8">
      <w:r w:rsidRPr="005264DA">
        <w:separator/>
      </w:r>
    </w:p>
  </w:footnote>
  <w:footnote w:type="continuationSeparator" w:id="0">
    <w:p w:rsidR="007700B8" w:rsidRPr="005264DA" w:rsidRDefault="007700B8">
      <w:r w:rsidRPr="005264DA">
        <w:continuationSeparator/>
      </w:r>
    </w:p>
  </w:footnote>
  <w:footnote w:id="1">
    <w:p w:rsidR="005432D8" w:rsidRPr="00D1097A" w:rsidRDefault="005432D8" w:rsidP="005264DA">
      <w:pPr>
        <w:pStyle w:val="FootnoteText"/>
        <w:ind w:left="567" w:hanging="567"/>
        <w:rPr>
          <w:sz w:val="24"/>
          <w:lang w:val="da-DK"/>
        </w:rPr>
      </w:pPr>
      <w:r w:rsidRPr="005264DA">
        <w:rPr>
          <w:rStyle w:val="FootnoteReference"/>
          <w:sz w:val="24"/>
          <w:lang w:val="pt-PT"/>
        </w:rPr>
        <w:footnoteRef/>
      </w:r>
      <w:r w:rsidR="005264DA" w:rsidRPr="00D1097A">
        <w:rPr>
          <w:sz w:val="24"/>
          <w:lang w:val="da-DK"/>
        </w:rPr>
        <w:t xml:space="preserve"> </w:t>
      </w:r>
      <w:r w:rsidR="005264DA" w:rsidRPr="00D1097A">
        <w:rPr>
          <w:sz w:val="24"/>
          <w:lang w:val="da-DK"/>
        </w:rPr>
        <w:tab/>
      </w:r>
      <w:r w:rsidR="005E4DE3" w:rsidRPr="00785972">
        <w:rPr>
          <w:lang w:val="da-DK"/>
        </w:rPr>
        <w:t>JO L 11 de 14.1.2017, p. 23</w:t>
      </w:r>
      <w:r w:rsidRPr="00D1097A">
        <w:rPr>
          <w:sz w:val="24"/>
          <w:lang w:val="da-DK"/>
        </w:rPr>
        <w:t>.</w:t>
      </w:r>
    </w:p>
  </w:footnote>
  <w:footnote w:id="2">
    <w:p w:rsidR="005432D8" w:rsidRPr="00D1097A" w:rsidRDefault="005432D8" w:rsidP="005264DA">
      <w:pPr>
        <w:pStyle w:val="FootnoteText"/>
        <w:ind w:left="567" w:hanging="567"/>
        <w:rPr>
          <w:sz w:val="24"/>
          <w:lang w:val="da-DK"/>
        </w:rPr>
      </w:pPr>
      <w:r w:rsidRPr="005264DA">
        <w:rPr>
          <w:rStyle w:val="FootnoteReference"/>
          <w:sz w:val="24"/>
          <w:lang w:val="pt-PT"/>
        </w:rPr>
        <w:footnoteRef/>
      </w:r>
      <w:r w:rsidR="005264DA" w:rsidRPr="00D1097A">
        <w:rPr>
          <w:sz w:val="24"/>
          <w:lang w:val="da-DK"/>
        </w:rPr>
        <w:t xml:space="preserve"> </w:t>
      </w:r>
      <w:r w:rsidR="005264DA" w:rsidRPr="00D1097A">
        <w:rPr>
          <w:sz w:val="24"/>
          <w:lang w:val="da-DK"/>
        </w:rPr>
        <w:tab/>
      </w:r>
      <w:r w:rsidR="005E4DE3" w:rsidRPr="00785972">
        <w:rPr>
          <w:lang w:val="da-DK"/>
        </w:rPr>
        <w:t>JO L 11 de 14.1.2017, p. 3</w:t>
      </w:r>
      <w:r w:rsidRPr="00D1097A">
        <w:rPr>
          <w:sz w:val="24"/>
          <w:lang w:val="da-DK"/>
        </w:rPr>
        <w:t>.</w:t>
      </w:r>
    </w:p>
  </w:footnote>
  <w:footnote w:id="3">
    <w:p w:rsidR="005432D8" w:rsidRPr="005264DA" w:rsidRDefault="005432D8" w:rsidP="005264DA">
      <w:pPr>
        <w:pStyle w:val="FootnoteText"/>
        <w:ind w:left="567" w:hanging="567"/>
        <w:rPr>
          <w:sz w:val="24"/>
          <w:lang w:val="pt-PT"/>
        </w:rPr>
      </w:pPr>
      <w:r w:rsidRPr="005264DA">
        <w:rPr>
          <w:rStyle w:val="FootnoteReference"/>
          <w:sz w:val="24"/>
          <w:lang w:val="pt-PT"/>
        </w:rPr>
        <w:footnoteRef/>
      </w:r>
      <w:r w:rsidR="005264DA" w:rsidRPr="005264DA">
        <w:rPr>
          <w:sz w:val="24"/>
          <w:lang w:val="pt-PT"/>
        </w:rPr>
        <w:t xml:space="preserve"> </w:t>
      </w:r>
      <w:r w:rsidR="005264DA" w:rsidRPr="005264DA">
        <w:rPr>
          <w:sz w:val="24"/>
          <w:lang w:val="pt-PT"/>
        </w:rPr>
        <w:tab/>
      </w:r>
      <w:r w:rsidR="005E4DE3" w:rsidRPr="00785972">
        <w:rPr>
          <w:lang w:val="pt-PT"/>
        </w:rPr>
        <w:t>JO C 252 de 18.7.2018, p. 348</w:t>
      </w:r>
      <w:r w:rsidRPr="005264DA">
        <w:rPr>
          <w:sz w:val="24"/>
          <w:lang w:val="pt-PT"/>
        </w:rPr>
        <w:t>.</w:t>
      </w:r>
    </w:p>
  </w:footnote>
  <w:footnote w:id="4">
    <w:p w:rsidR="005432D8" w:rsidRPr="005264DA" w:rsidRDefault="005432D8" w:rsidP="005264DA">
      <w:pPr>
        <w:pStyle w:val="FootnoteText"/>
        <w:ind w:left="567" w:hanging="567"/>
        <w:rPr>
          <w:sz w:val="24"/>
          <w:lang w:val="pt-PT"/>
        </w:rPr>
      </w:pPr>
      <w:r w:rsidRPr="005264DA">
        <w:rPr>
          <w:rStyle w:val="FootnoteReference"/>
          <w:sz w:val="24"/>
          <w:lang w:val="pt-PT"/>
        </w:rPr>
        <w:footnoteRef/>
      </w:r>
      <w:r w:rsidR="005264DA" w:rsidRPr="005264DA">
        <w:rPr>
          <w:sz w:val="24"/>
          <w:lang w:val="pt-PT"/>
        </w:rPr>
        <w:t xml:space="preserve"> </w:t>
      </w:r>
      <w:r w:rsidR="005264DA" w:rsidRPr="005264DA">
        <w:rPr>
          <w:sz w:val="24"/>
          <w:lang w:val="pt-PT"/>
        </w:rPr>
        <w:tab/>
      </w:r>
      <w:r w:rsidRPr="005264DA">
        <w:rPr>
          <w:sz w:val="24"/>
          <w:lang w:val="pt-PT"/>
        </w:rPr>
        <w:t>Parecer do Tribunal de 16 de maio de 2017, proferido nos termos do artigo 218.º, n.º 11, TFUE, sobre o Acordo de Comércio Livre entre a União Europeia e a República de Singapura, ECLI:EU:C:2017:376.</w:t>
      </w:r>
    </w:p>
  </w:footnote>
  <w:footnote w:id="5">
    <w:p w:rsidR="005432D8" w:rsidRPr="005264DA" w:rsidRDefault="005432D8" w:rsidP="005264DA">
      <w:pPr>
        <w:pStyle w:val="FootnoteText"/>
        <w:ind w:left="567" w:hanging="567"/>
        <w:rPr>
          <w:sz w:val="24"/>
          <w:lang w:val="pt-PT"/>
        </w:rPr>
      </w:pPr>
      <w:r w:rsidRPr="005264DA">
        <w:rPr>
          <w:rStyle w:val="FootnoteReference"/>
          <w:sz w:val="24"/>
          <w:lang w:val="pt-PT"/>
        </w:rPr>
        <w:footnoteRef/>
      </w:r>
      <w:r w:rsidR="005264DA" w:rsidRPr="005264DA">
        <w:rPr>
          <w:sz w:val="24"/>
          <w:lang w:val="pt-PT"/>
        </w:rPr>
        <w:t xml:space="preserve"> </w:t>
      </w:r>
      <w:r w:rsidR="005264DA" w:rsidRPr="005264DA">
        <w:rPr>
          <w:sz w:val="24"/>
          <w:lang w:val="pt-PT"/>
        </w:rPr>
        <w:tab/>
      </w:r>
      <w:r w:rsidRPr="005264DA">
        <w:rPr>
          <w:sz w:val="24"/>
          <w:lang w:val="pt-PT"/>
        </w:rPr>
        <w:t>JO C 32 de 27.1.2023, p. 96.</w:t>
      </w:r>
    </w:p>
  </w:footnote>
  <w:footnote w:id="6">
    <w:p w:rsidR="005432D8" w:rsidRPr="005264DA" w:rsidRDefault="005432D8" w:rsidP="005264DA">
      <w:pPr>
        <w:pStyle w:val="FootnoteText"/>
        <w:ind w:left="567" w:hanging="567"/>
        <w:rPr>
          <w:sz w:val="24"/>
          <w:lang w:val="pt-PT"/>
        </w:rPr>
      </w:pPr>
      <w:r w:rsidRPr="005264DA">
        <w:rPr>
          <w:rStyle w:val="FootnoteReference"/>
          <w:sz w:val="24"/>
          <w:lang w:val="pt-PT"/>
        </w:rPr>
        <w:footnoteRef/>
      </w:r>
      <w:r w:rsidR="005264DA" w:rsidRPr="005264DA">
        <w:rPr>
          <w:sz w:val="24"/>
          <w:lang w:val="pt-PT"/>
        </w:rPr>
        <w:t xml:space="preserve"> </w:t>
      </w:r>
      <w:r w:rsidR="005264DA" w:rsidRPr="005264DA">
        <w:rPr>
          <w:sz w:val="24"/>
          <w:lang w:val="pt-PT"/>
        </w:rPr>
        <w:tab/>
      </w:r>
      <w:r w:rsidRPr="005264DA">
        <w:rPr>
          <w:sz w:val="24"/>
          <w:lang w:val="pt-PT"/>
        </w:rPr>
        <w:t>Comunicação da Comissão, de 9 de dezembro de 2021, intitulada «Construção de uma economia ao serviço das pessoas: plano de ação para a economia social» (</w:t>
      </w:r>
      <w:proofErr w:type="gramStart"/>
      <w:r w:rsidRPr="005264DA">
        <w:rPr>
          <w:sz w:val="24"/>
          <w:lang w:val="pt-PT"/>
        </w:rPr>
        <w:t>COM(</w:t>
      </w:r>
      <w:proofErr w:type="gramEnd"/>
      <w:r w:rsidRPr="005264DA">
        <w:rPr>
          <w:sz w:val="24"/>
          <w:lang w:val="pt-PT"/>
        </w:rPr>
        <w:t>2021)0778).</w:t>
      </w:r>
    </w:p>
  </w:footnote>
  <w:footnote w:id="7">
    <w:p w:rsidR="005432D8" w:rsidRPr="005264DA" w:rsidRDefault="005432D8" w:rsidP="005264DA">
      <w:pPr>
        <w:pStyle w:val="FootnoteText"/>
        <w:ind w:left="567" w:hanging="567"/>
        <w:rPr>
          <w:sz w:val="24"/>
          <w:lang w:val="pt-PT"/>
        </w:rPr>
      </w:pPr>
      <w:r w:rsidRPr="005264DA">
        <w:rPr>
          <w:rStyle w:val="FootnoteReference"/>
          <w:sz w:val="24"/>
          <w:lang w:val="pt-PT"/>
        </w:rPr>
        <w:footnoteRef/>
      </w:r>
      <w:r w:rsidR="005264DA" w:rsidRPr="005264DA">
        <w:rPr>
          <w:sz w:val="24"/>
          <w:lang w:val="pt-PT"/>
        </w:rPr>
        <w:t xml:space="preserve"> </w:t>
      </w:r>
      <w:r w:rsidR="005264DA" w:rsidRPr="005264DA">
        <w:rPr>
          <w:sz w:val="24"/>
          <w:lang w:val="pt-PT"/>
        </w:rPr>
        <w:tab/>
      </w:r>
      <w:r w:rsidRPr="005264DA">
        <w:rPr>
          <w:sz w:val="24"/>
          <w:lang w:val="pt-PT"/>
        </w:rPr>
        <w:t>Resolução do Parlamento Europeu, de 10 de março de 2022, sobre o Plano de Ação III da UE em matéria de Igualdade de Género (JO C 347 de 9.9.2022, p. 150).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64D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64D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64D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00/2023"/>
    <w:docVar w:name="dvlangue" w:val="PT"/>
    <w:docVar w:name="dvnumam" w:val="0"/>
    <w:docVar w:name="dvpe" w:val="753.671"/>
    <w:docVar w:name="dvrapporteur" w:val="Relator: "/>
    <w:docVar w:name="dvtitre" w:val="Resolução do Parlamento Europeu, de ... de ... de 2024,_x000d__x000a_ sobre a aplicação do Acordo Económico e Comercial Global UE-Canadá (CETA)(2023/2001(INI))"/>
  </w:docVars>
  <w:rsids>
    <w:rsidRoot w:val="007700B8"/>
    <w:rsid w:val="00002272"/>
    <w:rsid w:val="00064002"/>
    <w:rsid w:val="000677B9"/>
    <w:rsid w:val="000831BA"/>
    <w:rsid w:val="000A42CC"/>
    <w:rsid w:val="000E7DD9"/>
    <w:rsid w:val="0010095E"/>
    <w:rsid w:val="0011003A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3A48"/>
    <w:rsid w:val="0050519A"/>
    <w:rsid w:val="005072A1"/>
    <w:rsid w:val="00514517"/>
    <w:rsid w:val="005264DA"/>
    <w:rsid w:val="005432D8"/>
    <w:rsid w:val="00545827"/>
    <w:rsid w:val="00560270"/>
    <w:rsid w:val="005C2568"/>
    <w:rsid w:val="005E4DE3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00B8"/>
    <w:rsid w:val="00785972"/>
    <w:rsid w:val="00786EC0"/>
    <w:rsid w:val="007D1690"/>
    <w:rsid w:val="007E22AD"/>
    <w:rsid w:val="00807813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6FC9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097A"/>
    <w:rsid w:val="00D4759E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B1EAFD"/>
  <w15:chartTrackingRefBased/>
  <w15:docId w15:val="{7CB6233B-AEA1-411C-B633-1DFB5DCB3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aliases w:val="Footnote,Footnote1,Footnote10,Footnote11,Footnote2,Footnote21,Footnote3,Footnote31,Footnote4,Footnote41,Footnote5,Footnote51,Footnote6,Footnote61,Footnote7,Footnote71,Footnote8,Footnote9,Fußnotentextf,Fußnotentextr,fn,footnote text,stile 1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ootnote Char,Footnote1 Char,Footnote10 Char,Footnote11 Char,Footnote2 Char,Footnote21 Char,Footnote3 Char,Footnote31 Char,Footnote4 Char,Footnote41 Char,Footnote5 Char,Footnote51 Char,Footnote6 Char,Footnote61 Char,Footnote7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5432D8"/>
    <w:pPr>
      <w:spacing w:after="240"/>
      <w:ind w:left="567" w:hanging="567"/>
    </w:pPr>
  </w:style>
  <w:style w:type="paragraph" w:customStyle="1" w:styleId="EPComma">
    <w:name w:val="EPComma"/>
    <w:basedOn w:val="Normal"/>
    <w:rsid w:val="005432D8"/>
    <w:pPr>
      <w:spacing w:before="480" w:after="240"/>
    </w:pPr>
  </w:style>
  <w:style w:type="character" w:styleId="Hyperlink">
    <w:name w:val="Hyperlink"/>
    <w:basedOn w:val="DefaultParagraphFont"/>
    <w:rsid w:val="005432D8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5432D8"/>
    <w:rPr>
      <w:sz w:val="24"/>
      <w:lang w:val="pt-PT"/>
    </w:rPr>
  </w:style>
  <w:style w:type="paragraph" w:styleId="BalloonText">
    <w:name w:val="Balloon Text"/>
    <w:basedOn w:val="Normal"/>
    <w:link w:val="BalloonTextChar"/>
    <w:rsid w:val="005E4D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E4DE3"/>
    <w:rPr>
      <w:rFonts w:ascii="Segoe U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B1C877-D82D-4B21-97A5-517568A9C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4559</Words>
  <Characters>24309</Characters>
  <Application>Microsoft Office Word</Application>
  <DocSecurity>0</DocSecurity>
  <Lines>1157</Lines>
  <Paragraphs>566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SILVA Carla Marina</cp:lastModifiedBy>
  <cp:revision>2</cp:revision>
  <cp:lastPrinted>2004-11-19T15:42:00Z</cp:lastPrinted>
  <dcterms:created xsi:type="dcterms:W3CDTF">2024-02-26T09:37:00Z</dcterms:created>
  <dcterms:modified xsi:type="dcterms:W3CDTF">2024-02-26T09:37:00Z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A9-0400/2023</vt:lpwstr>
  </property>
  <property fmtid="{D5CDD505-2E9C-101B-9397-08002B2CF9AE}" pid="4" name="&lt;Type&gt;">
    <vt:lpwstr>RR</vt:lpwstr>
  </property>
</Properties>
</file>