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1D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C1D51" w:rsidRDefault="001E3378" w:rsidP="0010095E">
            <w:pPr>
              <w:pStyle w:val="EPName"/>
            </w:pPr>
            <w:r w:rsidRPr="002C1D51">
              <w:t>Európsky parlament</w:t>
            </w:r>
          </w:p>
          <w:p w:rsidR="00751A4A" w:rsidRPr="002C1D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1D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C1D51" w:rsidRDefault="00187494" w:rsidP="0010095E">
            <w:pPr>
              <w:pStyle w:val="EPLogo"/>
            </w:pPr>
            <w:r w:rsidRPr="002C1D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C1D51" w:rsidRDefault="00D058B8" w:rsidP="004C5D52">
      <w:pPr>
        <w:pStyle w:val="LineTop"/>
      </w:pPr>
    </w:p>
    <w:p w:rsidR="00680577" w:rsidRPr="002C1D51" w:rsidRDefault="001E3378" w:rsidP="00680577">
      <w:pPr>
        <w:pStyle w:val="EPBodyTA1"/>
      </w:pPr>
      <w:r w:rsidRPr="002C1D51">
        <w:t>PRIJATÉ TEXTY</w:t>
      </w:r>
    </w:p>
    <w:p w:rsidR="00D058B8" w:rsidRPr="002C1D51" w:rsidRDefault="00D058B8" w:rsidP="00D058B8">
      <w:pPr>
        <w:pStyle w:val="LineBottom"/>
      </w:pPr>
    </w:p>
    <w:p w:rsidR="001E3378" w:rsidRPr="002C1D51" w:rsidRDefault="001E3378" w:rsidP="001E3378">
      <w:pPr>
        <w:pStyle w:val="ATHeading1"/>
      </w:pPr>
      <w:bookmarkStart w:id="0" w:name="TANumber"/>
      <w:r w:rsidRPr="002C1D51">
        <w:t>P9_TA(2024)00</w:t>
      </w:r>
      <w:r w:rsidR="00DF5B48" w:rsidRPr="002C1D51">
        <w:t>26</w:t>
      </w:r>
      <w:bookmarkEnd w:id="0"/>
    </w:p>
    <w:p w:rsidR="001E3378" w:rsidRPr="002C1D51" w:rsidRDefault="001E3378" w:rsidP="001E3378">
      <w:pPr>
        <w:pStyle w:val="ATHeading2"/>
      </w:pPr>
      <w:bookmarkStart w:id="1" w:name="title"/>
      <w:r w:rsidRPr="002C1D51">
        <w:t>Vykonávanie Komplexnej hospodárskej a obchodnej dohody (CETA) medzi EÚ a Kanadou</w:t>
      </w:r>
      <w:bookmarkEnd w:id="1"/>
    </w:p>
    <w:p w:rsidR="001E3378" w:rsidRPr="002C1D51" w:rsidRDefault="001E3378" w:rsidP="001E3378">
      <w:pPr>
        <w:rPr>
          <w:i/>
          <w:vanish/>
        </w:rPr>
      </w:pPr>
      <w:r w:rsidRPr="002C1D51">
        <w:rPr>
          <w:i/>
        </w:rPr>
        <w:fldChar w:fldCharType="begin"/>
      </w:r>
      <w:r w:rsidRPr="002C1D51">
        <w:rPr>
          <w:i/>
        </w:rPr>
        <w:instrText xml:space="preserve"> TC"(</w:instrText>
      </w:r>
      <w:bookmarkStart w:id="2" w:name="DocNumber"/>
      <w:r w:rsidRPr="002C1D51">
        <w:rPr>
          <w:i/>
        </w:rPr>
        <w:instrText>A9-0400/2023</w:instrText>
      </w:r>
      <w:bookmarkEnd w:id="2"/>
      <w:r w:rsidRPr="002C1D51">
        <w:rPr>
          <w:i/>
        </w:rPr>
        <w:instrText xml:space="preserve"> - Spravodajca: Javier Moreno Sánchez)"\l3 \n&gt; \* MERGEFORMAT </w:instrText>
      </w:r>
      <w:r w:rsidRPr="002C1D51">
        <w:rPr>
          <w:i/>
        </w:rPr>
        <w:fldChar w:fldCharType="end"/>
      </w:r>
    </w:p>
    <w:p w:rsidR="001E3378" w:rsidRPr="002C1D51" w:rsidRDefault="001E3378" w:rsidP="001E3378">
      <w:pPr>
        <w:rPr>
          <w:vanish/>
        </w:rPr>
      </w:pPr>
      <w:bookmarkStart w:id="3" w:name="Commission"/>
      <w:r w:rsidRPr="002C1D51">
        <w:rPr>
          <w:vanish/>
        </w:rPr>
        <w:t>Výbor pre medzinárodný obchod</w:t>
      </w:r>
      <w:bookmarkEnd w:id="3"/>
    </w:p>
    <w:p w:rsidR="001E3378" w:rsidRPr="002C1D51" w:rsidRDefault="001E3378" w:rsidP="001E3378">
      <w:pPr>
        <w:rPr>
          <w:vanish/>
        </w:rPr>
      </w:pPr>
      <w:bookmarkStart w:id="4" w:name="PE"/>
      <w:r w:rsidRPr="002C1D51">
        <w:rPr>
          <w:vanish/>
        </w:rPr>
        <w:t>PE753.671</w:t>
      </w:r>
      <w:bookmarkEnd w:id="4"/>
    </w:p>
    <w:p w:rsidR="001E3378" w:rsidRPr="002C1D51" w:rsidRDefault="001E3378" w:rsidP="001E3378">
      <w:pPr>
        <w:pStyle w:val="ATHeading3"/>
      </w:pPr>
      <w:bookmarkStart w:id="5" w:name="Sujet"/>
      <w:r w:rsidRPr="002C1D51">
        <w:t>Uznesenie Európskeho parlamentu z</w:t>
      </w:r>
      <w:r w:rsidR="00DF5B48" w:rsidRPr="002C1D51">
        <w:t>o</w:t>
      </w:r>
      <w:r w:rsidRPr="002C1D51">
        <w:t xml:space="preserve"> </w:t>
      </w:r>
      <w:r w:rsidR="00DF5B48" w:rsidRPr="002C1D51">
        <w:t>17</w:t>
      </w:r>
      <w:r w:rsidRPr="002C1D51">
        <w:t xml:space="preserve">. januára 2024 </w:t>
      </w:r>
      <w:r w:rsidR="00FD33BB" w:rsidRPr="002C1D51">
        <w:t>o</w:t>
      </w:r>
      <w:r w:rsidRPr="002C1D51">
        <w:t xml:space="preserve"> vykonávan</w:t>
      </w:r>
      <w:r w:rsidR="00FD33BB" w:rsidRPr="002C1D51">
        <w:t>í</w:t>
      </w:r>
      <w:r w:rsidRPr="002C1D51">
        <w:t xml:space="preserve"> Komplexnej hospodárskej a obchodnej dohody (CETA) medzi EÚ a Kanadou</w:t>
      </w:r>
      <w:bookmarkEnd w:id="5"/>
      <w:r w:rsidRPr="002C1D51">
        <w:t xml:space="preserve"> </w:t>
      </w:r>
      <w:bookmarkStart w:id="6" w:name="References"/>
      <w:r w:rsidRPr="002C1D51">
        <w:t>(2023/2001(INI))</w:t>
      </w:r>
      <w:bookmarkEnd w:id="6"/>
    </w:p>
    <w:p w:rsidR="00C03B1E" w:rsidRPr="002C1D51" w:rsidRDefault="00C03B1E" w:rsidP="00C03B1E">
      <w:pPr>
        <w:pStyle w:val="EPComma"/>
      </w:pPr>
      <w:bookmarkStart w:id="7" w:name="TextBodyBegin"/>
      <w:bookmarkEnd w:id="7"/>
      <w:r w:rsidRPr="002C1D51">
        <w:rPr>
          <w:i/>
        </w:rPr>
        <w:t>Európsky parlament</w:t>
      </w:r>
      <w:r w:rsidRPr="002C1D51">
        <w:t>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Komplexnú hospodársku a obchodnú dohodu (CETA) medzi Kanadou na jednej strane a Európskou úniou a jej členskými štátmi na strane druhej</w:t>
      </w:r>
      <w:r w:rsidRPr="002C1D51">
        <w:rPr>
          <w:rStyle w:val="FootnoteReference"/>
        </w:rPr>
        <w:footnoteReference w:id="1"/>
      </w:r>
      <w:r w:rsidRPr="002C1D51">
        <w:t>,</w:t>
      </w:r>
    </w:p>
    <w:p w:rsidR="00C03B1E" w:rsidRPr="002C1D51" w:rsidRDefault="00C03B1E" w:rsidP="00C03B1E">
      <w:pPr>
        <w:pStyle w:val="NormalHanging12a"/>
        <w:rPr>
          <w:b/>
          <w:i/>
        </w:rPr>
      </w:pPr>
      <w:r w:rsidRPr="002C1D51">
        <w:t>–</w:t>
      </w:r>
      <w:r w:rsidRPr="002C1D51">
        <w:tab/>
        <w:t>so zreteľom na spoločnú listinu o výklade Komplexnej hospodárskej a obchodnej dohody (CETA) medzi Kanadou a Európskou úniou a jej členskými štátmi</w:t>
      </w:r>
      <w:r w:rsidRPr="002C1D51">
        <w:rPr>
          <w:rStyle w:val="FootnoteReference"/>
        </w:rPr>
        <w:footnoteReference w:id="2"/>
      </w:r>
      <w:r w:rsidRPr="002C1D51">
        <w:t>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strategické partnerstvo v oblasti kritických surovín medzi Kanadou na jednej strane a Európskou úniou a jej členskými štátmi na strane druhej, ktoré bolo dohodnuté a spustené na samite EÚ – Kanada 14. – 15. júna 2021;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rozhodnutie spoločného výboru CETA č. X/2023 o výklade niektorých pojmov v článku 8 ods. 10, prílohe 8-A a článku 8 ods. 39,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svoje uznesenie z 15. februára 2017 o návrhu rozhodnutia Rady o uzavretí Komplexnej hospodárskej a obchodnej dohody (CETA) medzi Kanadou na jednej strane a Európskou úniou a jej členskými štátmi na strane druhej</w:t>
      </w:r>
      <w:r w:rsidRPr="002C1D51">
        <w:rPr>
          <w:rStyle w:val="FootnoteReference"/>
        </w:rPr>
        <w:footnoteReference w:id="3"/>
      </w:r>
      <w:r w:rsidRPr="002C1D51">
        <w:t>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stanovisko 2/15 Súdneho dvora Európskej únie zo 16. mája 2017 podľa článku 218 ods. 11 ZFEÚ k Dohode o voľnom obchode medzi Európskou úniou a Singapurskou republikou</w:t>
      </w:r>
      <w:r w:rsidRPr="002C1D51">
        <w:rPr>
          <w:rStyle w:val="FootnoteReference"/>
        </w:rPr>
        <w:footnoteReference w:id="4"/>
      </w:r>
      <w:r w:rsidRPr="002C1D51">
        <w:t>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spoločné vyhlásenia vnútroštátnych poradných skupín EÚ a Kanady,</w:t>
      </w:r>
    </w:p>
    <w:p w:rsidR="00C03B1E" w:rsidRPr="002C1D51" w:rsidRDefault="00C03B1E" w:rsidP="00C03B1E">
      <w:pPr>
        <w:pStyle w:val="NormalHanging12a"/>
      </w:pPr>
      <w:r w:rsidRPr="002C1D51">
        <w:lastRenderedPageBreak/>
        <w:t>–</w:t>
      </w:r>
      <w:r w:rsidRPr="002C1D51">
        <w:tab/>
        <w:t>so zreteľom na správu Komisie z 11. októbra 2022 o vykonávaní a presadzovaní obchodných dohôd EÚ (COM(2022)0730),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oznámenie Komisie z 22. júna 2022 s názvom Sila obchodných partnerstiev: spoločne za zelený a spravodlivý hospodársky rast (COM(2022)0409),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správu Spoločného výboru CETA z 31. marca 2023 po jeho treťom zasadnutí,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svoje uznesenie z 23. júna 2022 o budúcej medzinárodnej investičnej politike EÚ</w:t>
      </w:r>
      <w:r w:rsidRPr="002C1D51">
        <w:rPr>
          <w:rStyle w:val="FootnoteReference"/>
        </w:rPr>
        <w:footnoteReference w:id="5"/>
      </w:r>
      <w:r w:rsidRPr="002C1D51">
        <w:t>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odporúčania spoločného výboru CETA z 26. septembra 2018 o opatreniach v oblasti klímy a Parížskej dohody, obchodu a rodovej rovnosti a malých a stredných podnikov (MSP),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oznámenie Komisie z 5. marca 2020 s názvom Únia rovnosti: stratégia pre rodovú rovnosť na roky 2020 – 2025 (COM(2020)0152),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správy rôznych špecializovaných výborov, Fóra občianskej spoločnosti a Fóra pre spoluprácu v oblasti regulácie,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6. hodnotiacu správu Medzivládneho panelu o zmene klímy (IPCC) zverejnenú 20. marca 2023,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 xml:space="preserve">so zreteľom na po sebe nasledujúce audity vykonané v rokoch 2014, 2019 a 2022 Generálnym riaditeľstvom Komisie pre zdravie a bezpečnosť potravín týkajúce sa </w:t>
      </w:r>
      <w:proofErr w:type="spellStart"/>
      <w:r w:rsidRPr="002C1D51">
        <w:t>vysledovateľnosti</w:t>
      </w:r>
      <w:proofErr w:type="spellEnd"/>
      <w:r w:rsidRPr="002C1D51">
        <w:t xml:space="preserve"> a kvality zavedených systémov kontroly, ktorými sa riadi produkcia hovädzieho a bravčového mäsa určeného na vývoz do Európskej únie,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článok 54 rokovacieho poriadku, ako aj na článok 1 ods. 1 písm. e) rozhodnutia Konferencie predsedov z 12. decembra 2002 o postupe schvaľovania vypracovania iniciatívnych správ a na prílohu 3 k </w:t>
      </w:r>
      <w:r w:rsidR="00FA7E30">
        <w:t>uvedenému</w:t>
      </w:r>
      <w:r w:rsidRPr="002C1D51">
        <w:t xml:space="preserve"> rozhodnutiu,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stanovisko Výboru pre poľnohospodárstvo a rozvoj vidieka,</w:t>
      </w:r>
    </w:p>
    <w:p w:rsidR="00C03B1E" w:rsidRPr="002C1D51" w:rsidRDefault="00C03B1E" w:rsidP="00C03B1E">
      <w:pPr>
        <w:pStyle w:val="NormalHanging12a"/>
      </w:pPr>
      <w:r w:rsidRPr="002C1D51">
        <w:t>–</w:t>
      </w:r>
      <w:r w:rsidRPr="002C1D51">
        <w:tab/>
        <w:t>so zreteľom na správu Výboru pre medzinárodný obchod (A9-0400/2023),</w:t>
      </w:r>
    </w:p>
    <w:p w:rsidR="00C03B1E" w:rsidRPr="002C1D51" w:rsidRDefault="00C03B1E" w:rsidP="00C03B1E">
      <w:pPr>
        <w:pStyle w:val="NormalHanging12a"/>
      </w:pPr>
      <w:r w:rsidRPr="002C1D51">
        <w:t>A.</w:t>
      </w:r>
      <w:r w:rsidRPr="002C1D51">
        <w:tab/>
        <w:t>keďže dohoda CETA bola jednou z prvých obchodných dohôd, ktorú EÚ uzavrela s inou krajinou OECD s významným a etablovaným hospodárstvom po Južnej Kórei; keďže išlo zároveň o najambicióznejšiu a najkomplexnejšiu dohodu, ktorú v tom čase EÚ alebo Kanada uzavreli, súčasťou ktorej bol aj bezprecedentný prístup k verejnému obstarávaniu na nižšej ako federálnej, ako aj federálnej úrovni;</w:t>
      </w:r>
    </w:p>
    <w:p w:rsidR="00C03B1E" w:rsidRPr="002C1D51" w:rsidRDefault="00C03B1E" w:rsidP="00C03B1E">
      <w:pPr>
        <w:pStyle w:val="NormalHanging12a"/>
      </w:pPr>
      <w:r w:rsidRPr="002C1D51">
        <w:t>B.</w:t>
      </w:r>
      <w:r w:rsidRPr="002C1D51">
        <w:tab/>
        <w:t>keďže dohoda CETA sa predbežne vykonáva od 21. septembra 2017, t. j. viac ako šesť rokov;</w:t>
      </w:r>
    </w:p>
    <w:p w:rsidR="00C03B1E" w:rsidRPr="002C1D51" w:rsidRDefault="00C03B1E" w:rsidP="00C03B1E">
      <w:pPr>
        <w:pStyle w:val="NormalHanging12a"/>
      </w:pPr>
      <w:r w:rsidRPr="002C1D51">
        <w:t>C.</w:t>
      </w:r>
      <w:r w:rsidRPr="002C1D51">
        <w:tab/>
        <w:t>keďže dôležité ustanovenia, týkajúce sa najmä ochrany investícií, sa naďalej neuplatňujú, pretože nie všetky členské štáty dohodu ratifikovali;</w:t>
      </w:r>
    </w:p>
    <w:p w:rsidR="00C03B1E" w:rsidRPr="002C1D51" w:rsidRDefault="00C03B1E" w:rsidP="00C03B1E">
      <w:pPr>
        <w:pStyle w:val="NormalHanging12a"/>
      </w:pPr>
      <w:r w:rsidRPr="002C1D51">
        <w:t>D.</w:t>
      </w:r>
      <w:r w:rsidRPr="002C1D51">
        <w:tab/>
        <w:t xml:space="preserve">keďže Kanada a EÚ finalizujú návrh rozhodnutia spoločného výboru CETA o výklade </w:t>
      </w:r>
      <w:r w:rsidRPr="002C1D51">
        <w:lastRenderedPageBreak/>
        <w:t>určitých pojmov v článku 8 ods. 10, prílohe 8-A a článku 8 ods. 39, ktorým sa spresňuje pôsobnosť práva regulovať v kontexte kapitoly o ochrane investícií, a o uľahčení prístupu MSP k systému investičných súdov podľa dohody CETA;</w:t>
      </w:r>
    </w:p>
    <w:p w:rsidR="00C03B1E" w:rsidRPr="002C1D51" w:rsidRDefault="00C03B1E" w:rsidP="00C03B1E">
      <w:pPr>
        <w:pStyle w:val="NormalHanging12a"/>
      </w:pPr>
      <w:r w:rsidRPr="002C1D51">
        <w:t>E.</w:t>
      </w:r>
      <w:r w:rsidRPr="002C1D51">
        <w:tab/>
        <w:t>keďže EÚ bola v roku 2022 po Spojených štátoch a Číne tretím najväčším obchodným partnerom Kanady, pričom jej podiel na celosvetovom obchode Kanady s tovarom dosahoval 8,2 %; keďže v tom istom roku bola Kanada 14. najväčším medzinárodným obchodným partnerom EÚ, pričom objem jej obchodu dosahoval 1,4 % celkového zahraničného obchodu EÚ s tovarom;</w:t>
      </w:r>
    </w:p>
    <w:p w:rsidR="00C03B1E" w:rsidRPr="002C1D51" w:rsidRDefault="00C03B1E" w:rsidP="00C03B1E">
      <w:pPr>
        <w:pStyle w:val="NormalHanging12a"/>
      </w:pPr>
      <w:r w:rsidRPr="002C1D51">
        <w:t>F.</w:t>
      </w:r>
      <w:r w:rsidRPr="002C1D51">
        <w:tab/>
        <w:t xml:space="preserve">keďže ruská útočná vojna proti Ukrajine ukázala potrebu </w:t>
      </w:r>
      <w:proofErr w:type="spellStart"/>
      <w:r w:rsidRPr="002C1D51">
        <w:t>diverzifikovať</w:t>
      </w:r>
      <w:proofErr w:type="spellEnd"/>
      <w:r w:rsidRPr="002C1D51">
        <w:t xml:space="preserve"> obchodné dohody a znížiť závislosť od dovozu a vývozu od obmedzeného počtu obchodných partnerov a ukázala aj dôležitosť uzatvárania obchodných dohôd s podobne zmýšľajúcimi partnermi;</w:t>
      </w:r>
    </w:p>
    <w:p w:rsidR="00C03B1E" w:rsidRPr="002C1D51" w:rsidRDefault="00C03B1E" w:rsidP="00C03B1E">
      <w:pPr>
        <w:pStyle w:val="NormalHanging12a"/>
      </w:pPr>
      <w:r w:rsidRPr="002C1D51">
        <w:t>G.</w:t>
      </w:r>
      <w:r w:rsidRPr="002C1D51">
        <w:tab/>
        <w:t>keďže účinné vykonávanie a monitorovanie obchodných dohôd EÚ je kľúčovou prioritou Európskeho parlamentu, Rady a Komisie z hľadiska monitorovania, hodnotenia a nastavenia spoločnej obchodnej politiky EÚ; keďže správy o vykonávaní dohody s Kanadou sú príhodným a užitočným príspevkom do diskusie o fungovaní obchodných dohôd EÚ;</w:t>
      </w:r>
    </w:p>
    <w:p w:rsidR="00C03B1E" w:rsidRPr="002C1D51" w:rsidRDefault="00C03B1E" w:rsidP="00C03B1E">
      <w:pPr>
        <w:pStyle w:val="NormalHanging12a"/>
      </w:pPr>
      <w:r w:rsidRPr="002C1D51">
        <w:t>H.</w:t>
      </w:r>
      <w:r w:rsidRPr="002C1D51">
        <w:tab/>
        <w:t>keďže inštitucionálny rámec dohody CETA je už v plnej prevádzke a zahŕňa 19 špecializovaných výborov, Fórum pre spoluprácu v oblasti regulácie a Fórum občianskej spoločnosti a ich programy a správy sú verejne dostupné;</w:t>
      </w:r>
    </w:p>
    <w:p w:rsidR="00C03B1E" w:rsidRPr="002C1D51" w:rsidRDefault="00C03B1E" w:rsidP="00C03B1E">
      <w:pPr>
        <w:pStyle w:val="NormalHanging12a"/>
      </w:pPr>
      <w:r w:rsidRPr="002C1D51">
        <w:t>I.</w:t>
      </w:r>
      <w:r w:rsidRPr="002C1D51">
        <w:tab/>
        <w:t>keďže Kanada bola prvou krajinou, s ktorou EÚ vytvorila strategické partnerstvo pre kritické suroviny, ktoré bolo následne doplnené iniciatívou Zelená aliancia, digitálnym partnerstvom medzi EÚ a Kanadou a oceánskym partnerstvom;</w:t>
      </w:r>
    </w:p>
    <w:p w:rsidR="00C03B1E" w:rsidRPr="002C1D51" w:rsidRDefault="00C03B1E" w:rsidP="00C03B1E">
      <w:pPr>
        <w:pStyle w:val="NormalHanging12a"/>
      </w:pPr>
      <w:r w:rsidRPr="002C1D51">
        <w:t>J.</w:t>
      </w:r>
      <w:r w:rsidRPr="002C1D51">
        <w:tab/>
        <w:t>keďže Kanada je aktívnym účastníkom dialógu WTO o znečistení plastmi a environmentálne udržateľnom obchode s plastmi a Výboru WTO pre obchod a životné prostredie, ale nie je členom iniciatívy pre reformu dotácií na fosílne palivá (FFSR);</w:t>
      </w:r>
    </w:p>
    <w:p w:rsidR="00C03B1E" w:rsidRPr="002C1D51" w:rsidRDefault="00C03B1E" w:rsidP="00C03B1E">
      <w:pPr>
        <w:pStyle w:val="NormalHanging12a"/>
      </w:pPr>
      <w:r w:rsidRPr="002C1D51">
        <w:t>K.</w:t>
      </w:r>
      <w:r w:rsidRPr="002C1D51">
        <w:tab/>
        <w:t>keďže už sú k dispozícii dostatočné skúsenosti, údaje a štatistické informácie na posúdenie predbežného vykonávania dohody CETA;</w:t>
      </w:r>
    </w:p>
    <w:p w:rsidR="00C03B1E" w:rsidRPr="002C1D51" w:rsidRDefault="00C03B1E" w:rsidP="00C03B1E">
      <w:pPr>
        <w:pStyle w:val="NormalHanging12a"/>
      </w:pPr>
      <w:r w:rsidRPr="002C1D51">
        <w:t>L.</w:t>
      </w:r>
      <w:r w:rsidRPr="002C1D51">
        <w:tab/>
        <w:t>keďže Kanada je svetovým lídrom v spoluvytváraní verejnej politiky pre sociálne a solidárne hospodárstvo a keďže sociálne a solidárne hospodárstvo predstavuje takmer 10 % hrubého domáceho produktu v niektorých provinciách, ako je Quebec, a tvorí približne 210 000 pracovných miest;</w:t>
      </w:r>
    </w:p>
    <w:p w:rsidR="00C03B1E" w:rsidRPr="002C1D51" w:rsidRDefault="00C03B1E" w:rsidP="00C03B1E">
      <w:pPr>
        <w:pStyle w:val="NormalHanging12a"/>
        <w:rPr>
          <w:b/>
          <w:szCs w:val="24"/>
        </w:rPr>
      </w:pPr>
      <w:r w:rsidRPr="002C1D51">
        <w:rPr>
          <w:b/>
          <w:i/>
        </w:rPr>
        <w:t>Hlavné závery a odporúčania</w:t>
      </w:r>
    </w:p>
    <w:p w:rsidR="00C03B1E" w:rsidRPr="002C1D51" w:rsidRDefault="00C03B1E" w:rsidP="00C03B1E">
      <w:pPr>
        <w:pStyle w:val="NormalHanging12a"/>
      </w:pPr>
      <w:r w:rsidRPr="002C1D51">
        <w:t>1.</w:t>
      </w:r>
      <w:r w:rsidRPr="002C1D51">
        <w:tab/>
        <w:t>zdôrazňuje, že základom dohody CETA je vzťah založený na pravidlách a hodnotách, ktorý podporuje bezpečnejšie a stabilnejšie hospodárske prostredie medzi obchodnými partnermi – čo je obzvlášť dôležité v čase zvýšenej geopolitickej neistoty –, založené na zásadách udržateľného rozvoja a dodržiavaní ľudských práv a pracovných a environmentálnych noriem; domnieva sa, že takáto predvídateľnosť môže posilniť hospodársky rast, výmenu tovaru, poskytovanie služieb, účasť na verejnom obstarávaní, atraktívnosť investícií, kvalitné pracovné miesta, vytváranie väčšieho počtu lepšie platených pracovných miest a zlepšovanie pracovných podmienok a zvyšovanie životnej úrovne; upozorňuje však, že dohoda CETA musí ďalej posilniť udržateľný rozvoj, rešpektovať ľudské a pracovné práva a chrániť klímu;</w:t>
      </w:r>
    </w:p>
    <w:p w:rsidR="00C03B1E" w:rsidRPr="002C1D51" w:rsidRDefault="00C03B1E" w:rsidP="00C03B1E">
      <w:pPr>
        <w:pStyle w:val="NormalHanging12a"/>
      </w:pPr>
      <w:r w:rsidRPr="002C1D51">
        <w:lastRenderedPageBreak/>
        <w:t>2.</w:t>
      </w:r>
      <w:r w:rsidRPr="002C1D51">
        <w:tab/>
        <w:t>konštatuje s uspokojením, že obchod s tovarom medzi EÚ a Kanadou sa v rokoch 2016 až 2022 zvýšil o 66 %, zatiaľ čo obchod so službami medzi EÚ a Kanadou sa zvýšil o 46 %, čím prekonal zahraničný obchod EÚ s inými krajinami; konštatuje, že vývoz tovaru z EÚ do Kanady sa počas prvých piatich rokov predbežného vykonávania dohody zvýšil o 47 %, pričom najväčší nárast sa dosiahol v oblasti výrobkov, chemických výrobkov, ako aj potravín a živočíšnych výrobkov; konštatuje, že väčšina obáv vyjadrených pred predbežným uplatňovaním dohody vrátane obáv zo zaplavenia trhu EÚ kanadskými poľnohospodárskymi výrobkami na sa nenaplnila; konštatuje, že kanadský vývoz do EÚ sa zvýšil o 46,4 %, pričom najväčší nárast bol zaznamenaný v oblasti rúd, drahých kameňov a kovov a minerálnych palív a olejov;</w:t>
      </w:r>
    </w:p>
    <w:p w:rsidR="00C03B1E" w:rsidRPr="002C1D51" w:rsidRDefault="00C03B1E" w:rsidP="00C03B1E">
      <w:pPr>
        <w:pStyle w:val="NormalHanging12a"/>
        <w:rPr>
          <w:bCs/>
          <w:iCs/>
        </w:rPr>
      </w:pPr>
      <w:r w:rsidRPr="002C1D51">
        <w:t>3.</w:t>
      </w:r>
      <w:r w:rsidRPr="002C1D51">
        <w:tab/>
        <w:t xml:space="preserve">zdôrazňuje značný nárast dvojstranného obchodu s potravinami a poľnohospodárskymi výrobkami medzi EÚ a Kanadou, pričom od začiatku predbežného vykonávania dohody CETA vzrástol vývoz agropotravinárskych výrobkov EÚ do Kanady o 62 % a dovoz týchto produktov z Kanady do EÚ zaznamenal zvýšenie o 52 %; konštatuje, že to výrazne prospelo výrobcom a vývozcom na oboch stranách a prispelo to aj k vytváraniu pracovných miest; víta podstatné zvýšenie počtu </w:t>
      </w:r>
      <w:proofErr w:type="spellStart"/>
      <w:r w:rsidRPr="002C1D51">
        <w:t>mikropodnikov</w:t>
      </w:r>
      <w:proofErr w:type="spellEnd"/>
      <w:r w:rsidRPr="002C1D51">
        <w:t xml:space="preserve"> a malých a stredných podnikov z Únie, ktoré vyvážajú do Kanady, ako aj zvýšenie hodnoty ich vyvážaných výrobkov, a konštatuje, že dohoda tak výrazne slúži ich záujmom;</w:t>
      </w:r>
    </w:p>
    <w:p w:rsidR="00C03B1E" w:rsidRPr="002C1D51" w:rsidRDefault="00C03B1E" w:rsidP="00C03B1E">
      <w:pPr>
        <w:pStyle w:val="NormalHanging12a"/>
        <w:rPr>
          <w:szCs w:val="24"/>
        </w:rPr>
      </w:pPr>
      <w:r w:rsidRPr="002C1D51">
        <w:t>4.</w:t>
      </w:r>
      <w:r w:rsidRPr="002C1D51">
        <w:tab/>
        <w:t>zdôrazňuje, že pri vykonávaní dohody CETA a všetkých ostatných obchodných dohôd EÚ sa musí náležite zohľadniť dodržiavanie udržateľnej poľnohospodárskej výroby, reciprocita a zachovávanie vysokých noriem, najmä sanitárnych, rastlinolekárskych a veterinárnych, ako aj primerané kontroly a monitorovanie vzájomného dodržiavania týchto noriem;</w:t>
      </w:r>
    </w:p>
    <w:p w:rsidR="00C03B1E" w:rsidRPr="002C1D51" w:rsidRDefault="00C03B1E" w:rsidP="00C03B1E">
      <w:pPr>
        <w:pStyle w:val="NormalHanging12a"/>
      </w:pPr>
      <w:r w:rsidRPr="002C1D51">
        <w:t>5.</w:t>
      </w:r>
      <w:r w:rsidRPr="002C1D51">
        <w:tab/>
        <w:t>víta, že obchodné toky medzi stranami sa počas pandémie, ako aj zložitej situácie spôsobenej ruskou útočnou vojnou na Ukrajine vo všeobecnosti ukázali ako odolné, pričom odolali tlaku na dodávateľské reťazce a prispeli k posilneniu potravinovej bezpečnosti; domnieva sa, že dohoda CETA by mala slúžiť ako nástroj na uľahčenie spolupráce a spoločných opatrení pri obnove Ukrajiny po skončení vojny;</w:t>
      </w:r>
    </w:p>
    <w:p w:rsidR="00C03B1E" w:rsidRPr="002C1D51" w:rsidRDefault="00C03B1E" w:rsidP="00C03B1E">
      <w:pPr>
        <w:pStyle w:val="NormalHanging12a"/>
      </w:pPr>
      <w:r w:rsidRPr="002C1D51">
        <w:t>6.</w:t>
      </w:r>
      <w:r w:rsidRPr="002C1D51">
        <w:tab/>
        <w:t>podčiarkuje, že vývoz EÚ má zásadný význam pre zamestnanosť; víta, že dohoda CETA prispela k vytvoreniu nových pracovných príležitostí, keďže počet pracovných miest podporovaných vývozom z EÚ do Kanady sa zvýšil zo 624 000 v roku 2017 na viac ako 700 000 v roku 2021;</w:t>
      </w:r>
    </w:p>
    <w:p w:rsidR="00C03B1E" w:rsidRPr="002C1D51" w:rsidRDefault="00C03B1E" w:rsidP="00C03B1E">
      <w:pPr>
        <w:pStyle w:val="NormalHanging12a"/>
      </w:pPr>
      <w:r w:rsidRPr="002C1D51">
        <w:t>7.</w:t>
      </w:r>
      <w:r w:rsidRPr="002C1D51">
        <w:tab/>
        <w:t>zdôrazňuje význam uľahčenia mobility pracovnej sily vďaka dohode CETA, keďže pomáha zabezpečiť primeraný prenos zručností medzi EÚ a Kanadou a zabraňuje nedostatku kvalifikovanej pracovnej sily; v tejto súvislosti víta, že v roku 2022 bola podľa dohody CETA úspešne uzavretá prvá dohoda o vzájomnom uznávaní týkajúca sa kvalifikácií architektov; domnieva sa, že modrá karta EÚ by mohla ešte viac uľahčiť výmeny medzi dvoma konkurencieschopnými ekonomikami s vysoko vzdelaným obyvateľstvom; zdôrazňuje, že výmenné programy medzi akademickými inštitúciami EÚ a Kanady môžu z dlhodobého hľadiska ďalej prispievať k potrebnej mobilite pracovnej sily;</w:t>
      </w:r>
    </w:p>
    <w:p w:rsidR="00C03B1E" w:rsidRPr="002C1D51" w:rsidRDefault="00C03B1E" w:rsidP="00C03B1E">
      <w:pPr>
        <w:pStyle w:val="NormalHanging12a"/>
      </w:pPr>
      <w:r w:rsidRPr="002C1D51">
        <w:t>8.</w:t>
      </w:r>
      <w:r w:rsidRPr="002C1D51">
        <w:tab/>
        <w:t xml:space="preserve">konštatuje, že dve najdôležitejšie kategórie výrobkov, ktoré EÚ a Kanada navzájom vyvážajú, sú stroje a dopravné zariadenia (približne 34 % vývozu aj dovozu) a chemické, farmaceutické a plastové výrobky (približne 20 % celkového vývozu a dovozu); konštatuje však, že v porovnaní s inými obchodnými partnermi má v prípade dovozu z Kanady veľmi významné miesto banícky a ťažobný sektor, najmä hnojivá, </w:t>
      </w:r>
      <w:r w:rsidRPr="002C1D51">
        <w:lastRenderedPageBreak/>
        <w:t>nikel, urán a ropný piesok ktorý predstavuje takmer 20 % celkového dovozu z Kanady do EÚ; zdôrazňuje, že prístup k rozhodujúcim surovinám od spoľahlivých obchodných partnerov vrátane Kanady je kľúčovým prvkom stratégie EÚ v oblasti kritických surovín a je nevyhnutný pre zabezpečenie udržateľnej zelenej transformácie;</w:t>
      </w:r>
    </w:p>
    <w:p w:rsidR="00C03B1E" w:rsidRPr="002C1D51" w:rsidRDefault="00C03B1E" w:rsidP="00C03B1E">
      <w:pPr>
        <w:pStyle w:val="NormalHanging12a"/>
      </w:pPr>
      <w:r w:rsidRPr="002C1D51">
        <w:t>9.</w:t>
      </w:r>
      <w:r w:rsidRPr="002C1D51">
        <w:tab/>
        <w:t>zdôrazňuje, že spolupráca v oblasti prístupu ku kritickým surovinám má zásadný význam v súčasnom geopolitickom prostredí, ako aj pre zelenú a spravodlivú transformáciu, a víta podpísanie strategického partnerstva EÚ a Kanady pre kritické suroviny v júli 2021 v rámci CETA, ktoré by malo pomôcť integrovať hodnotové reťazce surovín medzi EÚ a Kanadou a podporiť spoluprácu v oblasti vedy, technológií a inovácie; konštatuje, že to predstavuje dôležitú súčasť európskej stratégie hospodárskej bezpečnosti; je presvedčený, že ťažba surovín musí prebiehať pri dodržiavaní environmentálnych noriem a pracovných a ľudských práv vrátane práv pôvodného obyvateľstva;</w:t>
      </w:r>
    </w:p>
    <w:p w:rsidR="00C03B1E" w:rsidRPr="002C1D51" w:rsidRDefault="00C03B1E" w:rsidP="00C03B1E">
      <w:pPr>
        <w:pStyle w:val="NormalHanging12a"/>
      </w:pPr>
      <w:r w:rsidRPr="002C1D51">
        <w:t>10.</w:t>
      </w:r>
      <w:r w:rsidRPr="002C1D51">
        <w:tab/>
        <w:t>víta, že európske a kanadské firmy čoraz viac a nepretržite využívajú preferencie udelené dohodou CETA, pričom miera využívania preferencií pre EÚ a Kanadu bola v roku 2022 na úrovni 60 % v porovnaní so 40 % v EÚ a 52 % v Kanade v roku 2018; so záujmom konštatuje, že menšie spoločnosti využívajú preferencie viac ako veľké spoločnosti a že miera využitia je výrazne vyššia v agropotravinárskom priemysle v porovnaní s výrobným priemyslom; zdôrazňuje, že nízka miera využívania preferencií v kľúčových odvetviach viacerých členských štátov EÚ naznačuje ušlé úspory nákladov a menší prínos v oblasti blahobytu vyplývajúci z dohody; nabáda oboch partnerov, aby aj naďalej podporovali opatrenia na zvýšenie informovanosti zainteresovaných strán v oboch regiónoch o dohode CETA aj prostredníctvom platformy EÚ Access2Markets; zdôrazňuje význam uľahčenia nových príležitostí pre podniky a spotrebiteľov prostredníctvom digitálneho obchodu v súlade s normami EÚ;</w:t>
      </w:r>
    </w:p>
    <w:p w:rsidR="00C03B1E" w:rsidRPr="002C1D51" w:rsidRDefault="00C03B1E" w:rsidP="00C03B1E">
      <w:pPr>
        <w:pStyle w:val="NormalHanging12a"/>
      </w:pPr>
      <w:r w:rsidRPr="002C1D51">
        <w:t>11.</w:t>
      </w:r>
      <w:r w:rsidRPr="002C1D51">
        <w:tab/>
        <w:t xml:space="preserve">konštatuje, že miera využitia colnej kvóty na dovoz hovädzieho a teľacieho mäsa do EÚ bola v roku 2021 len 3 % a že vývozcovia z EÚ rozšírili v Kanade svoj podiel na trhu, takže EÚ vyváža do Kanady viac mrazeného hovädzieho mäsa, než z nej dováža; poznamenáva však, že úroveň využívania týchto colných kvót sa môže časom zmeniť v dôsledku zmien na iných kanadských vývozných trhoch, najmä v USA a Číne; </w:t>
      </w:r>
    </w:p>
    <w:p w:rsidR="00C03B1E" w:rsidRPr="002C1D51" w:rsidRDefault="00C03B1E" w:rsidP="00C03B1E">
      <w:pPr>
        <w:pStyle w:val="NormalHanging12a"/>
      </w:pPr>
      <w:r w:rsidRPr="002C1D51">
        <w:t>12.</w:t>
      </w:r>
      <w:r w:rsidRPr="002C1D51">
        <w:tab/>
        <w:t xml:space="preserve">zdôrazňuje, že podľa audítorskej správy Generálneho riaditeľstva Komisie pre zdravie a bezpečnosť potravín Kanada ešte uspokojivo nevykonala odporúčania uvedené v audite generálneho riaditeľstva o systémoch </w:t>
      </w:r>
      <w:proofErr w:type="spellStart"/>
      <w:r w:rsidRPr="002C1D51">
        <w:t>vysledovateľnosti</w:t>
      </w:r>
      <w:proofErr w:type="spellEnd"/>
      <w:r w:rsidRPr="002C1D51">
        <w:t xml:space="preserve"> a kontroly kvality, ktorými sa riadi produkcia hovädzieho a bravčového mäsa určeného na vývoz do Európskej únie;</w:t>
      </w:r>
    </w:p>
    <w:p w:rsidR="00C03B1E" w:rsidRPr="002C1D51" w:rsidRDefault="00C03B1E" w:rsidP="00C03B1E">
      <w:pPr>
        <w:pStyle w:val="NormalHanging12a"/>
      </w:pPr>
      <w:r w:rsidRPr="002C1D51">
        <w:t>13.</w:t>
      </w:r>
      <w:r w:rsidRPr="002C1D51">
        <w:tab/>
        <w:t xml:space="preserve">víta zavedenie harmonizovaného vývozného osvedčenia EÚ na vývoz čerstvej hydiny z oprávnených členských štátov, ktoré začalo fungovať v roku 2021; vyzýva Komisiu, aby sa usilovala o ďalší pokrok v súvislosti s podobnými osvedčeniami pre spracované mäso a ovčie alebo kozie mäso a zároveň zvýšila úsilie o zabezpečenie silnejších systémov </w:t>
      </w:r>
      <w:proofErr w:type="spellStart"/>
      <w:r w:rsidRPr="002C1D51">
        <w:t>vysledovateľnosti</w:t>
      </w:r>
      <w:proofErr w:type="spellEnd"/>
      <w:r w:rsidRPr="002C1D51">
        <w:t xml:space="preserve"> mäsových výrobkov; vyzýva Komisiu, aby v rámci riadiaceho výboru a v spolupráci s kanadskými orgánmi a členskými štátmi dosiahla pokrok pri uznávaní zostávajúcich systémov kontroly mäsa s cieľom umožniť ostatným členským štátom vyvážať mäso do Kanady;</w:t>
      </w:r>
    </w:p>
    <w:p w:rsidR="00C03B1E" w:rsidRPr="002C1D51" w:rsidRDefault="00C03B1E" w:rsidP="00C03B1E">
      <w:pPr>
        <w:pStyle w:val="NormalHanging12a"/>
      </w:pPr>
      <w:r w:rsidRPr="002C1D51">
        <w:t>14.</w:t>
      </w:r>
      <w:r w:rsidRPr="002C1D51">
        <w:tab/>
        <w:t xml:space="preserve">s poľutovaním konštatuje, že v dohode CETA sa zásada </w:t>
      </w:r>
      <w:proofErr w:type="spellStart"/>
      <w:r w:rsidRPr="002C1D51">
        <w:t>regionalizácie</w:t>
      </w:r>
      <w:proofErr w:type="spellEnd"/>
      <w:r w:rsidRPr="002C1D51">
        <w:t xml:space="preserve"> neuplatňuje vo všeobecnosti, keďže EÚ sa považuje za jednotnú oblasť, len pokiaľ ide o živočíšnu výrobu, ale nie pokiaľ ide o sektor ovocia a zeleniny, čo znamená, že každý členský štát musí individuálne rokovať a dohodnúť sa na vývozných požiadavkách pre každý </w:t>
      </w:r>
      <w:r w:rsidRPr="002C1D51">
        <w:lastRenderedPageBreak/>
        <w:t>výrobok; žiada, aby sa tento nedostatok čo najskôr v rámci spoločného riadiaceho výboru EÚ – Kanada odstránil;</w:t>
      </w:r>
    </w:p>
    <w:p w:rsidR="00C03B1E" w:rsidRPr="002C1D51" w:rsidRDefault="00C03B1E" w:rsidP="00C03B1E">
      <w:pPr>
        <w:pStyle w:val="NormalHanging12a"/>
        <w:rPr>
          <w:szCs w:val="24"/>
        </w:rPr>
      </w:pPr>
      <w:r w:rsidRPr="002C1D51">
        <w:t>15.</w:t>
      </w:r>
      <w:r w:rsidRPr="002C1D51">
        <w:tab/>
        <w:t>vyzýva Komisiu, aby uľahčila prebiehajúcu spoluprácu s kanadskými orgánmi zameranú na zvýšenie pozornosti venovanej zárukám týkajúcim sa noriem v oblasti dobrých životných podmienok zvierat v dohode CETA a na hodnotenie uskutočniteľnosti zavedenia zrkadlových doložiek v tejto oblasti v budúcnosti s cieľom zaručiť rovnocennosť noriem v oblasti dobrých životných podmienok zvierat, a tým aj rovnaké podmienky pre produkty živočíšneho pôvodu z EÚ a dovážané živočíšne produkty;</w:t>
      </w:r>
    </w:p>
    <w:p w:rsidR="00C03B1E" w:rsidRPr="002C1D51" w:rsidRDefault="00C03B1E" w:rsidP="00C03B1E">
      <w:pPr>
        <w:pStyle w:val="NormalHanging12a"/>
      </w:pPr>
      <w:r w:rsidRPr="002C1D51">
        <w:t>16.</w:t>
      </w:r>
      <w:r w:rsidRPr="002C1D51">
        <w:tab/>
        <w:t>poukazuje na to, že obchodná politika EÚ, a najmä dohoda CETA, majú významný hospodársky vplyv na najvzdialenejšie regióny, a preto zdôrazňuje potrebu chrániť záujmy týchto regiónov pri budúcich rokovaniach alebo prípadnom preskúmaní dohody;</w:t>
      </w:r>
    </w:p>
    <w:p w:rsidR="00C03B1E" w:rsidRPr="002C1D51" w:rsidRDefault="00C03B1E" w:rsidP="00C03B1E">
      <w:pPr>
        <w:pStyle w:val="NormalHanging12a"/>
      </w:pPr>
      <w:r w:rsidRPr="002C1D51">
        <w:t>17.</w:t>
      </w:r>
      <w:r w:rsidRPr="002C1D51">
        <w:tab/>
        <w:t>trvá na tom, že časť colných sadzieb a colných kvót pridelených na výrobky z EÚ by sa mala prideliť hospodárskym subjektom registrovaným v najvzdialenejších regiónoch, a to s prihliadnutím na ich hospodársku situáciu; zdôrazňuje, že rozdielne zaobchádzanie so subjektmi v najvzdialenejších regiónoch je kľúčom k zaisteniu konkurencieschopnosti podnikov a spravodlivého rozdelenia colných sadzieb a colných kvót medzi komerčné subjekty tým, že sa zabráni obmedzeniu výhod na malý počet subjektov;</w:t>
      </w:r>
    </w:p>
    <w:p w:rsidR="00C03B1E" w:rsidRPr="002C1D51" w:rsidRDefault="00C03B1E" w:rsidP="00C03B1E">
      <w:pPr>
        <w:pStyle w:val="NormalHanging12a"/>
      </w:pPr>
      <w:r w:rsidRPr="002C1D51">
        <w:t>18.</w:t>
      </w:r>
      <w:r w:rsidRPr="002C1D51">
        <w:tab/>
        <w:t>berie na vedomie, že miera využitia colných kvót dosahuje v prípade vývozu syra z EÚ v priemere 98 %; požaduje však transparentnejší a pružnejší kanadský systém správy colných kvót pre mliečne výrobky, najmä kvót na syr, a naliehavo vyzýva kanadské orgány, aby čo najrýchlejšie uskutočnili prípadnú revíziu systému;</w:t>
      </w:r>
    </w:p>
    <w:p w:rsidR="00C03B1E" w:rsidRPr="002C1D51" w:rsidRDefault="00C03B1E" w:rsidP="00C03B1E">
      <w:pPr>
        <w:pStyle w:val="NormalHanging12a"/>
      </w:pPr>
      <w:r w:rsidRPr="002C1D51">
        <w:t>19.</w:t>
      </w:r>
      <w:r w:rsidRPr="002C1D51">
        <w:tab/>
        <w:t>zdôrazňuje, že je dôležité uznať systém zemepisných označení za kľúčový prvok dohody; zdôrazňuje, že treba aj naďalej účinne presadzovať ochranu zemepisných označení držiteľov práv EÚ v Kanade s cieľom zaistiť dôveru v správne fungovanie dohody;</w:t>
      </w:r>
    </w:p>
    <w:p w:rsidR="00C03B1E" w:rsidRPr="002C1D51" w:rsidRDefault="00C03B1E" w:rsidP="00C03B1E">
      <w:pPr>
        <w:pStyle w:val="NormalHanging12a"/>
        <w:rPr>
          <w:szCs w:val="24"/>
        </w:rPr>
      </w:pPr>
      <w:r w:rsidRPr="002C1D51">
        <w:t>20.</w:t>
      </w:r>
      <w:r w:rsidRPr="002C1D51">
        <w:tab/>
        <w:t>berie na vedomie, že počas prvých šiestich rokov predbežného vykonávania dohody CETA sa vývoz služieb z EÚ do Kanady zvýšil o 54 % a ich dovoz z Kanady o 74 %, pričom najväčší nárast sa dosiahol v oblasti dopravných služieb, služieb pre podniky a informačných, počítačových a telekomunikačných služieb, z čoho majú prospech najmä menšie členské štáty EÚ, v ktorých majú služby významné miesto v hospodárskej štruktúre krajiny;</w:t>
      </w:r>
    </w:p>
    <w:p w:rsidR="00C03B1E" w:rsidRPr="002C1D51" w:rsidRDefault="00C03B1E" w:rsidP="00C03B1E">
      <w:pPr>
        <w:pStyle w:val="NormalHanging12a"/>
        <w:rPr>
          <w:szCs w:val="24"/>
        </w:rPr>
      </w:pPr>
      <w:r w:rsidRPr="002C1D51">
        <w:t>21.</w:t>
      </w:r>
      <w:r w:rsidRPr="002C1D51">
        <w:tab/>
        <w:t xml:space="preserve">víta konkrétne úsilie o uľahčenie prístupu k verejnému obstarávaniu, ako je jednotné prístupové miesto v Kanade; zastáva názor, že aj keď sa na verejných súťažiach v Kanade, napríklad v súvislosti s osobnou železničnou dopravou v provincii </w:t>
      </w:r>
      <w:proofErr w:type="spellStart"/>
      <w:r w:rsidRPr="002C1D51">
        <w:t>Ontário</w:t>
      </w:r>
      <w:proofErr w:type="spellEnd"/>
      <w:r w:rsidRPr="002C1D51">
        <w:t xml:space="preserve"> alebo mostami v Montreale, úspešne zúčastňuje mnoho ďalších podnikov EÚ, dodávatelia z EÚ by mohli ešte viac využívať ponúkané príležitosti, najmä pokiaľ ide o projekty infraštruktúry a predkladanie ponúk v prípade zákaziek na provinčnej a obecnej úrovni;</w:t>
      </w:r>
    </w:p>
    <w:p w:rsidR="00C03B1E" w:rsidRPr="002C1D51" w:rsidRDefault="00C03B1E" w:rsidP="00C03B1E">
      <w:pPr>
        <w:pStyle w:val="NormalHanging12a"/>
      </w:pPr>
      <w:r w:rsidRPr="002C1D51">
        <w:t>22.</w:t>
      </w:r>
      <w:r w:rsidRPr="002C1D51">
        <w:tab/>
        <w:t xml:space="preserve">vyzýva zmluvné strany, aby poskytli všetku právnu a administratívnu podporu a nástroje, ktoré MSP potrebujú na to, aby sa zapojili do obchodu a investícií v rámci dohody CETA, s cieľom stimulovať intenzívnejšiu výmenu a zvýšiť účasť MSP, aby mohli využívať výhody dohody CETA, a to aj prostredníctvom aktívnych opatrení na </w:t>
      </w:r>
      <w:r w:rsidRPr="002C1D51">
        <w:lastRenderedPageBreak/>
        <w:t>uľahčenie internacionalizácie MSP, zjednodušiť postupy a odstrániť technické prekážky obchodu, ktoré neúmerne ovplyvňujú MSP; v tejto súvislosti víta odporúčanie o MSP prijaté spoločným výborom v roku 2018 a následné akčné plány vrátane konkrétnych opatrení, akým bolo spustenie platformy Access2Markets v októbri 2020, ktorá podporuje MSP poskytovaním praktických informácií o obchodných dohodách a prekážkach v obchode; očakáva, že ex post hodnotenie poskytne údaje o vývoji podielu MSP na obchode medzi EÚ a Kanadou; vyzýva zmluvné strany, aby zvážili možnosť plnohodnotnej kapitoly o MSP podobne ako v dohodách s Novým Zélandom a Čile;</w:t>
      </w:r>
    </w:p>
    <w:p w:rsidR="00C03B1E" w:rsidRPr="002C1D51" w:rsidRDefault="00C03B1E" w:rsidP="00C03B1E">
      <w:pPr>
        <w:pStyle w:val="NormalHanging12a"/>
      </w:pPr>
      <w:r w:rsidRPr="002C1D51">
        <w:t>23.</w:t>
      </w:r>
      <w:r w:rsidRPr="002C1D51">
        <w:tab/>
        <w:t>vzhľadom na význam sektora sociálneho a solidárneho hospodárstva v Kanade a akčný plán pre sociálne hospodárstvo, ktorý Komisia prijala 9. decembra 2021</w:t>
      </w:r>
      <w:r w:rsidRPr="002C1D51">
        <w:rPr>
          <w:rStyle w:val="FootnoteReference"/>
        </w:rPr>
        <w:footnoteReference w:id="6"/>
      </w:r>
      <w:r w:rsidRPr="002C1D51">
        <w:t>, vyzýva spoločný výbor, aby určil, aké konkrétne opatrenia by sa mohli zaviesť na podporu väčšej spolupráce medzi subjektmi sociálneho a solidárneho hospodárstva na oboch brehoch Atlantiku;</w:t>
      </w:r>
    </w:p>
    <w:p w:rsidR="00C03B1E" w:rsidRPr="002C1D51" w:rsidRDefault="00C03B1E" w:rsidP="00C03B1E">
      <w:pPr>
        <w:pStyle w:val="NormalHanging12a"/>
      </w:pPr>
      <w:r w:rsidRPr="002C1D51">
        <w:t>24.</w:t>
      </w:r>
      <w:r w:rsidRPr="002C1D51">
        <w:tab/>
        <w:t>nabáda obe strany, aby pokračovali v osvetovej činnosti, najmä so zameraním na MSP a subjekty sociálneho a solidárneho hospodárstva, s cieľom uskutočniť cielené informačné kampane na zvýšenie informovanosti o príležitostiach, ktoré ponúka dohoda CETA, a zároveň zabezpečiť, aby z dohody mohli rovnomerne ťažiť muži i ženy;</w:t>
      </w:r>
    </w:p>
    <w:p w:rsidR="00C03B1E" w:rsidRPr="002C1D51" w:rsidRDefault="00C03B1E" w:rsidP="00C03B1E">
      <w:pPr>
        <w:pStyle w:val="NormalHanging12a"/>
      </w:pPr>
      <w:r w:rsidRPr="002C1D51">
        <w:t>25.</w:t>
      </w:r>
      <w:r w:rsidRPr="002C1D51">
        <w:tab/>
        <w:t>víta, že Spoločný výbor CETA už v roku 2018 prijal odporúčanie o obchode a rodovej rovnosti, ktoré zahŕňa záväzok vymieňať si metódy a postupy zberu údajov rozčlenených podľa pohlavia, používanie ukazovateľov, metodiky monitorovania a hodnotenia a analýzu štatistík o obchode zameraných na rodovú rovnosť; zdôrazňuje, že obchod by mal byť prospešný pre všetkých, a najmä posilňovať ekonomické postavenie žien; dôrazne vyzýva spoločný výbor CETA, aby pokračoval v monitorovaní vplyvu dohody na rodovú rovnosť; zastáva názor, že práca vykonaná na základe spoločne prijatého akčného plánu môže slúžiť ako príklad pre iné obchodné dohody, aj keď v samotnej dohode nie sú osobitné kapitoly o obchode a rodovej rovnosti; pripomína uznesenie EP o akčnom pláne pre rodovú rovnosť III</w:t>
      </w:r>
      <w:r w:rsidRPr="002C1D51">
        <w:rPr>
          <w:rStyle w:val="FootnoteReference"/>
        </w:rPr>
        <w:footnoteReference w:id="7"/>
      </w:r>
      <w:r w:rsidRPr="002C1D51">
        <w:t xml:space="preserve"> a nabáda Komisiu, aby zverejňovala rodovo rozčlenené údaje o využívaní dohody, ktoré budú ľahšie dostupné, najmä v súvislosti s kapitolami o verejnom obstarávaní a o obchode a práci;</w:t>
      </w:r>
    </w:p>
    <w:p w:rsidR="00C03B1E" w:rsidRPr="002C1D51" w:rsidRDefault="00C03B1E" w:rsidP="00C03B1E">
      <w:pPr>
        <w:pStyle w:val="NormalHanging12a"/>
      </w:pPr>
      <w:r w:rsidRPr="002C1D51">
        <w:t>26.</w:t>
      </w:r>
      <w:r w:rsidRPr="002C1D51">
        <w:tab/>
        <w:t>vyzýva Komisiu, aby zabránila oslabeniu zásady predbežnej opatrnosti ako základnej zásady Európskej únie zakotvenej v zmluvách a garanta ochrany európskych poľnohospodárov a občanov; zdôrazňuje význam presadzovania zásady predbežnej opatrnosti vo všetkých aspektoch obchodu a zabezpečenia jej uplatňovania, pričom sa treba vyhnúť neodôvodneným prekážkam obchodu;</w:t>
      </w:r>
    </w:p>
    <w:p w:rsidR="00C03B1E" w:rsidRPr="002C1D51" w:rsidRDefault="00C03B1E" w:rsidP="00C03B1E">
      <w:pPr>
        <w:pStyle w:val="NormalHanging12a"/>
      </w:pPr>
      <w:r w:rsidRPr="002C1D51">
        <w:t>27.</w:t>
      </w:r>
      <w:r w:rsidRPr="002C1D51">
        <w:tab/>
        <w:t xml:space="preserve">zdôrazňuje, že tým, že dohoda CETA zahŕňa záväzky o spolupráci v environmentálnych otázkach spoločného záujmu súvisiacich s obchodom, ako je zmena klímy, ako to dokazuje odporúčanie o obchode, opatreniach v oblasti klímy a Parížska dohoda, poskytuje rámec podporujúci obchod aj opatrenia v oblasti klímy, najmä podporovaním čistých technológií; zdôrazňuje význam globálnej výroby energie v Kanade, ktorá urýchľuje prechod na čistú energiu výrobou energie z obnoviteľných zdrojov; víta nárast obchodu s environmentálnym tovarom o 27 % od začiatku predbežného </w:t>
      </w:r>
      <w:r w:rsidRPr="002C1D51">
        <w:lastRenderedPageBreak/>
        <w:t>uplatňovania dohody; konštatuje však, že Kanada považuje určité prvky európskych legislatívnych a nelegislatívnych iniciatív v súvislosti s Európskou zelenou dohodou za technické prekážky obchodu; vyzýva zmluvné strany, aby našli synergie s vykonávaním mechanizmu uhlíkovej kompenzácie na hraniciach (CBAM) a iných iniciatív v EÚ a spoločne podporili prácu na vypracovaní spoločných alebo porovnateľných metodík emisií uhlíka na medzinárodnej úrovni;</w:t>
      </w:r>
    </w:p>
    <w:p w:rsidR="00C03B1E" w:rsidRPr="002C1D51" w:rsidRDefault="00C03B1E" w:rsidP="00C03B1E">
      <w:pPr>
        <w:pStyle w:val="NormalHanging12a"/>
      </w:pPr>
      <w:r w:rsidRPr="002C1D51">
        <w:t>28.</w:t>
      </w:r>
      <w:r w:rsidRPr="002C1D51">
        <w:tab/>
        <w:t>víta začatie digitálneho partnerstva medzi EÚ a Kanadou, ktoré je kľúčovým faktorom zelenej a digitálnej transformácie; vyzýva obe strany, aby v rámci vykonávania dohody CETA posilnili spoluprácu v otázkach strategického spoločného záujmu, ako je umelá inteligencia, kybernetická bezpečnosť a boj proti dezinformáciám;</w:t>
      </w:r>
    </w:p>
    <w:p w:rsidR="00C03B1E" w:rsidRPr="002C1D51" w:rsidRDefault="00C03B1E" w:rsidP="00C03B1E">
      <w:pPr>
        <w:pStyle w:val="NormalHanging12a"/>
      </w:pPr>
      <w:r w:rsidRPr="002C1D51">
        <w:t>29.</w:t>
      </w:r>
      <w:r w:rsidRPr="002C1D51">
        <w:tab/>
        <w:t>víta aktívne zapojenie a monitorovanie vykonávania dohody CETA vnútroštátnymi poradnými skupinami a Fórom občianskej spoločnosti, v ktorých sú združené stovky zástupcov z celej EÚ a Kanady vrátane podnikov, environmentálnych a pracovných organizácií, občianskej spoločnosti, akademickej obce, ako aj zástupcov pôvodného obyvateľstva z Kanady, a ktoré spoločnými vyhláseniami aktívne prispievajú k práci najmä Výboru pre obchod a udržateľný rozvoj; vyzýva Komisiu a Radu pre obchod a udržateľný rozvoj, aby sa zaoberali ich návrhmi; zdôrazňuje, že mandátom vnútroštátnych poradných skupín by malo byť aj posúdenie vplyvu úplnej dohody na udržateľnosť; zdôrazňuje, že je dôležité zahrnúť do ich práce úvahy o vplyve kapitoly o ochrane investícií na udržateľnosť a ľudské práva;</w:t>
      </w:r>
    </w:p>
    <w:p w:rsidR="00C03B1E" w:rsidRPr="002C1D51" w:rsidRDefault="00C03B1E" w:rsidP="00C03B1E">
      <w:pPr>
        <w:pStyle w:val="NormalHanging12a"/>
      </w:pPr>
      <w:r w:rsidRPr="002C1D51">
        <w:t>30.</w:t>
      </w:r>
      <w:r w:rsidRPr="002C1D51">
        <w:tab/>
        <w:t>vyzýva obe strany, aby zabezpečili lepšiu integráciu drobných poľnohospodárov a spotrebiteľov do domácich poradných skupín v súvislosti s obnovou týchto skupín;</w:t>
      </w:r>
    </w:p>
    <w:p w:rsidR="00C03B1E" w:rsidRPr="002C1D51" w:rsidRDefault="00C03B1E" w:rsidP="00C03B1E">
      <w:pPr>
        <w:pStyle w:val="NormalHanging12a"/>
      </w:pPr>
      <w:r w:rsidRPr="002C1D51">
        <w:t>31.</w:t>
      </w:r>
      <w:r w:rsidRPr="002C1D51">
        <w:tab/>
        <w:t>trvá na účinnom plnení osobitných záväzkov týkajúcich sa ustanovení o obchode a udržateľnom rozvoji vrátane včasného preskúmania obchodu a udržateľného rozvoja v rámci spoločnej listine o výklade, ktoré sú neoddeliteľnou súčasťou dohody CETA a sú nevyhnutné na splnenie stanovených cieľov; berie na vedomie, že v roku 2024 Komisia vykoná hodnotenie ex post dohody CETA vrátane jej kapitoly o obchode a udržateľnom rozvoji so zapojením nezávislých expertov, ktoré bude príležitosťou na jej posúdenie v porovnaní s novým prístupom Komisie z júna 2022 a na zváženie prijatia konkrétnych návrhov, ktoré Kanada predložila v roku 2020 s cieľom dať určitým ustanoveniam tejto kapitoly záväznejší rozsah pôsobnosti; pripomína, že spoločný výbor CETA môže prijať záväzné rozhodnutie, ktorým sa stanovia vykonávacie plány na posilnenie spolupráce v oblastiach, v ktorých by následné hodnotenie identifikovalo nedostatky, a očakáva aktívne konanie ; je presvedčený, že úsiliu zameranému na lepšie vykonávanie kapitoly o obchode a udržateľnom rozvoji alebo jej revíziu by mali predchádzať zmysluplné konzultácie so všetkými zainteresovanými stranami;</w:t>
      </w:r>
    </w:p>
    <w:p w:rsidR="00C03B1E" w:rsidRPr="002C1D51" w:rsidRDefault="00C03B1E" w:rsidP="00C03B1E">
      <w:pPr>
        <w:pStyle w:val="NormalHanging12a"/>
      </w:pPr>
      <w:r w:rsidRPr="002C1D51">
        <w:t>32.</w:t>
      </w:r>
      <w:r w:rsidRPr="002C1D51">
        <w:tab/>
        <w:t>konštatuje, že Spojené kráľovstvo prestalo byť členom Európskej únie po predbežnom uplatňovaní dohody CETA; konštatuje, že Spojené kráľovstvo a Kanada sa dohodli na viacerých dvojstranných obchodných dojednaniach s cieľom zohľadniť túto skutočnosť, a to aj pokiaľ ide o využívanie colných kvót a kumuláciu; upozorňuje, že niektoré z týchto dohôd sa prestanú uplatňovať po roku 2024, čo môže znamenať menšie narušenie zavedených dodávateľských reťazcov; vyzýva Komisiu, aby preskúmala možnosť nových dohôd v prípadoch, keď tieto narušenia môžu mať negatívny vplyv na hospodárske subjekty Únie;</w:t>
      </w:r>
    </w:p>
    <w:p w:rsidR="00C03B1E" w:rsidRPr="002C1D51" w:rsidRDefault="00C03B1E" w:rsidP="00C03B1E">
      <w:pPr>
        <w:tabs>
          <w:tab w:val="left" w:pos="567"/>
        </w:tabs>
        <w:spacing w:after="240"/>
        <w:ind w:left="567" w:hanging="567"/>
      </w:pPr>
      <w:r w:rsidRPr="002C1D51">
        <w:t>33.</w:t>
      </w:r>
      <w:r w:rsidRPr="002C1D51">
        <w:tab/>
        <w:t xml:space="preserve">vyzýva zmluvné strany, aby po ratifikácii využili ustanovenie o preskúmaní s cieľom zaviesť vhodný a účinný mechanizmus urovnávania sporov pre obchod a udržateľný </w:t>
      </w:r>
      <w:r w:rsidRPr="002C1D51">
        <w:lastRenderedPageBreak/>
        <w:t>rozvoj a aby pri tom okrem iných metód presadzovania práva zvážili sankcie ako odradzujúci prostriedok, ktorý by sa v prípade závažných porušení mal použiť ako posledná možnosť; zdôrazňuje svoje želanie zvážiť inštitucionalizovanie prebiehajúcej spolupráce v oblasti obchodu a rodovej rovnosti v tomto preskúmaní; zdôrazňuje, že v rámci tohto preskúmania by sa malo zvážiť zaviesť aj osobitné prísne ustanovenia o právach domorodého obyvateľstva vrátane Dohovoru MOP č. 169 a Deklarácie OSN o právach pôvodného obyvateľstva;</w:t>
      </w:r>
    </w:p>
    <w:p w:rsidR="00C03B1E" w:rsidRPr="002C1D51" w:rsidRDefault="00C03B1E" w:rsidP="00C03B1E">
      <w:pPr>
        <w:pStyle w:val="NormalHanging12a"/>
      </w:pPr>
      <w:r w:rsidRPr="002C1D51">
        <w:t>34.</w:t>
      </w:r>
      <w:r w:rsidRPr="002C1D51">
        <w:tab/>
        <w:t>naliehavo vyzýva Belgicko, Bulharsko, Cyprus, Francúzsko, Grécko, Maďarsko, Írsko, Taliansko, Poľsko a Slovinsko, aby rýchlo dohodu CETA ratifikovali, keďže to bude nevyhnutné na aktualizáciu dohody, a opätovne podčiarkuje význam plného uplatňovania dohody CETA vrátane jej ustanovení o ochrane investícií;</w:t>
      </w:r>
    </w:p>
    <w:p w:rsidR="00FD33BB" w:rsidRPr="002C1D51" w:rsidRDefault="00C03B1E" w:rsidP="00FD33BB">
      <w:pPr>
        <w:pStyle w:val="NormalHanging12a"/>
      </w:pPr>
      <w:r w:rsidRPr="002C1D51">
        <w:t>35.</w:t>
      </w:r>
      <w:r w:rsidRPr="002C1D51">
        <w:tab/>
        <w:t>poveruje svoju predsedníčku, aby postúpila toto uznesenie Rade a Komisii, ako aj vláde a parlamentu Kanady.</w:t>
      </w:r>
    </w:p>
    <w:sectPr w:rsidR="00FD33BB" w:rsidRPr="002C1D51" w:rsidSect="00FD33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378" w:rsidRPr="00D80FE1" w:rsidRDefault="001E3378">
      <w:r w:rsidRPr="00D80FE1">
        <w:separator/>
      </w:r>
    </w:p>
  </w:endnote>
  <w:endnote w:type="continuationSeparator" w:id="0">
    <w:p w:rsidR="001E3378" w:rsidRPr="00D80FE1" w:rsidRDefault="001E3378">
      <w:r w:rsidRPr="00D80F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0F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0F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0F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378" w:rsidRPr="00D80FE1" w:rsidRDefault="001E3378">
      <w:r w:rsidRPr="00D80FE1">
        <w:separator/>
      </w:r>
    </w:p>
  </w:footnote>
  <w:footnote w:type="continuationSeparator" w:id="0">
    <w:p w:rsidR="001E3378" w:rsidRPr="00D80FE1" w:rsidRDefault="001E3378">
      <w:r w:rsidRPr="00D80FE1">
        <w:continuationSeparator/>
      </w:r>
    </w:p>
  </w:footnote>
  <w:footnote w:id="1">
    <w:p w:rsidR="00C03B1E" w:rsidRPr="00A273A8" w:rsidRDefault="00C03B1E" w:rsidP="00D80FE1">
      <w:pPr>
        <w:pStyle w:val="FootnoteText"/>
        <w:ind w:left="567" w:hanging="567"/>
        <w:rPr>
          <w:sz w:val="24"/>
          <w:lang w:val="sk-SK"/>
        </w:rPr>
      </w:pPr>
      <w:r w:rsidRPr="00D80FE1">
        <w:rPr>
          <w:rStyle w:val="FootnoteReference"/>
          <w:sz w:val="24"/>
          <w:lang w:val="sk-SK"/>
        </w:rPr>
        <w:footnoteRef/>
      </w:r>
      <w:r w:rsidR="00D80FE1" w:rsidRPr="00D80FE1">
        <w:rPr>
          <w:sz w:val="24"/>
          <w:lang w:val="sk-SK"/>
        </w:rPr>
        <w:t xml:space="preserve"> </w:t>
      </w:r>
      <w:r w:rsidR="00D80FE1" w:rsidRPr="00D80FE1">
        <w:rPr>
          <w:sz w:val="24"/>
          <w:lang w:val="sk-SK"/>
        </w:rPr>
        <w:tab/>
      </w:r>
      <w:hyperlink r:id="rId1" w:history="1">
        <w:r w:rsidRPr="008C782C">
          <w:rPr>
            <w:rStyle w:val="Hyperlink"/>
            <w:sz w:val="24"/>
            <w:lang w:val="sk-SK"/>
          </w:rPr>
          <w:t>Ú. v. EÚ L 11, 14.1.2017, s. 23.</w:t>
        </w:r>
      </w:hyperlink>
    </w:p>
  </w:footnote>
  <w:footnote w:id="2">
    <w:p w:rsidR="00C03B1E" w:rsidRPr="00A273A8" w:rsidRDefault="00C03B1E" w:rsidP="00D80FE1">
      <w:pPr>
        <w:pStyle w:val="FootnoteText"/>
        <w:ind w:left="567" w:hanging="567"/>
        <w:rPr>
          <w:sz w:val="24"/>
          <w:lang w:val="sk-SK"/>
        </w:rPr>
      </w:pPr>
      <w:r w:rsidRPr="00A273A8">
        <w:rPr>
          <w:rStyle w:val="FootnoteReference"/>
          <w:sz w:val="24"/>
          <w:lang w:val="sk-SK"/>
        </w:rPr>
        <w:footnoteRef/>
      </w:r>
      <w:r w:rsidR="00D80FE1" w:rsidRPr="00A273A8">
        <w:rPr>
          <w:sz w:val="24"/>
          <w:lang w:val="sk-SK"/>
        </w:rPr>
        <w:t xml:space="preserve"> </w:t>
      </w:r>
      <w:r w:rsidR="00D80FE1" w:rsidRPr="00A273A8">
        <w:rPr>
          <w:sz w:val="24"/>
          <w:lang w:val="sk-SK"/>
        </w:rPr>
        <w:tab/>
      </w:r>
      <w:hyperlink r:id="rId2" w:history="1">
        <w:r w:rsidRPr="008C782C">
          <w:rPr>
            <w:rStyle w:val="Hyperlink"/>
            <w:sz w:val="24"/>
            <w:lang w:val="sk-SK"/>
          </w:rPr>
          <w:t>Ú. v. EÚ L 11, 14.1.2017, s. 3.</w:t>
        </w:r>
      </w:hyperlink>
    </w:p>
  </w:footnote>
  <w:footnote w:id="3">
    <w:p w:rsidR="00C03B1E" w:rsidRPr="00D80FE1" w:rsidRDefault="00C03B1E" w:rsidP="00D80FE1">
      <w:pPr>
        <w:pStyle w:val="FootnoteText"/>
        <w:ind w:left="567" w:hanging="567"/>
        <w:rPr>
          <w:sz w:val="24"/>
          <w:lang w:val="sk-SK"/>
        </w:rPr>
      </w:pPr>
      <w:r w:rsidRPr="00A273A8">
        <w:rPr>
          <w:rStyle w:val="FootnoteReference"/>
          <w:sz w:val="24"/>
          <w:lang w:val="sk-SK"/>
        </w:rPr>
        <w:footnoteRef/>
      </w:r>
      <w:r w:rsidR="00D80FE1" w:rsidRPr="00A273A8">
        <w:rPr>
          <w:sz w:val="24"/>
          <w:lang w:val="sk-SK"/>
        </w:rPr>
        <w:t xml:space="preserve"> </w:t>
      </w:r>
      <w:r w:rsidR="00D80FE1" w:rsidRPr="00A273A8">
        <w:rPr>
          <w:sz w:val="24"/>
          <w:lang w:val="sk-SK"/>
        </w:rPr>
        <w:tab/>
      </w:r>
      <w:hyperlink r:id="rId3" w:history="1">
        <w:r w:rsidRPr="008C782C">
          <w:rPr>
            <w:rStyle w:val="Hyperlink"/>
            <w:sz w:val="24"/>
            <w:lang w:val="sk-SK"/>
          </w:rPr>
          <w:t>Ú. v. EÚ C 252, 18.7.2018, s. 348.</w:t>
        </w:r>
      </w:hyperlink>
    </w:p>
  </w:footnote>
  <w:footnote w:id="4">
    <w:p w:rsidR="00C03B1E" w:rsidRPr="00D80FE1" w:rsidRDefault="00C03B1E" w:rsidP="00D80FE1">
      <w:pPr>
        <w:pStyle w:val="FootnoteText"/>
        <w:ind w:left="567" w:hanging="567"/>
        <w:rPr>
          <w:sz w:val="24"/>
          <w:lang w:val="sk-SK"/>
        </w:rPr>
      </w:pPr>
      <w:r w:rsidRPr="00D80FE1">
        <w:rPr>
          <w:rStyle w:val="FootnoteReference"/>
          <w:sz w:val="24"/>
          <w:lang w:val="sk-SK"/>
        </w:rPr>
        <w:footnoteRef/>
      </w:r>
      <w:r w:rsidR="00D80FE1" w:rsidRPr="00D80FE1">
        <w:rPr>
          <w:sz w:val="24"/>
          <w:lang w:val="sk-SK"/>
        </w:rPr>
        <w:t xml:space="preserve"> </w:t>
      </w:r>
      <w:r w:rsidR="00D80FE1" w:rsidRPr="00D80FE1">
        <w:rPr>
          <w:sz w:val="24"/>
          <w:lang w:val="sk-SK"/>
        </w:rPr>
        <w:tab/>
      </w:r>
      <w:r w:rsidRPr="00D80FE1">
        <w:rPr>
          <w:sz w:val="24"/>
          <w:lang w:val="sk-SK"/>
        </w:rPr>
        <w:t xml:space="preserve">Stanovisko </w:t>
      </w:r>
      <w:bookmarkStart w:id="8" w:name="_GoBack"/>
      <w:bookmarkEnd w:id="8"/>
      <w:r w:rsidRPr="00D80FE1">
        <w:rPr>
          <w:sz w:val="24"/>
          <w:lang w:val="sk-SK"/>
        </w:rPr>
        <w:t>Súdneho dvora Európskej únie zo 16. mája 2017 podľa článku 218 ods. 11 ZFEÚ k Dohode o voľnom obchode medzi Európskou úniou a Singapurskou republikou, ECLI:EU:C:2017:376.</w:t>
      </w:r>
    </w:p>
  </w:footnote>
  <w:footnote w:id="5">
    <w:p w:rsidR="00C03B1E" w:rsidRPr="00D80FE1" w:rsidRDefault="00C03B1E" w:rsidP="00D80FE1">
      <w:pPr>
        <w:pStyle w:val="FootnoteText"/>
        <w:ind w:left="567" w:hanging="567"/>
        <w:rPr>
          <w:sz w:val="24"/>
          <w:lang w:val="sk-SK"/>
        </w:rPr>
      </w:pPr>
      <w:r w:rsidRPr="00D80FE1">
        <w:rPr>
          <w:rStyle w:val="FootnoteReference"/>
          <w:sz w:val="24"/>
          <w:lang w:val="sk-SK"/>
        </w:rPr>
        <w:footnoteRef/>
      </w:r>
      <w:r w:rsidR="00D80FE1" w:rsidRPr="00D80FE1">
        <w:rPr>
          <w:sz w:val="24"/>
          <w:lang w:val="sk-SK"/>
        </w:rPr>
        <w:t xml:space="preserve"> </w:t>
      </w:r>
      <w:r w:rsidR="00D80FE1" w:rsidRPr="00D80FE1">
        <w:rPr>
          <w:sz w:val="24"/>
          <w:lang w:val="sk-SK"/>
        </w:rPr>
        <w:tab/>
      </w:r>
      <w:r w:rsidRPr="00D80FE1">
        <w:rPr>
          <w:sz w:val="24"/>
          <w:lang w:val="sk-SK"/>
        </w:rPr>
        <w:t>Ú. v. EÚ C 32, 27.1.2023, s. 96.</w:t>
      </w:r>
    </w:p>
  </w:footnote>
  <w:footnote w:id="6">
    <w:p w:rsidR="00C03B1E" w:rsidRPr="00D80FE1" w:rsidRDefault="00C03B1E" w:rsidP="00D80FE1">
      <w:pPr>
        <w:pStyle w:val="FootnoteText"/>
        <w:ind w:left="567" w:hanging="567"/>
        <w:rPr>
          <w:sz w:val="24"/>
          <w:lang w:val="sk-SK"/>
        </w:rPr>
      </w:pPr>
      <w:r w:rsidRPr="00D80FE1">
        <w:rPr>
          <w:rStyle w:val="FootnoteReference"/>
          <w:sz w:val="24"/>
          <w:lang w:val="sk-SK"/>
        </w:rPr>
        <w:footnoteRef/>
      </w:r>
      <w:r w:rsidR="00D80FE1" w:rsidRPr="00D80FE1">
        <w:rPr>
          <w:sz w:val="24"/>
          <w:lang w:val="sk-SK"/>
        </w:rPr>
        <w:t xml:space="preserve"> </w:t>
      </w:r>
      <w:r w:rsidR="00D80FE1" w:rsidRPr="00D80FE1">
        <w:rPr>
          <w:sz w:val="24"/>
          <w:lang w:val="sk-SK"/>
        </w:rPr>
        <w:tab/>
      </w:r>
      <w:r w:rsidRPr="00D80FE1">
        <w:rPr>
          <w:sz w:val="24"/>
          <w:lang w:val="sk-SK"/>
        </w:rPr>
        <w:t>Oznámenie Komisie z 9. decembra 2021 s názvom Budovanie hospodárstva, ktoré pracuje v prospech ľudí: akčný plán pre sociálne hospodárstvo (COM(2021)0778).</w:t>
      </w:r>
    </w:p>
  </w:footnote>
  <w:footnote w:id="7">
    <w:p w:rsidR="00C03B1E" w:rsidRPr="00D80FE1" w:rsidRDefault="00C03B1E" w:rsidP="00D80FE1">
      <w:pPr>
        <w:pStyle w:val="FootnoteText"/>
        <w:ind w:left="567" w:hanging="567"/>
        <w:rPr>
          <w:sz w:val="24"/>
          <w:lang w:val="sk-SK"/>
        </w:rPr>
      </w:pPr>
      <w:r w:rsidRPr="00D80FE1">
        <w:rPr>
          <w:rStyle w:val="FootnoteReference"/>
          <w:sz w:val="24"/>
          <w:lang w:val="sk-SK"/>
        </w:rPr>
        <w:footnoteRef/>
      </w:r>
      <w:r w:rsidR="00D80FE1" w:rsidRPr="00D80FE1">
        <w:rPr>
          <w:sz w:val="24"/>
          <w:lang w:val="sk-SK"/>
        </w:rPr>
        <w:t xml:space="preserve"> </w:t>
      </w:r>
      <w:r w:rsidR="00D80FE1" w:rsidRPr="00D80FE1">
        <w:rPr>
          <w:sz w:val="24"/>
          <w:lang w:val="sk-SK"/>
        </w:rPr>
        <w:tab/>
      </w:r>
      <w:r w:rsidRPr="00D80FE1">
        <w:rPr>
          <w:sz w:val="24"/>
          <w:lang w:val="sk-SK"/>
        </w:rPr>
        <w:t>Uznesenie Európskeho parlamentu z 10. marca 2022 o  akčnom pláne EÚ pre rodovú rovnosť III (Ú. v. EÚ C 347, 9.9.2022, s. 150).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0F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0F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0F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SK"/>
    <w:docVar w:name="dvnumam" w:val="0"/>
    <w:docVar w:name="dvpe" w:val="753.671"/>
    <w:docVar w:name="dvrapporteur" w:val="Spravodajca: "/>
    <w:docVar w:name="dvtitre" w:val="Uznesenie Európskeho parlamentu z xx. januára 2024 k vykonávaniu Komplexnej hospodárskej a obchodnej dohody (CETA) medzi EÚ a Kanadou(2023/2001(INI))"/>
  </w:docVars>
  <w:rsids>
    <w:rsidRoot w:val="001E337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3378"/>
    <w:rsid w:val="001F32AE"/>
    <w:rsid w:val="002767FF"/>
    <w:rsid w:val="00297154"/>
    <w:rsid w:val="002B18FE"/>
    <w:rsid w:val="002B5493"/>
    <w:rsid w:val="002C1D5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E39"/>
    <w:rsid w:val="00560270"/>
    <w:rsid w:val="005916A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0F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82C"/>
    <w:rsid w:val="00930C23"/>
    <w:rsid w:val="0093193B"/>
    <w:rsid w:val="009509D8"/>
    <w:rsid w:val="00950B64"/>
    <w:rsid w:val="00981893"/>
    <w:rsid w:val="00A1687D"/>
    <w:rsid w:val="00A273A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B1E"/>
    <w:rsid w:val="00C05BFE"/>
    <w:rsid w:val="00C23CD4"/>
    <w:rsid w:val="00C61C0C"/>
    <w:rsid w:val="00C941CB"/>
    <w:rsid w:val="00CC2357"/>
    <w:rsid w:val="00CF071A"/>
    <w:rsid w:val="00D058B8"/>
    <w:rsid w:val="00D56C11"/>
    <w:rsid w:val="00D80FE1"/>
    <w:rsid w:val="00D834A0"/>
    <w:rsid w:val="00D872DF"/>
    <w:rsid w:val="00D91E21"/>
    <w:rsid w:val="00DA7FCD"/>
    <w:rsid w:val="00DF5B4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E30"/>
    <w:rsid w:val="00FB4360"/>
    <w:rsid w:val="00FD0C70"/>
    <w:rsid w:val="00F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FDD65-98CF-4027-9DFF-D6AE39A8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ootnote,Footnote1,Footnote10,Footnote11,Footnote2,Footnote21,Footnote3,Footnote31,Footnote4,Footnote41,Footnote5,Footnote51,Footnote6,Footnote61,Footnote7,Footnote71,Footnote8,Footnote9,Fußnotentextf,Fußnotentextr,fn,footnote text,stile 1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Footnote1 Char,Footnote10 Char,Footnote11 Char,Footnote2 Char,Footnote21 Char,Footnote3 Char,Footnote31 Char,Footnote4 Char,Footnote41 Char,Footnote5 Char,Footnote51 Char,Footnote6 Char,Footnote61 Char,Footnote7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03B1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03B1E"/>
    <w:pPr>
      <w:spacing w:after="240"/>
    </w:pPr>
  </w:style>
  <w:style w:type="paragraph" w:customStyle="1" w:styleId="PageHeading">
    <w:name w:val="PageHeading"/>
    <w:basedOn w:val="Normal"/>
    <w:rsid w:val="00C03B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03B1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03B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B1E"/>
    <w:rPr>
      <w:sz w:val="24"/>
      <w:lang w:val="sk-SK"/>
    </w:rPr>
  </w:style>
  <w:style w:type="paragraph" w:customStyle="1" w:styleId="EPFooter">
    <w:name w:val="EPFooter"/>
    <w:basedOn w:val="Normal"/>
    <w:rsid w:val="00C03B1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03B1E"/>
    <w:pPr>
      <w:spacing w:before="480" w:after="240"/>
    </w:pPr>
  </w:style>
  <w:style w:type="character" w:styleId="Hyperlink">
    <w:name w:val="Hyperlink"/>
    <w:basedOn w:val="DefaultParagraphFont"/>
    <w:rsid w:val="00C03B1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03B1E"/>
    <w:rPr>
      <w:sz w:val="24"/>
      <w:lang w:val="sk-SK"/>
    </w:rPr>
  </w:style>
  <w:style w:type="paragraph" w:customStyle="1" w:styleId="PageHeadingNotTOC">
    <w:name w:val="PageHeadingNotTOC"/>
    <w:basedOn w:val="Normal"/>
    <w:rsid w:val="00C03B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24a">
    <w:name w:val="Normal24a"/>
    <w:basedOn w:val="Normal"/>
    <w:link w:val="Normal24aChar"/>
    <w:rsid w:val="00C03B1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C03B1E"/>
    <w:rPr>
      <w:sz w:val="24"/>
      <w:lang w:val="sk-SK"/>
    </w:rPr>
  </w:style>
  <w:style w:type="paragraph" w:styleId="Footer">
    <w:name w:val="footer"/>
    <w:basedOn w:val="Normal"/>
    <w:link w:val="FooterChar"/>
    <w:rsid w:val="00D80F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80FE1"/>
    <w:rPr>
      <w:sz w:val="24"/>
      <w:lang w:val="sk-SK"/>
    </w:rPr>
  </w:style>
  <w:style w:type="character" w:styleId="FollowedHyperlink">
    <w:name w:val="FollowedHyperlink"/>
    <w:basedOn w:val="DefaultParagraphFont"/>
    <w:rsid w:val="008C78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SK/TXT/?uri=CELEX%3A52017AP0030" TargetMode="External"/><Relationship Id="rId2" Type="http://schemas.openxmlformats.org/officeDocument/2006/relationships/hyperlink" Target="https://eur-lex.europa.eu/legal-content/SK/TXT/?uri=CELEX:22017X0114(01)" TargetMode="External"/><Relationship Id="rId1" Type="http://schemas.openxmlformats.org/officeDocument/2006/relationships/hyperlink" Target="http://data.europa.eu/eli/agree_internation/2017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092A8-44BB-49C0-A09B-B16C98688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3640</Words>
  <Characters>21605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2024-02-22T12:09:00Z</dcterms:created>
  <dcterms:modified xsi:type="dcterms:W3CDTF">2024-02-22T12:09:00Z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P9_TA(2024)0026_</vt:lpwstr>
  </property>
  <property fmtid="{D5CDD505-2E9C-101B-9397-08002B2CF9AE}" pid="4" name="&lt;Type&gt;">
    <vt:lpwstr>RR</vt:lpwstr>
  </property>
</Properties>
</file>