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6CDA" w:rsidTr="0010095E">
        <w:trPr>
          <w:trHeight w:hRule="exact" w:val="1418"/>
        </w:trPr>
        <w:tc>
          <w:tcPr>
            <w:tcW w:w="6804" w:type="dxa"/>
            <w:shd w:val="clear" w:color="auto" w:fill="auto"/>
            <w:vAlign w:val="center"/>
          </w:tcPr>
          <w:p w:rsidR="00751A4A" w:rsidRPr="001F6CDA" w:rsidRDefault="00C933FD" w:rsidP="0010095E">
            <w:pPr>
              <w:pStyle w:val="EPName"/>
            </w:pPr>
            <w:bookmarkStart w:id="0" w:name="_GoBack"/>
            <w:bookmarkEnd w:id="0"/>
            <w:r w:rsidRPr="001F6CDA">
              <w:t>Europaparlamentet</w:t>
            </w:r>
          </w:p>
          <w:p w:rsidR="00751A4A" w:rsidRPr="001F6CDA" w:rsidRDefault="00817416" w:rsidP="00756632">
            <w:pPr>
              <w:pStyle w:val="EPTerm"/>
              <w:rPr>
                <w:rStyle w:val="HideTWBExt"/>
                <w:noProof w:val="0"/>
                <w:vanish w:val="0"/>
                <w:color w:val="auto"/>
              </w:rPr>
            </w:pPr>
            <w:r w:rsidRPr="001F6CDA">
              <w:t>2019-2024</w:t>
            </w:r>
          </w:p>
        </w:tc>
        <w:tc>
          <w:tcPr>
            <w:tcW w:w="2268" w:type="dxa"/>
            <w:shd w:val="clear" w:color="auto" w:fill="auto"/>
          </w:tcPr>
          <w:p w:rsidR="00751A4A" w:rsidRPr="001F6CDA" w:rsidRDefault="00187494" w:rsidP="0010095E">
            <w:pPr>
              <w:pStyle w:val="EPLogo"/>
            </w:pPr>
            <w:r w:rsidRPr="001F6C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6CDA" w:rsidRDefault="00D058B8" w:rsidP="004C5D52">
      <w:pPr>
        <w:pStyle w:val="LineTop"/>
      </w:pPr>
    </w:p>
    <w:p w:rsidR="00680577" w:rsidRPr="001F6CDA" w:rsidRDefault="00C933FD" w:rsidP="00680577">
      <w:pPr>
        <w:pStyle w:val="EPBodyTA1"/>
      </w:pPr>
      <w:r w:rsidRPr="001F6CDA">
        <w:t>ANTAGNA TEXTER</w:t>
      </w:r>
    </w:p>
    <w:p w:rsidR="00D058B8" w:rsidRPr="001F6CDA" w:rsidRDefault="00D058B8" w:rsidP="00D058B8">
      <w:pPr>
        <w:pStyle w:val="LineBottom"/>
      </w:pPr>
    </w:p>
    <w:p w:rsidR="00C933FD" w:rsidRPr="001F6CDA" w:rsidRDefault="00C933FD" w:rsidP="00C933FD">
      <w:pPr>
        <w:pStyle w:val="ATHeading1"/>
      </w:pPr>
      <w:bookmarkStart w:id="1" w:name="TANumber"/>
      <w:r w:rsidRPr="001F6CDA">
        <w:t>P9_TA(2024)00</w:t>
      </w:r>
      <w:r w:rsidR="00972124">
        <w:t>26</w:t>
      </w:r>
      <w:bookmarkEnd w:id="1"/>
    </w:p>
    <w:p w:rsidR="00C933FD" w:rsidRPr="001F6CDA" w:rsidRDefault="00C933FD" w:rsidP="00C933FD">
      <w:pPr>
        <w:pStyle w:val="ATHeading2"/>
      </w:pPr>
      <w:bookmarkStart w:id="2" w:name="title"/>
      <w:r w:rsidRPr="001F6CDA">
        <w:t>Genomförandet av det övergripande avtalet om ekonomi och handel mellan EU och Kanada (Ceta)</w:t>
      </w:r>
      <w:bookmarkEnd w:id="2"/>
    </w:p>
    <w:p w:rsidR="00C933FD" w:rsidRPr="001F6CDA" w:rsidRDefault="00C933FD" w:rsidP="00C933FD">
      <w:pPr>
        <w:rPr>
          <w:i/>
          <w:vanish/>
        </w:rPr>
      </w:pPr>
      <w:r w:rsidRPr="001F6CDA">
        <w:rPr>
          <w:i/>
        </w:rPr>
        <w:fldChar w:fldCharType="begin"/>
      </w:r>
      <w:r w:rsidRPr="001F6CDA">
        <w:rPr>
          <w:i/>
        </w:rPr>
        <w:instrText xml:space="preserve"> TC"(</w:instrText>
      </w:r>
      <w:bookmarkStart w:id="3" w:name="DocNumber"/>
      <w:r w:rsidRPr="001F6CDA">
        <w:rPr>
          <w:i/>
        </w:rPr>
        <w:instrText>A9-0400/2023</w:instrText>
      </w:r>
      <w:bookmarkEnd w:id="3"/>
      <w:r w:rsidRPr="001F6CDA">
        <w:rPr>
          <w:i/>
        </w:rPr>
        <w:instrText xml:space="preserve"> - Föredragande: Javier Moreno Sánchez)"\l3 \n&gt; \* MERGEFORMAT </w:instrText>
      </w:r>
      <w:r w:rsidRPr="001F6CDA">
        <w:rPr>
          <w:i/>
        </w:rPr>
        <w:fldChar w:fldCharType="end"/>
      </w:r>
    </w:p>
    <w:p w:rsidR="00C933FD" w:rsidRPr="001F6CDA" w:rsidRDefault="00C933FD" w:rsidP="00C933FD">
      <w:pPr>
        <w:rPr>
          <w:vanish/>
        </w:rPr>
      </w:pPr>
      <w:bookmarkStart w:id="4" w:name="Commission"/>
      <w:r w:rsidRPr="001F6CDA">
        <w:rPr>
          <w:vanish/>
        </w:rPr>
        <w:t>Utskottet för internationell handel</w:t>
      </w:r>
      <w:bookmarkEnd w:id="4"/>
    </w:p>
    <w:p w:rsidR="00C933FD" w:rsidRPr="001F6CDA" w:rsidRDefault="00C933FD" w:rsidP="00C933FD">
      <w:pPr>
        <w:rPr>
          <w:vanish/>
        </w:rPr>
      </w:pPr>
      <w:bookmarkStart w:id="5" w:name="PE"/>
      <w:r w:rsidRPr="001F6CDA">
        <w:rPr>
          <w:vanish/>
        </w:rPr>
        <w:t>PE753.671</w:t>
      </w:r>
      <w:bookmarkEnd w:id="5"/>
    </w:p>
    <w:p w:rsidR="00C933FD" w:rsidRPr="001F6CDA" w:rsidRDefault="00C933FD" w:rsidP="00C933FD">
      <w:pPr>
        <w:pStyle w:val="ATHeading3"/>
      </w:pPr>
      <w:bookmarkStart w:id="6" w:name="Sujet"/>
      <w:r w:rsidRPr="001F6CDA">
        <w:t xml:space="preserve">Europaparlamentets resolution av den </w:t>
      </w:r>
      <w:r w:rsidR="00B75C71">
        <w:t>17</w:t>
      </w:r>
      <w:r w:rsidRPr="001F6CDA">
        <w:t xml:space="preserve"> </w:t>
      </w:r>
      <w:r w:rsidR="004D76D3">
        <w:t>januari</w:t>
      </w:r>
      <w:r w:rsidRPr="001F6CDA">
        <w:t xml:space="preserve"> 2024 om genomförandet av det övergripande avtalet om ekonomi och handel mellan EU och Kanada (Ceta)</w:t>
      </w:r>
      <w:bookmarkEnd w:id="6"/>
      <w:r w:rsidRPr="001F6CDA">
        <w:t xml:space="preserve"> </w:t>
      </w:r>
      <w:bookmarkStart w:id="7" w:name="References"/>
      <w:r w:rsidRPr="001F6CDA">
        <w:t>(2023/2001(INI))</w:t>
      </w:r>
      <w:bookmarkEnd w:id="7"/>
    </w:p>
    <w:p w:rsidR="00F531EE" w:rsidRPr="001F6CDA" w:rsidRDefault="00F531EE" w:rsidP="00F531EE">
      <w:pPr>
        <w:pStyle w:val="EPComma"/>
        <w:widowControl/>
      </w:pPr>
      <w:bookmarkStart w:id="8" w:name="TextBodyBegin"/>
      <w:bookmarkEnd w:id="8"/>
      <w:r w:rsidRPr="001F6CDA">
        <w:rPr>
          <w:i/>
        </w:rPr>
        <w:t>Europaparlamentet utfärdar denna resolution</w:t>
      </w:r>
    </w:p>
    <w:p w:rsidR="00F531EE" w:rsidRPr="001F6CDA" w:rsidRDefault="00F531EE" w:rsidP="00F531EE">
      <w:pPr>
        <w:pStyle w:val="NormalHanging12a"/>
        <w:widowControl/>
      </w:pPr>
      <w:r w:rsidRPr="001F6CDA">
        <w:t>–</w:t>
      </w:r>
      <w:r w:rsidRPr="001F6CDA">
        <w:tab/>
        <w:t>med beaktande av det övergripande avtalet om ekonomi och handel (Ceta) mellan Kanada, å ena sidan, och Europeiska unionen och dess medlemsstater, å andra sidan</w:t>
      </w:r>
      <w:r w:rsidRPr="001F6CDA">
        <w:rPr>
          <w:rStyle w:val="FootnoteReference"/>
        </w:rPr>
        <w:footnoteReference w:id="1"/>
      </w:r>
      <w:r w:rsidRPr="001F6CDA">
        <w:t>,</w:t>
      </w:r>
    </w:p>
    <w:p w:rsidR="00F531EE" w:rsidRPr="001F6CDA" w:rsidRDefault="00F531EE" w:rsidP="00F531EE">
      <w:pPr>
        <w:pStyle w:val="NormalHanging12a"/>
        <w:widowControl/>
        <w:rPr>
          <w:b/>
          <w:i/>
        </w:rPr>
      </w:pPr>
      <w:r w:rsidRPr="001F6CDA">
        <w:t>–</w:t>
      </w:r>
      <w:r w:rsidRPr="001F6CDA">
        <w:tab/>
        <w:t>med beaktande av det gemensamma tolkningsinstrumentet avseende det övergripande avtalet om ekonomi och handel mellan Kanada och Europeiska unionen och dess medlemsstater</w:t>
      </w:r>
      <w:r w:rsidRPr="001F6CDA">
        <w:rPr>
          <w:rStyle w:val="FootnoteReference"/>
        </w:rPr>
        <w:footnoteReference w:id="2"/>
      </w:r>
      <w:r w:rsidRPr="001F6CDA">
        <w:t>,</w:t>
      </w:r>
    </w:p>
    <w:p w:rsidR="00F531EE" w:rsidRPr="001F6CDA" w:rsidRDefault="00F531EE" w:rsidP="00F531EE">
      <w:pPr>
        <w:pStyle w:val="NormalHanging12a"/>
        <w:widowControl/>
      </w:pPr>
      <w:r w:rsidRPr="001F6CDA">
        <w:t>–</w:t>
      </w:r>
      <w:r w:rsidRPr="001F6CDA">
        <w:tab/>
        <w:t>med beaktande av det strategiska partnerskapet om kritiska råvaror mellan Kanada, å ena sidan, och Europeiska unionen och dess medlemsstater, å andra sidan, som man enades om och sjösatte vid toppmötet mellan EU och Kanada den 14–15 juni 2021,</w:t>
      </w:r>
    </w:p>
    <w:p w:rsidR="00F531EE" w:rsidRPr="001F6CDA" w:rsidRDefault="00F531EE" w:rsidP="00F531EE">
      <w:pPr>
        <w:pStyle w:val="NormalHanging12a"/>
        <w:widowControl/>
      </w:pPr>
      <w:r w:rsidRPr="001F6CDA">
        <w:t>–</w:t>
      </w:r>
      <w:r w:rsidRPr="001F6CDA">
        <w:tab/>
        <w:t>med beaktande av den gemensamma Ceta-kommitténs beslut nr X/2023 om tolkningen av vissa termer i artikel 8.10, bilaga 8-A och artikel 8.39,</w:t>
      </w:r>
    </w:p>
    <w:p w:rsidR="00F531EE" w:rsidRPr="001F6CDA" w:rsidRDefault="00F531EE" w:rsidP="00F531EE">
      <w:pPr>
        <w:pStyle w:val="NormalHanging12a"/>
        <w:widowControl/>
      </w:pPr>
      <w:r w:rsidRPr="001F6CDA">
        <w:t>–</w:t>
      </w:r>
      <w:r w:rsidRPr="001F6CDA">
        <w:tab/>
        <w:t>med beaktande av sin ståndpunkt av den 15 februari 2017 i fråga om förslaget till rådets beslut om ingående av det övergripande avtalet om ekonomi och handel (Ceta) mellan Kanada, å ena sidan, och Europeiska unionen och dess medlemsstater, å andra sidan</w:t>
      </w:r>
      <w:r w:rsidRPr="001F6CDA">
        <w:rPr>
          <w:rStyle w:val="FootnoteReference"/>
        </w:rPr>
        <w:footnoteReference w:id="3"/>
      </w:r>
      <w:r w:rsidRPr="001F6CDA">
        <w:t>,</w:t>
      </w:r>
    </w:p>
    <w:p w:rsidR="00F531EE" w:rsidRPr="001F6CDA" w:rsidRDefault="00F531EE" w:rsidP="00F531EE">
      <w:pPr>
        <w:pStyle w:val="NormalHanging12a"/>
        <w:widowControl/>
      </w:pPr>
      <w:r w:rsidRPr="001F6CDA">
        <w:t>–</w:t>
      </w:r>
      <w:r w:rsidRPr="001F6CDA">
        <w:tab/>
        <w:t>med beaktande av Europeiska unionens domstols yttrande 2/15 av den 16 maj 2017 i enlighet med artikel 218.11 i EUF-fördraget om frihandelsavtalet mellan Europeiska unionen och Republiken Singapore</w:t>
      </w:r>
      <w:r w:rsidRPr="001F6CDA">
        <w:rPr>
          <w:rStyle w:val="FootnoteReference"/>
        </w:rPr>
        <w:footnoteReference w:id="4"/>
      </w:r>
      <w:r w:rsidRPr="001F6CDA">
        <w:t>,</w:t>
      </w:r>
    </w:p>
    <w:p w:rsidR="00F531EE" w:rsidRPr="001F6CDA" w:rsidRDefault="00F531EE" w:rsidP="00F531EE">
      <w:pPr>
        <w:pStyle w:val="NormalHanging12a"/>
        <w:widowControl/>
      </w:pPr>
      <w:r w:rsidRPr="001F6CDA">
        <w:lastRenderedPageBreak/>
        <w:t>–</w:t>
      </w:r>
      <w:r w:rsidRPr="001F6CDA">
        <w:tab/>
        <w:t>med beaktande av de gemensamma förklaringarna från EU och Kanadas inhemska rådgivande grupper,</w:t>
      </w:r>
    </w:p>
    <w:p w:rsidR="00F531EE" w:rsidRPr="001F6CDA" w:rsidRDefault="00F531EE" w:rsidP="00F531EE">
      <w:pPr>
        <w:pStyle w:val="NormalHanging12a"/>
        <w:widowControl/>
      </w:pPr>
      <w:r w:rsidRPr="001F6CDA">
        <w:t>–</w:t>
      </w:r>
      <w:r w:rsidRPr="001F6CDA">
        <w:tab/>
        <w:t>med beaktande av kommissionens rapport av den 11 oktober 2022 om genomförande och säkerställande av efterlevnaden av EU:s handelsavtal (COM(2022)0730),</w:t>
      </w:r>
    </w:p>
    <w:p w:rsidR="00F531EE" w:rsidRPr="001F6CDA" w:rsidRDefault="00F531EE" w:rsidP="00F531EE">
      <w:pPr>
        <w:pStyle w:val="NormalHanging12a"/>
        <w:widowControl/>
      </w:pPr>
      <w:r w:rsidRPr="001F6CDA">
        <w:t>–</w:t>
      </w:r>
      <w:r w:rsidRPr="001F6CDA">
        <w:tab/>
        <w:t xml:space="preserve">med beaktande av kommissionens meddelande </w:t>
      </w:r>
      <w:r w:rsidRPr="001F6CDA">
        <w:rPr>
          <w:i/>
          <w:iCs/>
        </w:rPr>
        <w:t>Styrkan i handelspartnerskap: tillsammans för grön och rättvis ekonomisk tillväxt</w:t>
      </w:r>
      <w:r w:rsidRPr="001F6CDA">
        <w:t xml:space="preserve"> av den 22 juni 2022 (COM(2022)0409,</w:t>
      </w:r>
    </w:p>
    <w:p w:rsidR="00F531EE" w:rsidRPr="001F6CDA" w:rsidRDefault="00F531EE" w:rsidP="00F531EE">
      <w:pPr>
        <w:pStyle w:val="NormalHanging12a"/>
        <w:widowControl/>
      </w:pPr>
      <w:r w:rsidRPr="001F6CDA">
        <w:t>–</w:t>
      </w:r>
      <w:r w:rsidRPr="001F6CDA">
        <w:tab/>
        <w:t>med beaktande av den gemensamma Ceta-kommitténs rapport av den 31 mars 2023 efter dess tredje möte,</w:t>
      </w:r>
    </w:p>
    <w:p w:rsidR="00F531EE" w:rsidRPr="001F6CDA" w:rsidRDefault="00F531EE" w:rsidP="00F531EE">
      <w:pPr>
        <w:pStyle w:val="NormalHanging12a"/>
        <w:widowControl/>
      </w:pPr>
      <w:r w:rsidRPr="001F6CDA">
        <w:t>–</w:t>
      </w:r>
      <w:r w:rsidRPr="001F6CDA">
        <w:tab/>
        <w:t>med beaktande av sin resolution av den 23 juni 2022 om framtiden för EU:s politik för internationella investeringar</w:t>
      </w:r>
      <w:r w:rsidRPr="001F6CDA">
        <w:rPr>
          <w:rStyle w:val="FootnoteReference"/>
        </w:rPr>
        <w:footnoteReference w:id="5"/>
      </w:r>
      <w:r w:rsidRPr="001F6CDA">
        <w:t>,</w:t>
      </w:r>
    </w:p>
    <w:p w:rsidR="00F531EE" w:rsidRPr="001F6CDA" w:rsidRDefault="00F531EE" w:rsidP="00F531EE">
      <w:pPr>
        <w:pStyle w:val="NormalHanging12a"/>
        <w:widowControl/>
      </w:pPr>
      <w:r w:rsidRPr="001F6CDA">
        <w:t>–</w:t>
      </w:r>
      <w:r w:rsidRPr="001F6CDA">
        <w:tab/>
        <w:t>med beaktande av den gemensamma Ceta-kommitténs rekommendationer av den 26 september 2018 om handel, klimatåtgärder och Parisavtalet, om handel och jämställdhet och om små och medelstora företag,</w:t>
      </w:r>
    </w:p>
    <w:p w:rsidR="00F531EE" w:rsidRPr="001F6CDA" w:rsidRDefault="00F531EE" w:rsidP="00F531EE">
      <w:pPr>
        <w:pStyle w:val="NormalHanging12a"/>
        <w:widowControl/>
      </w:pPr>
      <w:r w:rsidRPr="001F6CDA">
        <w:t>–</w:t>
      </w:r>
      <w:r w:rsidRPr="001F6CDA">
        <w:tab/>
        <w:t xml:space="preserve">med beaktande av kommissionens meddelande </w:t>
      </w:r>
      <w:r w:rsidRPr="001F6CDA">
        <w:rPr>
          <w:i/>
          <w:iCs/>
        </w:rPr>
        <w:t>En jämlikhetsunion: jämställdhetsstrategi för 2020–2025</w:t>
      </w:r>
      <w:r w:rsidRPr="001F6CDA">
        <w:t xml:space="preserve"> av den 5 mars 2020 COM(2020)0152,</w:t>
      </w:r>
    </w:p>
    <w:p w:rsidR="00F531EE" w:rsidRPr="001F6CDA" w:rsidRDefault="00F531EE" w:rsidP="00F531EE">
      <w:pPr>
        <w:pStyle w:val="NormalHanging12a"/>
        <w:widowControl/>
      </w:pPr>
      <w:r w:rsidRPr="001F6CDA">
        <w:t>–</w:t>
      </w:r>
      <w:r w:rsidRPr="001F6CDA">
        <w:tab/>
        <w:t>med beaktande av rapporterna från de olika specialiserade kommittéerna, forumet för det civila samhället och forumet för regleringssamarbete,</w:t>
      </w:r>
    </w:p>
    <w:p w:rsidR="00F531EE" w:rsidRPr="001F6CDA" w:rsidRDefault="00F531EE" w:rsidP="00F531EE">
      <w:pPr>
        <w:pStyle w:val="NormalHanging12a"/>
        <w:widowControl/>
      </w:pPr>
      <w:r w:rsidRPr="001F6CDA">
        <w:t>–</w:t>
      </w:r>
      <w:r w:rsidRPr="001F6CDA">
        <w:tab/>
        <w:t>med beaktande av den sjätte utvärderingsrapporten från FN:s klimatpanel (IPCC) som offentliggjordes den 20 mars 2023,</w:t>
      </w:r>
    </w:p>
    <w:p w:rsidR="00F531EE" w:rsidRPr="001F6CDA" w:rsidRDefault="00F531EE" w:rsidP="00F531EE">
      <w:pPr>
        <w:pStyle w:val="NormalHanging12a"/>
        <w:widowControl/>
      </w:pPr>
      <w:r w:rsidRPr="001F6CDA">
        <w:t>–</w:t>
      </w:r>
      <w:r w:rsidRPr="001F6CDA">
        <w:tab/>
        <w:t>med beaktande av de successiva revisioner som kommissionens generaldirektorat för hälsa och livsmedelssäkerhet utfört 2014, 2019 och 2022 av spårbarheten och kvaliteten hos de befintliga kontrollsystemen för produktionen av nötkött och griskött avsett för export till Europeiska unionen,</w:t>
      </w:r>
    </w:p>
    <w:p w:rsidR="00F531EE" w:rsidRPr="001F6CDA" w:rsidRDefault="00F531EE" w:rsidP="00F531EE">
      <w:pPr>
        <w:pStyle w:val="NormalHanging12a"/>
        <w:widowControl/>
      </w:pPr>
      <w:r w:rsidRPr="001F6CDA">
        <w:t>–</w:t>
      </w:r>
      <w:r w:rsidRPr="001F6CDA">
        <w:tab/>
        <w:t>med beaktande av artikel 54 i arbetsordningen och artikel 1.1 e i och bilaga 3 till talmanskonferensens beslut av den 12 december 2002 om förfarandet för beviljande av tillstånd att utarbeta initiativbetänkanden,</w:t>
      </w:r>
    </w:p>
    <w:p w:rsidR="00F531EE" w:rsidRPr="001F6CDA" w:rsidRDefault="00F531EE" w:rsidP="00F531EE">
      <w:pPr>
        <w:pStyle w:val="NormalHanging12a"/>
        <w:widowControl/>
      </w:pPr>
      <w:r w:rsidRPr="001F6CDA">
        <w:t>–</w:t>
      </w:r>
      <w:r w:rsidRPr="001F6CDA">
        <w:tab/>
        <w:t>med beaktande av yttrandet från utskottet för jordbruk och landsbygdens utveckling,</w:t>
      </w:r>
    </w:p>
    <w:p w:rsidR="00F531EE" w:rsidRPr="001F6CDA" w:rsidRDefault="00F531EE" w:rsidP="00F531EE">
      <w:pPr>
        <w:pStyle w:val="NormalHanging12a"/>
        <w:widowControl/>
      </w:pPr>
      <w:r w:rsidRPr="001F6CDA">
        <w:t>–</w:t>
      </w:r>
      <w:r w:rsidRPr="001F6CDA">
        <w:tab/>
        <w:t>med beaktande av betänkandet från utskottet för internationell handel (A9-0400/2023), och av följande skäl:</w:t>
      </w:r>
    </w:p>
    <w:p w:rsidR="00F531EE" w:rsidRPr="001F6CDA" w:rsidRDefault="00F531EE" w:rsidP="00F531EE">
      <w:pPr>
        <w:pStyle w:val="NormalHanging12a"/>
        <w:widowControl/>
      </w:pPr>
      <w:r w:rsidRPr="001F6CDA">
        <w:t>A.</w:t>
      </w:r>
      <w:r w:rsidRPr="001F6CDA">
        <w:tab/>
        <w:t>Ceta är ett av de första handelsavtal som EU har ingått med en annan stor etablerad OECD-ekonomi, efter Sydkorea. Det är också det mest ambitiösa och omfattande avtal som EU eller Kanada hittills ingått, med större tillträde än någonsin tidigare till offentlig upphandling på såväl subfederal som federal nivå.</w:t>
      </w:r>
    </w:p>
    <w:p w:rsidR="00F531EE" w:rsidRPr="001F6CDA" w:rsidRDefault="00F531EE" w:rsidP="00F531EE">
      <w:pPr>
        <w:pStyle w:val="NormalHanging12a"/>
        <w:widowControl/>
      </w:pPr>
      <w:r w:rsidRPr="001F6CDA">
        <w:t>B.</w:t>
      </w:r>
      <w:r w:rsidRPr="001F6CDA">
        <w:tab/>
        <w:t>Ceta har tillämpats provisoriskt sedan den 21 september 2017, dvs. i mer än sex år.</w:t>
      </w:r>
    </w:p>
    <w:p w:rsidR="00F531EE" w:rsidRPr="001F6CDA" w:rsidRDefault="00F531EE" w:rsidP="00F531EE">
      <w:pPr>
        <w:pStyle w:val="NormalHanging12a"/>
        <w:widowControl/>
      </w:pPr>
      <w:r w:rsidRPr="001F6CDA">
        <w:t>C.</w:t>
      </w:r>
      <w:r w:rsidRPr="001F6CDA">
        <w:tab/>
        <w:t>Viktiga bestämmelser, särskilt när det gäller investeringsskydd, har ännu inte tillämpats, eftersom inte alla medlemsstater har ratificerat avtalet.</w:t>
      </w:r>
    </w:p>
    <w:p w:rsidR="00F531EE" w:rsidRPr="001F6CDA" w:rsidRDefault="00F531EE" w:rsidP="00F531EE">
      <w:pPr>
        <w:pStyle w:val="NormalHanging12a"/>
        <w:widowControl/>
      </w:pPr>
      <w:r w:rsidRPr="001F6CDA">
        <w:t>D.</w:t>
      </w:r>
      <w:r w:rsidRPr="001F6CDA">
        <w:tab/>
        <w:t>Kanada och EU håller på att färdigställa ett utkast till beslut av den gemensamma Ceta-kommittén om tolkningen av vissa termer i artikel 8.10, bilaga 8-A och artikel 8.39 som anger behörigheten att reglera inom ramen för kapitlet om investeringsskydd och om underlättande av små och medelstora företags tillgång till investeringsdomstolssystemet enligt Ceta.</w:t>
      </w:r>
    </w:p>
    <w:p w:rsidR="00F531EE" w:rsidRPr="001F6CDA" w:rsidRDefault="00F531EE" w:rsidP="00F531EE">
      <w:pPr>
        <w:pStyle w:val="NormalHanging12a"/>
        <w:widowControl/>
      </w:pPr>
      <w:r w:rsidRPr="001F6CDA">
        <w:t>E.</w:t>
      </w:r>
      <w:r w:rsidRPr="001F6CDA">
        <w:tab/>
        <w:t>EU var Kanadas tredje största handelspartner efter Förenta staterna och Kina och stod för 8,2 % av landets globala varuhandel 2022. Kanada låg på 14:e plats bland EU:s internationella handelspartner samma år och stod för nästan 1,4 % av EU:s totala utrikeshandel med varor.</w:t>
      </w:r>
    </w:p>
    <w:p w:rsidR="00F531EE" w:rsidRPr="001F6CDA" w:rsidRDefault="00F531EE" w:rsidP="00F531EE">
      <w:pPr>
        <w:pStyle w:val="NormalHanging12a"/>
        <w:widowControl/>
      </w:pPr>
      <w:r w:rsidRPr="001F6CDA">
        <w:t>F.</w:t>
      </w:r>
      <w:r w:rsidRPr="001F6CDA">
        <w:tab/>
        <w:t>Rysslands anfallskrig mot Ukraina har påvisat behovet av att diversifiera handelsavtalen och minska beroendet av import och export från ett begränsat antal handelspartner samt vikten av att ingå handelsavtal med likasinnade partner.</w:t>
      </w:r>
    </w:p>
    <w:p w:rsidR="00F531EE" w:rsidRPr="001F6CDA" w:rsidRDefault="00F531EE" w:rsidP="00F531EE">
      <w:pPr>
        <w:pStyle w:val="NormalHanging12a"/>
        <w:widowControl/>
      </w:pPr>
      <w:r w:rsidRPr="001F6CDA">
        <w:t>G.</w:t>
      </w:r>
      <w:r w:rsidRPr="001F6CDA">
        <w:tab/>
        <w:t>Ett effektivt genomförande och övervakningen av hållbara EU-handelsavtal är en huvudprioritering för parlamentet, rådet och kommissionen för att övervaka, bedöma och kalibrera EU:s gemensamma handelspolitik. Rapporteringen om genomförandet av avtalet med Kanada är ett lägligt och användbart bidrag till reflektionen över EU:s handelsavtals funktionssätt.</w:t>
      </w:r>
    </w:p>
    <w:p w:rsidR="00F531EE" w:rsidRPr="001F6CDA" w:rsidRDefault="00F531EE" w:rsidP="00F531EE">
      <w:pPr>
        <w:pStyle w:val="NormalHanging12a"/>
        <w:widowControl/>
      </w:pPr>
      <w:r w:rsidRPr="001F6CDA">
        <w:t>H.</w:t>
      </w:r>
      <w:r w:rsidRPr="001F6CDA">
        <w:tab/>
        <w:t>Den institutionella ramen för Ceta är nu helt på plats, med 19 specialiserade kommittéer, ett forum för regleringssamarbete och ett forum för det civila samhället, och deras dagordningar och rapporter är allmänt tillgängliga.</w:t>
      </w:r>
    </w:p>
    <w:p w:rsidR="00F531EE" w:rsidRPr="001F6CDA" w:rsidRDefault="00F531EE" w:rsidP="00F531EE">
      <w:pPr>
        <w:pStyle w:val="NormalHanging12a"/>
        <w:widowControl/>
      </w:pPr>
      <w:r w:rsidRPr="001F6CDA">
        <w:t>I.</w:t>
      </w:r>
      <w:r w:rsidRPr="001F6CDA">
        <w:tab/>
        <w:t>Kanada var det första land med vilket EU inrättade ett strategiskt partnerskap om kritiska råvaror, vilket senare har kompletterats med ett initiativ för en grön allians, ett digitalt partnerskap mellan EU och Kanada och ett partnerskap för världshaven.</w:t>
      </w:r>
    </w:p>
    <w:p w:rsidR="00F531EE" w:rsidRPr="001F6CDA" w:rsidRDefault="00F531EE" w:rsidP="00F531EE">
      <w:pPr>
        <w:pStyle w:val="NormalHanging12a"/>
        <w:widowControl/>
      </w:pPr>
      <w:r w:rsidRPr="001F6CDA">
        <w:t>J.</w:t>
      </w:r>
      <w:r w:rsidRPr="001F6CDA">
        <w:tab/>
        <w:t>Kanada deltar aktivt i WTO:s dialog om plastföroreningar och miljömässigt hållbar plasthandel och WTO:s handels- och miljöutskott, men är inte medlem i initiativet om reform av subventioner för fossila bränslen.</w:t>
      </w:r>
    </w:p>
    <w:p w:rsidR="00F531EE" w:rsidRPr="001F6CDA" w:rsidRDefault="00F531EE" w:rsidP="00F531EE">
      <w:pPr>
        <w:pStyle w:val="NormalHanging12a"/>
        <w:widowControl/>
      </w:pPr>
      <w:r w:rsidRPr="001F6CDA">
        <w:t>K.</w:t>
      </w:r>
      <w:r w:rsidRPr="001F6CDA">
        <w:tab/>
        <w:t>Det finns nu tillräckligt mycket erfarenhet, data och statistiska uppgifter för att bedöma det preliminära genomförandet av Ceta.</w:t>
      </w:r>
    </w:p>
    <w:p w:rsidR="00F531EE" w:rsidRPr="001F6CDA" w:rsidRDefault="00F531EE" w:rsidP="00F531EE">
      <w:pPr>
        <w:pStyle w:val="NormalHanging12a"/>
        <w:widowControl/>
      </w:pPr>
      <w:r w:rsidRPr="001F6CDA">
        <w:t>L.</w:t>
      </w:r>
      <w:r w:rsidRPr="001F6CDA">
        <w:tab/>
        <w:t>Kanada är världsledande i utarbetandet av offentlig politik för den sociala och solidariska ekonomin, och den sociala och solidariska ekonomin utgör nästan 10 % av bruttonationalprodukten i vissa provinser, såsom Quebec, och står för ungefär 210 000 arbetstillfällen.</w:t>
      </w:r>
    </w:p>
    <w:p w:rsidR="00F531EE" w:rsidRPr="001F6CDA" w:rsidRDefault="00F531EE" w:rsidP="00F531EE">
      <w:pPr>
        <w:pStyle w:val="NormalHanging12a"/>
        <w:widowControl/>
        <w:rPr>
          <w:b/>
          <w:szCs w:val="24"/>
        </w:rPr>
      </w:pPr>
      <w:r w:rsidRPr="001F6CDA">
        <w:rPr>
          <w:b/>
          <w:i/>
        </w:rPr>
        <w:t>De viktigaste slutsatserna och rekommendationerna</w:t>
      </w:r>
    </w:p>
    <w:p w:rsidR="00F531EE" w:rsidRPr="001F6CDA" w:rsidRDefault="00F531EE" w:rsidP="00F531EE">
      <w:pPr>
        <w:pStyle w:val="NormalHanging12a"/>
        <w:widowControl/>
      </w:pPr>
      <w:r w:rsidRPr="001F6CDA">
        <w:t>1.</w:t>
      </w:r>
      <w:r w:rsidRPr="001F6CDA">
        <w:tab/>
        <w:t>Europaparlamentet betonar att Ceta vilar på en regel- och värdebaserad relation som främjar en säkrare och stabilare ekonomisk miljö mellan handelspartnerna, vilket är särskilt viktigt mot bakgrund av den ökade geopolitiska osäkerheten, och bygger på principerna om hållbar utveckling och respekt för mänskliga rättigheter och arbets- och miljönormer. En sådan förutsägbarhet kan främja ekonomisk tillväxt, utbytet av varor, tillhandahållandet av tjänster, deltagande i offentlig upphandling, investeringars attraktionskraft, sysselsättning av hög kvalitet, skapande av fler och bättre betalda arbetstillfällen och bättre arbetsvillkor och levnadsstandard. Parlamentet noterar dock att Ceta måste ytterligare stärka hållbar utveckling, respekten för mänskliga rättigheter och arbetstagarrättigheter och skydda klimatet.</w:t>
      </w:r>
    </w:p>
    <w:p w:rsidR="00F531EE" w:rsidRPr="001F6CDA" w:rsidRDefault="00F531EE" w:rsidP="00F531EE">
      <w:pPr>
        <w:pStyle w:val="NormalHanging12a"/>
        <w:widowControl/>
      </w:pPr>
      <w:r w:rsidRPr="001F6CDA">
        <w:t>2.</w:t>
      </w:r>
      <w:r w:rsidRPr="001F6CDA">
        <w:tab/>
        <w:t>Europaparlamentet noterar med tillfredsställelse att varuhandeln mellan EU och Kanada ökade med 66 % mellan 2016 och 2022, medan handeln med tjänster mellan EU och Kanada ökade med 46 %, vilket överträffar annan handel med länder utanför EU. EU:s varuexport till Kanada ökade med 47 % under de första fem åren av provisorisk tillämpning, där de största registrerade vinsterna gällde tillverkade produkter, kemiska produkter samt livsmedel och animaliska produkter. De flesta av de farhågor som uttrycktes före den provisoriska tillämpningen av avtalet beträffande inflödet av kanadensiska jordbruksprodukter på EU-marknaden har inte förverkligats. Kanadas export till EU ökade med 46,4 %, där de största registrerade vinsterna gällde malmer, ädelstenar och ädla metaller samt mineralbränslen och oljor.</w:t>
      </w:r>
    </w:p>
    <w:p w:rsidR="00F531EE" w:rsidRPr="001F6CDA" w:rsidRDefault="00F531EE" w:rsidP="00F531EE">
      <w:pPr>
        <w:pStyle w:val="NormalHanging12a"/>
        <w:widowControl/>
        <w:rPr>
          <w:bCs/>
          <w:iCs/>
        </w:rPr>
      </w:pPr>
      <w:r w:rsidRPr="001F6CDA">
        <w:t>3.</w:t>
      </w:r>
      <w:r w:rsidRPr="001F6CDA">
        <w:tab/>
        <w:t>Europaparlamentet understryker den avsevärda ökningen av den bilaterala handeln med livsmedel och jordbruksprodukter mellan EU och Kanada, med en ökning med 62 % av exporten av jordbruksprodukter från EU till Kanada och med 52 % av importen till EU från Kanada sedan Ceta började tillämpas provisoriskt. Detta har i hög grad har gynnat producenter och exportörer på bägge sidor och också bidragit till att skapa arbetstillfällen. Parlamentet välkomnar den betydande ökningen av antalet mikroföretag samt små och medelstora företag i unionen som exporterar till Kanada samt det ökade värdet på deras exporterade produkter, och konstaterar att avtalet därmed avsevärt tjänar deras intressen.</w:t>
      </w:r>
    </w:p>
    <w:p w:rsidR="00F531EE" w:rsidRPr="001F6CDA" w:rsidRDefault="00F531EE" w:rsidP="00F531EE">
      <w:pPr>
        <w:pStyle w:val="NormalHanging12a"/>
        <w:widowControl/>
        <w:rPr>
          <w:szCs w:val="24"/>
        </w:rPr>
      </w:pPr>
      <w:r w:rsidRPr="001F6CDA">
        <w:t>4.</w:t>
      </w:r>
      <w:r w:rsidRPr="001F6CDA">
        <w:tab/>
        <w:t>Europaparlamentet betonar att man vid genomförandet av Ceta och alla andra EU-handelsavtal måste ta vederbörlig hänsyn till respekten för hållbar jordbruksproduktion, ömsesidighet och upprätthållandet av höga standarder, särskilt sanitära, fytosanitära och veterinära standarder, samt till upprätthållandet av adekvata kontroller och god övervakning av den ömsesidiga efterlevnaden av dessa standarder.</w:t>
      </w:r>
    </w:p>
    <w:p w:rsidR="00F531EE" w:rsidRPr="001F6CDA" w:rsidRDefault="00F531EE" w:rsidP="00F531EE">
      <w:pPr>
        <w:pStyle w:val="NormalHanging12a"/>
        <w:widowControl/>
      </w:pPr>
      <w:r w:rsidRPr="001F6CDA">
        <w:t>5.</w:t>
      </w:r>
      <w:r w:rsidRPr="001F6CDA">
        <w:tab/>
        <w:t>Europaparlamentet välkomnar att handelsflödena mellan parterna generellt har upprätthållits under hela pandemin, liksom i den svåra situation som orsakats av Rysslands anfallskrig i Ukraina, vilket minskat trycket på leveranskedjorna och bidragit till en stärkt livsmedelstrygghet. Ceta bör fungera som ett verktyg för att underlätta samarbete och gemensamma åtgärder vid återuppbyggnaden av Ukraina när kriget väl är över.</w:t>
      </w:r>
    </w:p>
    <w:p w:rsidR="00F531EE" w:rsidRPr="001F6CDA" w:rsidRDefault="00F531EE" w:rsidP="00F531EE">
      <w:pPr>
        <w:pStyle w:val="NormalHanging12a"/>
        <w:widowControl/>
      </w:pPr>
      <w:r w:rsidRPr="001F6CDA">
        <w:t>6.</w:t>
      </w:r>
      <w:r w:rsidRPr="001F6CDA">
        <w:tab/>
        <w:t>Europaparlamentet understryker att EU:s export är avgörande för sysselsättningen. Ceta har bidragit till att skapa nya arbetstillfällen, eftersom antalet arbetstillfällen som stöds av EU:s export till Kanada ökade från 624 000 under 2017 till över 700 000 under 2021.</w:t>
      </w:r>
    </w:p>
    <w:p w:rsidR="00F531EE" w:rsidRPr="001F6CDA" w:rsidRDefault="00F531EE" w:rsidP="00F531EE">
      <w:pPr>
        <w:pStyle w:val="NormalHanging12a"/>
        <w:widowControl/>
      </w:pPr>
      <w:r w:rsidRPr="001F6CDA">
        <w:t>7.</w:t>
      </w:r>
      <w:r w:rsidRPr="001F6CDA">
        <w:tab/>
        <w:t>Europaparlamentet betonar att den arbetskraftsrörlighet som möjliggörs genom Ceta är viktig, eftersom den bidrar till att lämplig kompetensöverföring mellan EU och Kanada säkerställs och till att brist på kvalificerad arbetskraft undviks. Parlamentet välkomnar i detta avseende att det första avtalet om ömsesidigt erkännande inom ramen för Ceta kunde ingås 2022 för arkitekters kvalifikationer, och anser att EU-blåkortet ytterligare skulle kunna underlätta utbytet mellan två konkurrenskraftiga ekonomier med en högutbildad befolkning. Parlamentet understryker att utbytesprogram mellan EU:s och Kanadas akademiska institutioner kan bidra ytterligare till nödvändig arbetskraftsrörlighet på lång sikt.</w:t>
      </w:r>
    </w:p>
    <w:p w:rsidR="00F531EE" w:rsidRPr="001F6CDA" w:rsidRDefault="00F531EE" w:rsidP="00F531EE">
      <w:pPr>
        <w:pStyle w:val="NormalHanging12a"/>
        <w:widowControl/>
      </w:pPr>
      <w:r w:rsidRPr="001F6CDA">
        <w:t>8.</w:t>
      </w:r>
      <w:r w:rsidRPr="001F6CDA">
        <w:tab/>
        <w:t>Europaparlamentet noterar att de två viktigaste produktkategorierna som EU och Kanada exporterar till varandra är maskiner och transportutrustning, som står för omkring 34 % av både export och import, samt kemiska produkter, läkemedelsprodukter och plastprodukter, som utgör omkring 20 % av den totala exporten och importen. Gruv- och utvinningssektorn, särskilt gödselmedel, nickel, uranium och oljesand, är mycket viktig när det gäller import från Kanada, jämfört med andra handelspartner, och står för nästan 20 % av EU:s totala import från Kanada. Tillgång till kritiska råvaror från pålitliga handelspartner, däribland Kanada, är en viktig del av EU:s strategi för kritiska råvaror och avgörande för att åstadkomma en hållbar grön omställning.</w:t>
      </w:r>
    </w:p>
    <w:p w:rsidR="00F531EE" w:rsidRPr="001F6CDA" w:rsidRDefault="00F531EE" w:rsidP="00F531EE">
      <w:pPr>
        <w:pStyle w:val="NormalHanging12a"/>
        <w:widowControl/>
      </w:pPr>
      <w:r w:rsidRPr="001F6CDA">
        <w:t>9.</w:t>
      </w:r>
      <w:r w:rsidRPr="001F6CDA">
        <w:tab/>
        <w:t>Europaparlamentet betonar att samarbete om tillgång till kritiska råvaror är mycket viktigt i det nuvarande geopolitiska landskapet samt för den gröna och rättvisa omställningen, och välkomnar undertecknandet i juli 2021 av det strategiska partnerskapet mellan EU och Kanada om kritiska råvaror inom ramen för Ceta, vilket bör bidra till att integrera värdekedjorna för råvaror mellan EU och Kanada och främja samarbete inom vetenskap, teknik och innovation. Detta utgör en viktig del av den europeiska strategin för ekonomisk säkerhet. Utvinning av råvaror måste ske med respekt för miljöstandarder, arbetsrätt och mänskliga rättigheter, inbegripet ursprungsbefolkningarnas rättigheter.</w:t>
      </w:r>
    </w:p>
    <w:p w:rsidR="00F531EE" w:rsidRPr="001F6CDA" w:rsidRDefault="00F531EE" w:rsidP="00F531EE">
      <w:pPr>
        <w:pStyle w:val="NormalHanging12a"/>
        <w:widowControl/>
      </w:pPr>
      <w:r w:rsidRPr="001F6CDA">
        <w:t>10.</w:t>
      </w:r>
      <w:r w:rsidRPr="001F6CDA">
        <w:tab/>
        <w:t>Europaparlamentet välkomnar att europeiska och kanadensiska företag i allt större utsträckning och kontinuerligt utnyttjar de förmånsrätter som beviljats genom Ceta, där utnyttjandet av förmånsrätterna för både EU och Kanada uppgick till 60 % 2022 jämfört med 40 % respektive 52 % 2018. Parlamentet noterar med intresse att mindre företag använder förmånsrätterna i större utsträckning än stora företag och att utnyttjandegraden är betydligt högre för livsmedelsindustrin jämfört med tillverkningsindustrin. Den låga utnyttjandegraden inom nyckelsektorer för flera EU-medlemsstater tyder på uteblivna kostnadsbesparingar och minskade välfärdsvinster till följd av avtalet. Parlamentet uppmuntrar båda parterna att fortsätta främja åtgärder som syftar till att öka medvetenheten om Ceta bland berörda parter i båda regionerna, inbegripet genom EU:s plattform Access2Markets. Parlamentet understryker vikten av att underlätta nya möjligheter för företag och konsumenter genom digital handel i linje med EU-standarder.</w:t>
      </w:r>
    </w:p>
    <w:p w:rsidR="00F531EE" w:rsidRPr="001F6CDA" w:rsidRDefault="00F531EE" w:rsidP="00F531EE">
      <w:pPr>
        <w:pStyle w:val="NormalHanging12a"/>
        <w:widowControl/>
      </w:pPr>
      <w:r w:rsidRPr="001F6CDA">
        <w:t>11.</w:t>
      </w:r>
      <w:r w:rsidRPr="001F6CDA">
        <w:tab/>
        <w:t xml:space="preserve">Europaparlamentet noterar att utnyttjandegraden av tullkvoten för import av nötkött till EU endast var 3 % under 2021, och att EU-exportörerna har ökat sin marknadsandel i Kanada, vilket innebär att EU exporterar mer fryst nötkött till Kanada än vad EU importerar från Kanada. Utnyttjandegraden för denna tullkvot kan dock ändras med tiden till följd av variationer på Kanadas övriga exportmarknader, särskilt Förenta staterna och Kina. </w:t>
      </w:r>
    </w:p>
    <w:p w:rsidR="00F531EE" w:rsidRPr="001F6CDA" w:rsidRDefault="00F531EE" w:rsidP="00F531EE">
      <w:pPr>
        <w:pStyle w:val="NormalHanging12a"/>
        <w:widowControl/>
      </w:pPr>
      <w:r w:rsidRPr="001F6CDA">
        <w:t>12.</w:t>
      </w:r>
      <w:r w:rsidRPr="001F6CDA">
        <w:tab/>
        <w:t>Europaparlamentet betonar att enligt revisionsrapporten från kommissionens generaldirektorat för hälsa och livsmedelssäkerhet har Kanada ännu inte på ett tillfredsställande sätt genomfört rekommendationerna i generaldirektoratets revision av spårbarheten och kvaliteten hos de befintliga kontrollsystemen för produktionen av nötkött och griskött avsett för export till Europeiska unionen.</w:t>
      </w:r>
    </w:p>
    <w:p w:rsidR="00F531EE" w:rsidRPr="001F6CDA" w:rsidRDefault="00F531EE" w:rsidP="00F531EE">
      <w:pPr>
        <w:pStyle w:val="NormalHanging12a"/>
        <w:widowControl/>
      </w:pPr>
      <w:r w:rsidRPr="001F6CDA">
        <w:t>13.</w:t>
      </w:r>
      <w:r w:rsidRPr="001F6CDA">
        <w:tab/>
        <w:t>Europaparlamentet välkomnar införandet av ett harmoniserat EU-exportintyg för export av färskt fjäderfä från auktoriserade medlemsstater, vilket började tillämpas 2021. Parlamentet uppmanar kommissionen att fortsätta arbetet med liknande intyg för bearbetat kött och får- och getkött, samtidigt som man ökar insatserna för att säkerställa bättre spårbarhetssystem för köttprodukter. Parlamentet uppmanar kommissionen att inom ramen för den gemensamma förvaltningskommittén och i samarbete med de kanadensiska myndigheterna och medlemsstaterna gå vidare när det gäller att erkänna de återstående systemen för köttkontroll, så att de återstående medlemsstaterna kan exportera kött till Kanada.</w:t>
      </w:r>
    </w:p>
    <w:p w:rsidR="00F531EE" w:rsidRPr="001F6CDA" w:rsidRDefault="00F531EE" w:rsidP="00F531EE">
      <w:pPr>
        <w:pStyle w:val="NormalHanging12a"/>
        <w:widowControl/>
      </w:pPr>
      <w:r w:rsidRPr="001F6CDA">
        <w:t>14.</w:t>
      </w:r>
      <w:r w:rsidRPr="001F6CDA">
        <w:tab/>
        <w:t>Europaparlamentet beklagar att Ceta i allmänhet inte tillämpar regionaliseringsprincipen och endast betraktar EU som ett enda område för animalieproduktion, men inte för frukt- och grönsakssektorn, vilket innebär att varje medlemsstat måste förhandla och individuellt komma överens om exportkraven för varje produkt. Parlamentet begär att denna brist åtgärdas så snart som möjligt inom ramen för den gemensamma förvaltningskommittén EU-Kanada.</w:t>
      </w:r>
    </w:p>
    <w:p w:rsidR="00F531EE" w:rsidRPr="001F6CDA" w:rsidRDefault="00F531EE" w:rsidP="00F531EE">
      <w:pPr>
        <w:pStyle w:val="NormalHanging12a"/>
        <w:widowControl/>
        <w:rPr>
          <w:szCs w:val="24"/>
        </w:rPr>
      </w:pPr>
      <w:r w:rsidRPr="001F6CDA">
        <w:t>15.</w:t>
      </w:r>
      <w:r w:rsidRPr="001F6CDA">
        <w:tab/>
        <w:t>Europaparlamentet uppmanar kommissionen att underlätta det pågående samarbetet med de kanadensiska myndigheterna i syfte att öka uppmärksamheten på skyddsåtgärder för djurskyddsstandarder i Ceta och utvärdera möjligheten att i framtiden införa spegelklausuler på detta område för att garantera likvärdiga djurskyddsstandarder och därmed lika villkor mellan EU:s och importerade animaliska produkter.</w:t>
      </w:r>
    </w:p>
    <w:p w:rsidR="00F531EE" w:rsidRPr="001F6CDA" w:rsidRDefault="00F531EE" w:rsidP="00F531EE">
      <w:pPr>
        <w:pStyle w:val="NormalHanging12a"/>
        <w:widowControl/>
      </w:pPr>
      <w:r w:rsidRPr="001F6CDA">
        <w:t>16.</w:t>
      </w:r>
      <w:r w:rsidRPr="001F6CDA">
        <w:tab/>
        <w:t>Europaparlamentet påminner om att EU:s handelspolitik, och i synnerhet Ceta, har stora ekonomiska konsekvenser för de yttersta randområdena, och betonar därför behovet av att skydda dessa regioners intressen i framtida förhandlingar eller vid en eventuell översyn av avtalet.</w:t>
      </w:r>
    </w:p>
    <w:p w:rsidR="00F531EE" w:rsidRPr="001F6CDA" w:rsidRDefault="00F531EE" w:rsidP="00F531EE">
      <w:pPr>
        <w:pStyle w:val="NormalHanging12a"/>
        <w:widowControl/>
      </w:pPr>
      <w:r w:rsidRPr="001F6CDA">
        <w:t>17.</w:t>
      </w:r>
      <w:r w:rsidRPr="001F6CDA">
        <w:tab/>
        <w:t>Europaparlamentet vidhåller att en del av de tullar och kvoter som tilldelas EU-produkter bör tilldelas aktörer som är registrerade i de yttersta randområdena med hänsyn till deras ekonomiska verklighet. En differentierad behandling av aktörerna i dessa regioner är avgörande för att säkerställa företagens konkurrenskraft och en rättvis fördelning av tullar och kvoter mellan handelsagenter genom att undvika att fördelarna koncentreras till ett fåtal aktörer.</w:t>
      </w:r>
    </w:p>
    <w:p w:rsidR="00F531EE" w:rsidRPr="001F6CDA" w:rsidRDefault="00F531EE" w:rsidP="00F531EE">
      <w:pPr>
        <w:pStyle w:val="NormalHanging12a"/>
        <w:widowControl/>
      </w:pPr>
      <w:r w:rsidRPr="001F6CDA">
        <w:t>18.</w:t>
      </w:r>
      <w:r w:rsidRPr="001F6CDA">
        <w:tab/>
        <w:t>Europaparlamentet noterar att utnyttjandegraden av tullkvoten i genomsnitt ligger på 98 % för EU:s ostexport. Parlamentet efterlyser dock ett mer transparent och flexiblare kanadensiskt system för förvaltning av tullkvoter för mejeriprodukter, särskilt ostkvoten, och uppmanar med kraft de kanadensiska myndigheterna att gå vidare med en eventuell översyn av systemet så snart som möjligt.</w:t>
      </w:r>
    </w:p>
    <w:p w:rsidR="00F531EE" w:rsidRPr="001F6CDA" w:rsidRDefault="00F531EE" w:rsidP="00F531EE">
      <w:pPr>
        <w:pStyle w:val="NormalHanging12a"/>
        <w:widowControl/>
      </w:pPr>
      <w:r w:rsidRPr="001F6CDA">
        <w:t>19.</w:t>
      </w:r>
      <w:r w:rsidRPr="001F6CDA">
        <w:tab/>
        <w:t>Europaparlamentet framhåller vikten av att erkänna systemet med geografiska beteckningar som en central del av avtalet. Parlamentet understryker behovet av ytterligare effektivt verkställande av skyddet av geografiska beteckningar för innehavare av EU-rättigheter i Kanada, för att säkerställa förtroendet för att avtalet fungerar korrekt.</w:t>
      </w:r>
    </w:p>
    <w:p w:rsidR="00F531EE" w:rsidRPr="001F6CDA" w:rsidRDefault="00F531EE" w:rsidP="00F531EE">
      <w:pPr>
        <w:pStyle w:val="NormalHanging12a"/>
        <w:widowControl/>
        <w:rPr>
          <w:szCs w:val="24"/>
        </w:rPr>
      </w:pPr>
      <w:r w:rsidRPr="001F6CDA">
        <w:t>20.</w:t>
      </w:r>
      <w:r w:rsidRPr="001F6CDA">
        <w:tab/>
        <w:t>Europaparlamentet noterar att under de första sex åren av den provisoriska tillämpningen av Ceta har EU:s export till och import av tjänster från Kanada ökat med 54 % respektive 74 %, där de största vinsterna gäller transporttjänster, företagstjänster och informations-, data- och telekommunikationstjänster, vilket särskilt gynnar mindre EU-medlemsstater där tjänster utgör en väsentlig del av landets ekonomiska struktur.</w:t>
      </w:r>
    </w:p>
    <w:p w:rsidR="00F531EE" w:rsidRPr="001F6CDA" w:rsidRDefault="00F531EE" w:rsidP="00F531EE">
      <w:pPr>
        <w:pStyle w:val="NormalHanging12a"/>
        <w:widowControl/>
        <w:rPr>
          <w:szCs w:val="24"/>
        </w:rPr>
      </w:pPr>
      <w:r w:rsidRPr="001F6CDA">
        <w:t>21.</w:t>
      </w:r>
      <w:r w:rsidRPr="001F6CDA">
        <w:tab/>
        <w:t>Europaparlamentet välkomnar konkreta insatser för att underlätta tillträdet till offentlig upphandling, såsom den gemensamma kontaktpunkten i Kanada. Parlamentet anser att även om många fler EU-företag framgångsrikt deltar i kanadensiska anbudsförfaranden, såsom för regional persontrafik på järnväg i Ontario eller broar i Montreal, skulle EU-leverantörer kunna dra ännu större nytta av de möjligheter som erbjuds, särskilt när det gäller infrastrukturprojekt och anbudsgivning för provinsiella och kommunala kontrakt.</w:t>
      </w:r>
    </w:p>
    <w:p w:rsidR="00F531EE" w:rsidRPr="001F6CDA" w:rsidRDefault="00F531EE" w:rsidP="00F531EE">
      <w:pPr>
        <w:pStyle w:val="NormalHanging12a"/>
        <w:widowControl/>
      </w:pPr>
      <w:r w:rsidRPr="001F6CDA">
        <w:t>22.</w:t>
      </w:r>
      <w:r w:rsidRPr="001F6CDA">
        <w:tab/>
        <w:t>Europaparlamentet uppmanar parterna att tillhandahålla allt det rättsliga och administrativa stöd och de verktyg som små och medelstora företag behöver för att bedriva handel och investera inom ramen för Ceta, i syfte att främja ett ökat utbyte och öka deltagandet så att de kan dra nytta av Ceta, bland annat genom aktiva åtgärder för att underlätta små och medelstora företags internationalisering, förenkla förfaranden och ta itu med tekniska handelshinder som på ett oproportionerligt sätt påverkar små och medelstora företag. Parlamentet välkomnar i detta avseende den rekommendation om små och medelstora företag som antogs av den gemensamma kommittén 2018 och de efterföljande handlingsplanerna, inbegripet konkreta åtgärder såsom lanseringen av Access2Markets-plattformen i oktober 2020, som stöder små och medelstora företag med praktisk information om handelsavtal och handelshinder. Parlamentet förväntar sig att efterhandsutvärderingen ska tillhandahålla uppgifter om hur små och medelstora företags andel av handeln mellan EU och Kanada utvecklas. Parlamentet uppmanar parterna att överväga möjligheten till ett fullvärdigt kapitel om små och medelstora företag i likhet med avtalen med Nya Zeeland och Chile.</w:t>
      </w:r>
    </w:p>
    <w:p w:rsidR="00F531EE" w:rsidRPr="001F6CDA" w:rsidRDefault="00F531EE" w:rsidP="00F531EE">
      <w:pPr>
        <w:pStyle w:val="NormalHanging12a"/>
        <w:widowControl/>
      </w:pPr>
      <w:r w:rsidRPr="001F6CDA">
        <w:t>23.</w:t>
      </w:r>
      <w:r w:rsidRPr="001F6CDA">
        <w:tab/>
        <w:t>Europaparlamentet uppmanar, med tanke på betydelsen av sektorn för social och solidarisk ekonomi i Kanada och handlingsplanen för social ekonomi som kommissionen antog den 9 december 2021</w:t>
      </w:r>
      <w:r w:rsidRPr="001F6CDA">
        <w:rPr>
          <w:rStyle w:val="FootnoteReference"/>
        </w:rPr>
        <w:footnoteReference w:id="6"/>
      </w:r>
      <w:r w:rsidRPr="001F6CDA">
        <w:t>, den gemensamma kommittén att fastställa vilka konkreta åtgärder som skulle kunna vidtas för att främja mer samarbete över Atlanten mellan aktörer inom den sociala och solidariska ekonomin.</w:t>
      </w:r>
    </w:p>
    <w:p w:rsidR="00F531EE" w:rsidRPr="001F6CDA" w:rsidRDefault="00F531EE" w:rsidP="00F531EE">
      <w:pPr>
        <w:pStyle w:val="NormalHanging12a"/>
        <w:widowControl/>
      </w:pPr>
      <w:r w:rsidRPr="001F6CDA">
        <w:t>24.</w:t>
      </w:r>
      <w:r w:rsidRPr="001F6CDA">
        <w:tab/>
        <w:t>Europaparlamentet uppmanar båda parterna att fortsätta sin utåtriktade verksamhet, med särskilt fokus på små och medelstora företag och aktörer inom den sociala och solidariska ekonomin, för att genom riktade informationskampanjer öka medvetenheten om de möjligheter som Ceta erbjuder, samtidigt som det säkerställs att avtalets fördelar fördelas lika mellan män och kvinnor.</w:t>
      </w:r>
    </w:p>
    <w:p w:rsidR="00F531EE" w:rsidRPr="001F6CDA" w:rsidRDefault="00F531EE" w:rsidP="00F531EE">
      <w:pPr>
        <w:pStyle w:val="NormalHanging12a"/>
        <w:widowControl/>
      </w:pPr>
      <w:r w:rsidRPr="001F6CDA">
        <w:t>25.</w:t>
      </w:r>
      <w:r w:rsidRPr="001F6CDA">
        <w:tab/>
        <w:t>Europaparlamentet välkomnar antagandet redan 2018 av den gemensamma Ceta-kommitténs rekommendation om handel och jämställdhet, som innehåller ett åtagande om att utbyta metoder och förfaranden för insamling av könsuppdelade uppgifter, användning av indikatorer, metoder för övervakning och utvärdering och analys av könsinriktad statistik som rör handel. Parlamentet understryker att handeln bör gagna alla och särskilt stärka kvinnors ekonomiska egenmakt. Parlamentet uppmanar med kraft den gemensamma Ceta-kommittén att fortsätta att övervaka hur avtalet påverkar jämställdhet. Det arbete som utförs inom ramen för den gemensamt antagna handlingsplanen kan tjäna som exempel för andra handelsavtal, även om det inte finns några särskilda kapitel om handel och jämställdhet i själva avtalet. Parlamentet påminner om sin resolution om den tredje handlingsplanen för jämställdhet</w:t>
      </w:r>
      <w:r w:rsidRPr="001F6CDA">
        <w:rPr>
          <w:rStyle w:val="FootnoteReference"/>
        </w:rPr>
        <w:footnoteReference w:id="7"/>
      </w:r>
      <w:r w:rsidRPr="001F6CDA">
        <w:t xml:space="preserve"> och uppmanar kommissionen att offentliggöra mer lättillgängliga könsuppdelade uppgifter om användningen av avtalet, särskilt när det gäller kapitlen om offentlig upphandling och om handel och arbete.</w:t>
      </w:r>
    </w:p>
    <w:p w:rsidR="00F531EE" w:rsidRPr="001F6CDA" w:rsidRDefault="00F531EE" w:rsidP="00F531EE">
      <w:pPr>
        <w:pStyle w:val="NormalHanging12a"/>
        <w:widowControl/>
      </w:pPr>
      <w:r w:rsidRPr="001F6CDA">
        <w:t>26.</w:t>
      </w:r>
      <w:r w:rsidRPr="001F6CDA">
        <w:tab/>
        <w:t>Europaparlamentet uppmanar kommissionen att förhindra att försiktighetsprincipen försvagas i egenskap av en grundläggande princip för Europeiska unionen som fastställs i fördragen och en garant för skyddet av europeiska jordbrukare och medborgare. Parlamentet betonar vikten av att främja försiktighetsprincipen i alla aspekter av handeln och se till att den tillämpas, samtidigt som omotiverade handelshinder undviks.</w:t>
      </w:r>
    </w:p>
    <w:p w:rsidR="00F531EE" w:rsidRPr="001F6CDA" w:rsidRDefault="00F531EE" w:rsidP="00F531EE">
      <w:pPr>
        <w:pStyle w:val="NormalHanging12a"/>
        <w:widowControl/>
      </w:pPr>
      <w:r w:rsidRPr="001F6CDA">
        <w:t>27.</w:t>
      </w:r>
      <w:r w:rsidRPr="001F6CDA">
        <w:tab/>
        <w:t>Europaparlamentet understryker att Ceta utgör en ram som främjar både handel och klimatåtgärder genom att innehålla åtaganden om samarbete i handelsrelaterade miljöfrågor av gemensamt intresse, såsom klimatförändringar, vilket framgår av rekommendationen om handel, klimatåtgärder och Parisavtalet, särskilt genom att främja ren teknik. Parlamentet understryker vikten av att global energiproduktion som är baserad i Kanada påskyndar omställningen till ren energi genom att producera energi från förnybara resurser. Parlamentet välkomnar att handeln med miljöskonande produkter ökat med 27 % sedan avtalet provisoriskt började tillämpas. Parlamentet noterar dock att Kanada har betraktat delar av europeiska lagstiftningsinitiativ och andra initiativ med avseende på den europeiska gröna given som tekniska handelshinder. Parlamentet uppmanar parterna att hitta synergieffekter med genomförandet av gränsjusteringsmekanismen för koldioxid och andra initiativ i EU och gemensamt stödja arbetet med att utveckla gemensamma eller jämförbara metoder för koldioxidutsläpp på internationell nivå.</w:t>
      </w:r>
    </w:p>
    <w:p w:rsidR="00F531EE" w:rsidRPr="001F6CDA" w:rsidRDefault="00F531EE" w:rsidP="00F531EE">
      <w:pPr>
        <w:pStyle w:val="NormalHanging12a"/>
        <w:widowControl/>
      </w:pPr>
      <w:r w:rsidRPr="001F6CDA">
        <w:t>28.</w:t>
      </w:r>
      <w:r w:rsidRPr="001F6CDA">
        <w:tab/>
        <w:t>Europaparlamentet välkomnar lanseringen av det digitala partnerskapet mellan EU och Kanada som en viktig möjliggörande faktor för den gröna och digitala omställningen. Parlamentet uppmanar båda parter att stärka sitt samarbete inom ramen för genomförandet av Ceta i frågor av strategiskt ömsesidigt intresse såsom artificiell intelligens, cybersäkerhet och kampen mot desinformation.</w:t>
      </w:r>
    </w:p>
    <w:p w:rsidR="00F531EE" w:rsidRPr="001F6CDA" w:rsidRDefault="00F531EE" w:rsidP="00F531EE">
      <w:pPr>
        <w:pStyle w:val="NormalHanging12a"/>
        <w:widowControl/>
      </w:pPr>
      <w:r w:rsidRPr="001F6CDA">
        <w:t>29.</w:t>
      </w:r>
      <w:r w:rsidRPr="001F6CDA">
        <w:tab/>
        <w:t>Europaparlamentet välkomnar att de inhemska rådgivande grupperna och forumet för det civila samhället, som samlar hundratals företrädare från hela EU och Kanada, inbegripet från företags-, miljö- och arbetstagarorganisationer, det civila samhället, den akademiska världen samt företrädare för urbefolkningar från Kanada, aktivt har deltagit och övervakat genomförandet av Ceta och bidragit till arbetet i framför allt kommittén för handel och hållbar utveckling genom sina gemensamma uttalanden. Parlamentet uppmanar med kraft kommissionen och styrelsen för handel och hållbar utveckling att följa upp deras förslag. Parlamentet betonar att de inhemska rådgivande gruppernas mandat också bör vara att beakta hållbarhetseffekterna av det fullständiga avtalet. Parlamentet understryker värdet av att inkludera hänsyn till hur kapitlet om investeringsskydd påverkar hållbarheten och de mänskliga rättigheterna i deras arbete.</w:t>
      </w:r>
    </w:p>
    <w:p w:rsidR="00F531EE" w:rsidRPr="001F6CDA" w:rsidRDefault="00F531EE" w:rsidP="00F531EE">
      <w:pPr>
        <w:pStyle w:val="NormalHanging12a"/>
        <w:widowControl/>
      </w:pPr>
      <w:r w:rsidRPr="001F6CDA">
        <w:t>30.</w:t>
      </w:r>
      <w:r w:rsidRPr="001F6CDA">
        <w:tab/>
        <w:t>Europaparlamentet uppmanar båda parterna att se till att småskaliga jordbrukare och konsumenter integreras bättre i de inhemska rådgivande grupperna i samband med förnyelsen av dessa grupper.</w:t>
      </w:r>
    </w:p>
    <w:p w:rsidR="00F531EE" w:rsidRPr="001F6CDA" w:rsidRDefault="00F531EE" w:rsidP="00F531EE">
      <w:pPr>
        <w:pStyle w:val="NormalHanging12a"/>
        <w:widowControl/>
      </w:pPr>
      <w:r w:rsidRPr="001F6CDA">
        <w:t>31.</w:t>
      </w:r>
      <w:r w:rsidRPr="001F6CDA">
        <w:tab/>
        <w:t>Europaparlamentet insisterar på att de särskilda åtaganden som rör bestämmelserna om handel och hållbar utveckling, inbegripet den tidiga översynen av handel och hållbar utveckling man förbundit sig till i det gemensamma tolkningsinstrumentet, som inte har uppfyllts, genomförs på ett effektivt sätt, eftersom de utgör en väsentlig del av Ceta och är viktiga för att de fastställda målen ska kunna uppnås. Parlamentet noterar att kommissionen under 2024 kommer att genomföra en efterhandsutvärdering av Ceta, inbegripet dess kapitel om handel och hållbar utveckling, med oberoende experter, vilket kommer att vara ett tillfälle att bedöma det mot bakgrund av kommissionens nya strategi från juni 2022 och överväga att införliva konkreta förslag som Kanada lade fram 2020 för ett mer bindande tillämpningsområde för vissa bestämmelser i detta kapitel. Parlamentet påminner om att den gemensamma Ceta-kommittén kan fatta ett bindande beslut om fastställande av färdplaner för genomförandet för att stärka samarbetet på områden där efterhandsutvärderingen skulle identifiera brister och förväntar sig att de aktivt gör det. Insatser för ett bättre genomförande av kapitlet om handel och hållbar utveckling eller översynen av det bör föregås av ett meningsfullt samråd med alla berörda parter.</w:t>
      </w:r>
    </w:p>
    <w:p w:rsidR="00F531EE" w:rsidRPr="001F6CDA" w:rsidRDefault="00F531EE" w:rsidP="00F531EE">
      <w:pPr>
        <w:pStyle w:val="NormalHanging12a"/>
        <w:widowControl/>
      </w:pPr>
      <w:r w:rsidRPr="001F6CDA">
        <w:t>32.</w:t>
      </w:r>
      <w:r w:rsidRPr="001F6CDA">
        <w:tab/>
        <w:t>Europaparlamentet konstaterar att Förenade kungariket upphörde att vara medlem i Europeiska unionen efter den provisoriska tillämpningen av Ceta. Parlamentet noterar att Förenade kungariket och Kanada har avtalat om en rad bilaterala handelsarrangemang för att ta hänsyn till detta, bland annat när det gäller användning och kumulation av tullkvoter. Parlamentet noterar att vissa av dessa avtal kommer att upphöra att gälla efter 2024, vilket kan medföra mindre störningar i etablerade leveranskedjor. Parlamentet uppmanar kommissionen att undersöka möjligheten till nya avtal där dessa störningar kan påverka unionens ekonomiska aktörer negativt.</w:t>
      </w:r>
    </w:p>
    <w:p w:rsidR="00F531EE" w:rsidRPr="001F6CDA" w:rsidRDefault="00F531EE" w:rsidP="00F531EE">
      <w:pPr>
        <w:widowControl/>
        <w:tabs>
          <w:tab w:val="left" w:pos="567"/>
        </w:tabs>
        <w:spacing w:after="240"/>
        <w:ind w:left="567" w:hanging="567"/>
      </w:pPr>
      <w:r w:rsidRPr="001F6CDA">
        <w:t>33.</w:t>
      </w:r>
      <w:r w:rsidRPr="001F6CDA">
        <w:tab/>
        <w:t>Europaparlamentet uppmanar parterna att se över Ceta när avtalet har ratificerats och att använda översynsklausulen, i syfte att införa en lämplig och effektiv tvistlösningsmekanism för handel och hållbar utveckling, och att bland olika verkställighetsmetoder överväga sanktioner som en avskräckande åtgärd som kan användas som en sista utväg vid allvarliga överträdelser. Vid översynen bör man planera att institutionalisera det pågående samarbetet om handel och jämställdhet, och överväga att införa särskilda, kraftfulla bestämmelser om urfolks rättigheter, däribland ILO:s konvention nr 169 och FN:s deklaration om urfolks rättigheter.</w:t>
      </w:r>
    </w:p>
    <w:p w:rsidR="00F531EE" w:rsidRPr="001F6CDA" w:rsidRDefault="00F531EE" w:rsidP="00F531EE">
      <w:pPr>
        <w:pStyle w:val="NormalHanging12a"/>
        <w:widowControl/>
      </w:pPr>
      <w:r w:rsidRPr="001F6CDA">
        <w:t>34.</w:t>
      </w:r>
      <w:r w:rsidRPr="001F6CDA">
        <w:tab/>
        <w:t>Europaparlamentet uppmanar med kraft Belgien, Bulgarien, Cypern, Frankrike, Grekland, Irland, Italien, Polen, Slovenien och Ungern att snabbt ratificera Ceta, eftersom detta också är mycket viktigt för att uppdatera avtalet, och upprepar vikten av att Ceta tillämpas fullt ut, inbegripet dess bestämmelser om investeringsskydd.</w:t>
      </w:r>
    </w:p>
    <w:p w:rsidR="00F531EE" w:rsidRPr="001F6CDA" w:rsidRDefault="00F531EE" w:rsidP="00F531EE">
      <w:pPr>
        <w:pStyle w:val="NormalHanging12a"/>
        <w:widowControl/>
      </w:pPr>
      <w:r w:rsidRPr="001F6CDA">
        <w:t>35.</w:t>
      </w:r>
      <w:r w:rsidRPr="001F6CDA">
        <w:tab/>
        <w:t>Europaparlamentet uppdrar åt talmannen att översända denna resolution till kommissionen och rådet samt till Kanadas regering och parlament.</w:t>
      </w:r>
    </w:p>
    <w:p w:rsidR="00F531EE" w:rsidRPr="001F6CDA" w:rsidRDefault="00F531EE" w:rsidP="00F531EE"/>
    <w:sectPr w:rsidR="00F531EE" w:rsidRPr="001F6CDA" w:rsidSect="001F6CD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3FD" w:rsidRPr="001F6CDA" w:rsidRDefault="00C933FD">
      <w:r w:rsidRPr="001F6CDA">
        <w:separator/>
      </w:r>
    </w:p>
  </w:endnote>
  <w:endnote w:type="continuationSeparator" w:id="0">
    <w:p w:rsidR="00C933FD" w:rsidRPr="001F6CDA" w:rsidRDefault="00C933FD">
      <w:r w:rsidRPr="001F6C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CD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CD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C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3FD" w:rsidRPr="001F6CDA" w:rsidRDefault="00C933FD">
      <w:r w:rsidRPr="001F6CDA">
        <w:separator/>
      </w:r>
    </w:p>
  </w:footnote>
  <w:footnote w:type="continuationSeparator" w:id="0">
    <w:p w:rsidR="00C933FD" w:rsidRPr="001F6CDA" w:rsidRDefault="00C933FD">
      <w:r w:rsidRPr="001F6CDA">
        <w:continuationSeparator/>
      </w:r>
    </w:p>
  </w:footnote>
  <w:footnote w:id="1">
    <w:p w:rsidR="00F531EE" w:rsidRPr="00B75C71" w:rsidRDefault="00F531EE" w:rsidP="001F6CDA">
      <w:pPr>
        <w:pStyle w:val="FootnoteText"/>
        <w:ind w:left="567" w:hanging="567"/>
        <w:rPr>
          <w:sz w:val="24"/>
          <w:szCs w:val="24"/>
        </w:rPr>
      </w:pPr>
      <w:r w:rsidRPr="00C805EC">
        <w:rPr>
          <w:rStyle w:val="FootnoteReference"/>
          <w:sz w:val="24"/>
          <w:szCs w:val="24"/>
          <w:lang w:val="sv-SE"/>
        </w:rPr>
        <w:footnoteRef/>
      </w:r>
      <w:r w:rsidR="001F6CDA" w:rsidRPr="00B75C71">
        <w:rPr>
          <w:sz w:val="24"/>
          <w:szCs w:val="24"/>
        </w:rPr>
        <w:t xml:space="preserve"> </w:t>
      </w:r>
      <w:r w:rsidR="001F6CDA" w:rsidRPr="00B75C71">
        <w:rPr>
          <w:sz w:val="24"/>
          <w:szCs w:val="24"/>
        </w:rPr>
        <w:tab/>
      </w:r>
      <w:hyperlink r:id="rId1" w:history="1">
        <w:r w:rsidRPr="00B75C71">
          <w:rPr>
            <w:rStyle w:val="Hyperlink"/>
            <w:color w:val="auto"/>
            <w:sz w:val="24"/>
            <w:szCs w:val="24"/>
            <w:u w:val="none"/>
          </w:rPr>
          <w:t>EUT L 11, 14.1.2017, s. 23</w:t>
        </w:r>
      </w:hyperlink>
      <w:r w:rsidRPr="00B75C71">
        <w:rPr>
          <w:sz w:val="24"/>
          <w:szCs w:val="24"/>
        </w:rPr>
        <w:t>.</w:t>
      </w:r>
    </w:p>
  </w:footnote>
  <w:footnote w:id="2">
    <w:p w:rsidR="00F531EE" w:rsidRPr="00B75C71" w:rsidRDefault="00F531EE" w:rsidP="001F6CDA">
      <w:pPr>
        <w:pStyle w:val="FootnoteText"/>
        <w:ind w:left="567" w:hanging="567"/>
        <w:rPr>
          <w:sz w:val="24"/>
          <w:szCs w:val="24"/>
        </w:rPr>
      </w:pPr>
      <w:r w:rsidRPr="00C805EC">
        <w:rPr>
          <w:rStyle w:val="FootnoteReference"/>
          <w:sz w:val="24"/>
          <w:szCs w:val="24"/>
          <w:lang w:val="sv-SE"/>
        </w:rPr>
        <w:footnoteRef/>
      </w:r>
      <w:r w:rsidR="001F6CDA" w:rsidRPr="00B75C71">
        <w:rPr>
          <w:sz w:val="24"/>
          <w:szCs w:val="24"/>
        </w:rPr>
        <w:t xml:space="preserve"> </w:t>
      </w:r>
      <w:r w:rsidR="001F6CDA" w:rsidRPr="00B75C71">
        <w:rPr>
          <w:sz w:val="24"/>
          <w:szCs w:val="24"/>
        </w:rPr>
        <w:tab/>
      </w:r>
      <w:hyperlink r:id="rId2" w:history="1">
        <w:r w:rsidRPr="00B75C71">
          <w:rPr>
            <w:rStyle w:val="Hyperlink"/>
            <w:color w:val="auto"/>
            <w:sz w:val="24"/>
            <w:szCs w:val="24"/>
            <w:u w:val="none"/>
          </w:rPr>
          <w:t>EUT L 11, 14.1.2017, s. 3</w:t>
        </w:r>
      </w:hyperlink>
      <w:r w:rsidRPr="00B75C71">
        <w:rPr>
          <w:sz w:val="24"/>
          <w:szCs w:val="24"/>
        </w:rPr>
        <w:t>.</w:t>
      </w:r>
    </w:p>
  </w:footnote>
  <w:footnote w:id="3">
    <w:p w:rsidR="00F531EE" w:rsidRPr="00B75C71" w:rsidRDefault="00F531EE" w:rsidP="001F6CDA">
      <w:pPr>
        <w:pStyle w:val="FootnoteText"/>
        <w:ind w:left="567" w:hanging="567"/>
        <w:rPr>
          <w:sz w:val="24"/>
          <w:szCs w:val="24"/>
          <w:lang w:val="sv-SE"/>
        </w:rPr>
      </w:pPr>
      <w:r w:rsidRPr="00C805EC">
        <w:rPr>
          <w:rStyle w:val="FootnoteReference"/>
          <w:sz w:val="24"/>
          <w:szCs w:val="24"/>
          <w:lang w:val="sv-SE"/>
        </w:rPr>
        <w:footnoteRef/>
      </w:r>
      <w:r w:rsidR="001F6CDA" w:rsidRPr="00C805EC">
        <w:rPr>
          <w:sz w:val="24"/>
          <w:szCs w:val="24"/>
          <w:lang w:val="sv-SE"/>
        </w:rPr>
        <w:t xml:space="preserve"> </w:t>
      </w:r>
      <w:r w:rsidR="001F6CDA" w:rsidRPr="00C805EC">
        <w:rPr>
          <w:sz w:val="24"/>
          <w:szCs w:val="24"/>
          <w:lang w:val="sv-SE"/>
        </w:rPr>
        <w:tab/>
      </w:r>
      <w:hyperlink r:id="rId3" w:history="1">
        <w:r w:rsidRPr="00B75C71">
          <w:rPr>
            <w:rStyle w:val="Hyperlink"/>
            <w:color w:val="auto"/>
            <w:sz w:val="24"/>
            <w:szCs w:val="24"/>
            <w:u w:val="none"/>
            <w:lang w:val="sv-SE"/>
          </w:rPr>
          <w:t>EUT C 252, 18.7.2018, s. 348</w:t>
        </w:r>
      </w:hyperlink>
      <w:r w:rsidRPr="00C805EC">
        <w:rPr>
          <w:sz w:val="24"/>
          <w:szCs w:val="24"/>
          <w:lang w:val="sv-SE"/>
        </w:rPr>
        <w:t>.</w:t>
      </w:r>
    </w:p>
  </w:footnote>
  <w:footnote w:id="4">
    <w:p w:rsidR="00F531EE" w:rsidRPr="00B75C71" w:rsidRDefault="00F531EE" w:rsidP="001F6CDA">
      <w:pPr>
        <w:pStyle w:val="FootnoteText"/>
        <w:ind w:left="567" w:hanging="567"/>
        <w:rPr>
          <w:sz w:val="24"/>
          <w:szCs w:val="24"/>
          <w:lang w:val="sv-SE"/>
        </w:rPr>
      </w:pPr>
      <w:r w:rsidRPr="00C805EC">
        <w:rPr>
          <w:rStyle w:val="FootnoteReference"/>
          <w:sz w:val="24"/>
          <w:szCs w:val="24"/>
          <w:lang w:val="sv-SE"/>
        </w:rPr>
        <w:footnoteRef/>
      </w:r>
      <w:r w:rsidR="001F6CDA" w:rsidRPr="00C805EC">
        <w:rPr>
          <w:sz w:val="24"/>
          <w:szCs w:val="24"/>
          <w:lang w:val="sv-SE"/>
        </w:rPr>
        <w:t xml:space="preserve"> </w:t>
      </w:r>
      <w:r w:rsidR="001F6CDA" w:rsidRPr="00C805EC">
        <w:rPr>
          <w:sz w:val="24"/>
          <w:szCs w:val="24"/>
          <w:lang w:val="sv-SE"/>
        </w:rPr>
        <w:tab/>
      </w:r>
      <w:r w:rsidRPr="00C805EC">
        <w:rPr>
          <w:sz w:val="24"/>
          <w:szCs w:val="24"/>
          <w:lang w:val="sv-SE"/>
        </w:rPr>
        <w:t>Domstolens yttrande av den 16 maj 2017 i enlighet med artikel 218.11 i EUF-fördraget om frihandelsavtalet mellan Europeiska unionen och Rep</w:t>
      </w:r>
      <w:r w:rsidRPr="00B75C71">
        <w:rPr>
          <w:sz w:val="24"/>
          <w:szCs w:val="24"/>
          <w:lang w:val="sv-SE"/>
        </w:rPr>
        <w:t>ubliken Singapore, ECLI:EU:C:2017:376.</w:t>
      </w:r>
    </w:p>
  </w:footnote>
  <w:footnote w:id="5">
    <w:p w:rsidR="00F531EE" w:rsidRPr="00B75C71" w:rsidRDefault="00F531EE" w:rsidP="001F6CDA">
      <w:pPr>
        <w:pStyle w:val="FootnoteText"/>
        <w:ind w:left="567" w:hanging="567"/>
        <w:rPr>
          <w:sz w:val="24"/>
          <w:szCs w:val="24"/>
          <w:lang w:val="sv-SE"/>
        </w:rPr>
      </w:pPr>
      <w:r w:rsidRPr="00C805EC">
        <w:rPr>
          <w:rStyle w:val="FootnoteReference"/>
          <w:sz w:val="24"/>
          <w:szCs w:val="24"/>
          <w:lang w:val="sv-SE"/>
        </w:rPr>
        <w:footnoteRef/>
      </w:r>
      <w:r w:rsidR="001F6CDA" w:rsidRPr="00C805EC">
        <w:rPr>
          <w:sz w:val="24"/>
          <w:szCs w:val="24"/>
          <w:lang w:val="sv-SE"/>
        </w:rPr>
        <w:t xml:space="preserve"> </w:t>
      </w:r>
      <w:r w:rsidR="001F6CDA" w:rsidRPr="00C805EC">
        <w:rPr>
          <w:sz w:val="24"/>
          <w:szCs w:val="24"/>
          <w:lang w:val="sv-SE"/>
        </w:rPr>
        <w:tab/>
      </w:r>
      <w:r w:rsidRPr="00C805EC">
        <w:rPr>
          <w:sz w:val="24"/>
          <w:szCs w:val="24"/>
          <w:lang w:val="sv-SE"/>
        </w:rPr>
        <w:t>EUT C 32, 27.1.2023, s. 96.</w:t>
      </w:r>
    </w:p>
  </w:footnote>
  <w:footnote w:id="6">
    <w:p w:rsidR="00F531EE" w:rsidRPr="00B75C71" w:rsidRDefault="00F531EE" w:rsidP="001F6CDA">
      <w:pPr>
        <w:pStyle w:val="FootnoteText"/>
        <w:ind w:left="567" w:hanging="567"/>
        <w:rPr>
          <w:sz w:val="24"/>
          <w:szCs w:val="24"/>
          <w:lang w:val="sv-SE"/>
        </w:rPr>
      </w:pPr>
      <w:r w:rsidRPr="00C805EC">
        <w:rPr>
          <w:rStyle w:val="FootnoteReference"/>
          <w:sz w:val="24"/>
          <w:szCs w:val="24"/>
          <w:lang w:val="sv-SE"/>
        </w:rPr>
        <w:footnoteRef/>
      </w:r>
      <w:r w:rsidR="001F6CDA" w:rsidRPr="00C805EC">
        <w:rPr>
          <w:sz w:val="24"/>
          <w:szCs w:val="24"/>
          <w:lang w:val="sv-SE"/>
        </w:rPr>
        <w:t xml:space="preserve"> </w:t>
      </w:r>
      <w:r w:rsidR="001F6CDA" w:rsidRPr="00C805EC">
        <w:rPr>
          <w:sz w:val="24"/>
          <w:szCs w:val="24"/>
          <w:lang w:val="sv-SE"/>
        </w:rPr>
        <w:tab/>
      </w:r>
      <w:r w:rsidRPr="00C805EC">
        <w:rPr>
          <w:sz w:val="24"/>
          <w:szCs w:val="24"/>
          <w:lang w:val="sv-SE"/>
        </w:rPr>
        <w:t>Kommissionens meddelande Bygga upp en ekonomi som fungerar för människor: en handlingsplan för den sociala ekonomin av den 9 december 2021 (COM</w:t>
      </w:r>
      <w:r w:rsidRPr="00B75C71">
        <w:rPr>
          <w:sz w:val="24"/>
          <w:szCs w:val="24"/>
          <w:lang w:val="sv-SE"/>
        </w:rPr>
        <w:t>(2021)0778).</w:t>
      </w:r>
    </w:p>
  </w:footnote>
  <w:footnote w:id="7">
    <w:p w:rsidR="00F531EE" w:rsidRPr="00B75C71" w:rsidRDefault="00F531EE" w:rsidP="001F6CDA">
      <w:pPr>
        <w:pStyle w:val="FootnoteText"/>
        <w:ind w:left="567" w:hanging="567"/>
        <w:rPr>
          <w:sz w:val="24"/>
          <w:szCs w:val="24"/>
          <w:lang w:val="sv-SE"/>
        </w:rPr>
      </w:pPr>
      <w:r w:rsidRPr="00C805EC">
        <w:rPr>
          <w:rStyle w:val="FootnoteReference"/>
          <w:sz w:val="24"/>
          <w:szCs w:val="24"/>
          <w:lang w:val="sv-SE"/>
        </w:rPr>
        <w:footnoteRef/>
      </w:r>
      <w:r w:rsidR="001F6CDA" w:rsidRPr="00C805EC">
        <w:rPr>
          <w:sz w:val="24"/>
          <w:szCs w:val="24"/>
          <w:lang w:val="sv-SE"/>
        </w:rPr>
        <w:t xml:space="preserve"> </w:t>
      </w:r>
      <w:r w:rsidR="001F6CDA" w:rsidRPr="00C805EC">
        <w:rPr>
          <w:sz w:val="24"/>
          <w:szCs w:val="24"/>
          <w:lang w:val="sv-SE"/>
        </w:rPr>
        <w:tab/>
      </w:r>
      <w:r w:rsidRPr="00C805EC">
        <w:rPr>
          <w:sz w:val="24"/>
          <w:szCs w:val="24"/>
          <w:lang w:val="sv-SE"/>
        </w:rPr>
        <w:t>Europaparlamentets resolution av den 10 mars 2022 om EU:s tredje handlingsplan för jämställdhet (EUT C 347, 9.9.2022, s. 150).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CD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CD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6C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SV"/>
    <w:docVar w:name="dvnumam" w:val="0"/>
    <w:docVar w:name="dvpe" w:val="753.671"/>
    <w:docVar w:name="dvrapporteur" w:val="Föredragande: "/>
    <w:docVar w:name="dvtitre" w:val="Europaparlamentets resolution av den xx xx 2024 om genomförandet av det övergripande avtalet om ekonomi och handel mellan EU och Kanada (Ceta)(2023/2001(INI))"/>
  </w:docVars>
  <w:rsids>
    <w:rsidRoot w:val="00C933FD"/>
    <w:rsid w:val="00002272"/>
    <w:rsid w:val="00064002"/>
    <w:rsid w:val="000677B9"/>
    <w:rsid w:val="000831BA"/>
    <w:rsid w:val="000A42CC"/>
    <w:rsid w:val="000E7DD9"/>
    <w:rsid w:val="0010095E"/>
    <w:rsid w:val="00125B37"/>
    <w:rsid w:val="00187494"/>
    <w:rsid w:val="001F32AE"/>
    <w:rsid w:val="001F6CDA"/>
    <w:rsid w:val="0027335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6D3"/>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2124"/>
    <w:rsid w:val="00981893"/>
    <w:rsid w:val="00A1687D"/>
    <w:rsid w:val="00A43E52"/>
    <w:rsid w:val="00A4678D"/>
    <w:rsid w:val="00A778C7"/>
    <w:rsid w:val="00AB441E"/>
    <w:rsid w:val="00AB6293"/>
    <w:rsid w:val="00AE0928"/>
    <w:rsid w:val="00AF3B82"/>
    <w:rsid w:val="00B12E95"/>
    <w:rsid w:val="00B22876"/>
    <w:rsid w:val="00B558F0"/>
    <w:rsid w:val="00B75C71"/>
    <w:rsid w:val="00BD48FE"/>
    <w:rsid w:val="00BD7BD8"/>
    <w:rsid w:val="00BE6ADC"/>
    <w:rsid w:val="00C05BFE"/>
    <w:rsid w:val="00C23CD4"/>
    <w:rsid w:val="00C61C0C"/>
    <w:rsid w:val="00C805EC"/>
    <w:rsid w:val="00C933F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56B"/>
    <w:rsid w:val="00F5134D"/>
    <w:rsid w:val="00F531E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DAAEDA"/>
  <w15:chartTrackingRefBased/>
  <w15:docId w15:val="{FA60815E-CE2B-49BD-8DA9-9DB9C3224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fn,footnote text,stile 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531EE"/>
    <w:pPr>
      <w:spacing w:after="240"/>
      <w:ind w:left="567" w:hanging="567"/>
    </w:pPr>
  </w:style>
  <w:style w:type="paragraph" w:customStyle="1" w:styleId="EPComma">
    <w:name w:val="EPComma"/>
    <w:basedOn w:val="Normal"/>
    <w:rsid w:val="00F531EE"/>
    <w:pPr>
      <w:spacing w:before="480" w:after="240"/>
    </w:pPr>
  </w:style>
  <w:style w:type="character" w:styleId="Hyperlink">
    <w:name w:val="Hyperlink"/>
    <w:basedOn w:val="DefaultParagraphFont"/>
    <w:rsid w:val="00F531EE"/>
    <w:rPr>
      <w:color w:val="0563C1" w:themeColor="hyperlink"/>
      <w:u w:val="single"/>
    </w:rPr>
  </w:style>
  <w:style w:type="character" w:customStyle="1" w:styleId="NormalHanging12aChar">
    <w:name w:val="NormalHanging12a Char"/>
    <w:basedOn w:val="DefaultParagraphFont"/>
    <w:link w:val="NormalHanging12a"/>
    <w:rsid w:val="00F531EE"/>
    <w:rPr>
      <w:sz w:val="24"/>
      <w:lang w:val="sv-SE"/>
    </w:rPr>
  </w:style>
  <w:style w:type="character" w:styleId="FollowedHyperlink">
    <w:name w:val="FollowedHyperlink"/>
    <w:basedOn w:val="DefaultParagraphFont"/>
    <w:rsid w:val="00C805EC"/>
    <w:rPr>
      <w:color w:val="954F72" w:themeColor="followedHyperlink"/>
      <w:u w:val="single"/>
    </w:rPr>
  </w:style>
  <w:style w:type="paragraph" w:styleId="BalloonText">
    <w:name w:val="Balloon Text"/>
    <w:basedOn w:val="Normal"/>
    <w:link w:val="BalloonTextChar"/>
    <w:rsid w:val="00C805EC"/>
    <w:rPr>
      <w:rFonts w:ascii="Segoe UI" w:hAnsi="Segoe UI" w:cs="Segoe UI"/>
      <w:sz w:val="18"/>
      <w:szCs w:val="18"/>
    </w:rPr>
  </w:style>
  <w:style w:type="character" w:customStyle="1" w:styleId="BalloonTextChar">
    <w:name w:val="Balloon Text Char"/>
    <w:basedOn w:val="DefaultParagraphFont"/>
    <w:link w:val="BalloonText"/>
    <w:rsid w:val="00C805EC"/>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V/TXT/?uri=CELEX:52017AP0030" TargetMode="External"/><Relationship Id="rId2" Type="http://schemas.openxmlformats.org/officeDocument/2006/relationships/hyperlink" Target="https://eur-lex.europa.eu/legal-content/EN/TXT/?uri=CELEX:22017X0114(01)" TargetMode="External"/><Relationship Id="rId1" Type="http://schemas.openxmlformats.org/officeDocument/2006/relationships/hyperlink" Target="http://data.europa.eu/eli/agree_internation/2017/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3F8FB-D80B-4F6B-8D26-72B2FE717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4050</Words>
  <Characters>23089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NETTREUS Anna</cp:lastModifiedBy>
  <cp:revision>2</cp:revision>
  <cp:lastPrinted>2004-11-19T15:42:00Z</cp:lastPrinted>
  <dcterms:created xsi:type="dcterms:W3CDTF">2024-02-25T14:49:00Z</dcterms:created>
  <dcterms:modified xsi:type="dcterms:W3CDTF">2024-02-25T14:49:00Z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P9_TA-PROV(2024)0026_A9-0400_2023_SV_r</vt:lpwstr>
  </property>
  <property fmtid="{D5CDD505-2E9C-101B-9397-08002B2CF9AE}" pid="4" name="&lt;Type&gt;">
    <vt:lpwstr>RR</vt:lpwstr>
  </property>
</Properties>
</file>