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6EF2" w14:paraId="51ABDAA1" w14:textId="77777777" w:rsidTr="0010095E">
        <w:trPr>
          <w:trHeight w:hRule="exact" w:val="1418"/>
        </w:trPr>
        <w:tc>
          <w:tcPr>
            <w:tcW w:w="6804" w:type="dxa"/>
            <w:shd w:val="clear" w:color="auto" w:fill="auto"/>
            <w:vAlign w:val="center"/>
          </w:tcPr>
          <w:p w14:paraId="4A2C88DB" w14:textId="77777777" w:rsidR="00751A4A" w:rsidRPr="00966EF2" w:rsidRDefault="000C22E2" w:rsidP="0010095E">
            <w:pPr>
              <w:pStyle w:val="EPName"/>
            </w:pPr>
            <w:bookmarkStart w:id="0" w:name="_GoBack"/>
            <w:bookmarkEnd w:id="0"/>
            <w:r w:rsidRPr="00966EF2">
              <w:t>Europa-Parlamentet</w:t>
            </w:r>
          </w:p>
          <w:p w14:paraId="298B0ED4" w14:textId="77777777" w:rsidR="00751A4A" w:rsidRPr="00966EF2" w:rsidRDefault="00817416" w:rsidP="00756632">
            <w:pPr>
              <w:pStyle w:val="EPTerm"/>
              <w:rPr>
                <w:rStyle w:val="HideTWBExt"/>
                <w:noProof w:val="0"/>
                <w:vanish w:val="0"/>
                <w:color w:val="auto"/>
              </w:rPr>
            </w:pPr>
            <w:r w:rsidRPr="00966EF2">
              <w:t>2019-2024</w:t>
            </w:r>
          </w:p>
        </w:tc>
        <w:tc>
          <w:tcPr>
            <w:tcW w:w="2268" w:type="dxa"/>
            <w:shd w:val="clear" w:color="auto" w:fill="auto"/>
          </w:tcPr>
          <w:p w14:paraId="56C4A99D" w14:textId="77777777" w:rsidR="00751A4A" w:rsidRPr="00966EF2" w:rsidRDefault="00187494" w:rsidP="0010095E">
            <w:pPr>
              <w:pStyle w:val="EPLogo"/>
            </w:pPr>
            <w:r w:rsidRPr="00966EF2">
              <w:rPr>
                <w:noProof/>
                <w:lang w:eastAsia="da-DK"/>
              </w:rPr>
              <w:drawing>
                <wp:inline distT="0" distB="0" distL="0" distR="0" wp14:anchorId="12575336" wp14:editId="3B1FFE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F3039" w14:textId="77777777" w:rsidR="00D058B8" w:rsidRPr="00966EF2" w:rsidRDefault="00D058B8" w:rsidP="004C5D52">
      <w:pPr>
        <w:pStyle w:val="LineTop"/>
      </w:pPr>
    </w:p>
    <w:p w14:paraId="1B19DD77" w14:textId="77777777" w:rsidR="00680577" w:rsidRPr="00966EF2" w:rsidRDefault="000C22E2" w:rsidP="00680577">
      <w:pPr>
        <w:pStyle w:val="EPBodyTA1"/>
      </w:pPr>
      <w:r w:rsidRPr="00966EF2">
        <w:t>VEDTAGNE TEKSTER</w:t>
      </w:r>
    </w:p>
    <w:p w14:paraId="4A51E124" w14:textId="77777777" w:rsidR="00D058B8" w:rsidRPr="00966EF2" w:rsidRDefault="00D058B8" w:rsidP="00D058B8">
      <w:pPr>
        <w:pStyle w:val="LineBottom"/>
      </w:pPr>
    </w:p>
    <w:p w14:paraId="423703C9" w14:textId="77777777" w:rsidR="000C22E2" w:rsidRPr="00966EF2" w:rsidRDefault="000C22E2" w:rsidP="000C22E2">
      <w:pPr>
        <w:pStyle w:val="ATHeading1"/>
      </w:pPr>
      <w:bookmarkStart w:id="1" w:name="TANumber"/>
      <w:r w:rsidRPr="00966EF2">
        <w:t>P9_TA(2024)00</w:t>
      </w:r>
      <w:bookmarkEnd w:id="1"/>
      <w:r w:rsidR="00885BA6">
        <w:t>27</w:t>
      </w:r>
    </w:p>
    <w:p w14:paraId="53990A76" w14:textId="77777777" w:rsidR="000C22E2" w:rsidRPr="00966EF2" w:rsidRDefault="00B72721" w:rsidP="000C22E2">
      <w:pPr>
        <w:pStyle w:val="ATHeading2"/>
      </w:pPr>
      <w:r w:rsidRPr="00B72721">
        <w:t>EU-strategien for Centralasien</w:t>
      </w:r>
    </w:p>
    <w:p w14:paraId="313345E8" w14:textId="77777777" w:rsidR="000C22E2" w:rsidRPr="00966EF2" w:rsidRDefault="000C22E2" w:rsidP="000C22E2">
      <w:pPr>
        <w:rPr>
          <w:i/>
          <w:vanish/>
        </w:rPr>
      </w:pPr>
      <w:r w:rsidRPr="00966EF2">
        <w:rPr>
          <w:i/>
        </w:rPr>
        <w:fldChar w:fldCharType="begin"/>
      </w:r>
      <w:r w:rsidRPr="00966EF2">
        <w:rPr>
          <w:i/>
        </w:rPr>
        <w:instrText xml:space="preserve"> TC"(</w:instrText>
      </w:r>
      <w:bookmarkStart w:id="2" w:name="DocNumber"/>
      <w:r w:rsidRPr="00966EF2">
        <w:rPr>
          <w:i/>
        </w:rPr>
        <w:instrText>A9-0407/2023</w:instrText>
      </w:r>
      <w:bookmarkEnd w:id="2"/>
      <w:r w:rsidRPr="00966EF2">
        <w:rPr>
          <w:i/>
        </w:rPr>
        <w:instrText xml:space="preserve"> - Ordfører: Karsten Lucke)"\l3 \n&gt; \* MERGEFORMAT </w:instrText>
      </w:r>
      <w:r w:rsidRPr="00966EF2">
        <w:rPr>
          <w:i/>
        </w:rPr>
        <w:fldChar w:fldCharType="end"/>
      </w:r>
    </w:p>
    <w:p w14:paraId="170DA47C" w14:textId="77777777" w:rsidR="000C22E2" w:rsidRPr="00966EF2" w:rsidRDefault="000C22E2" w:rsidP="000C22E2">
      <w:pPr>
        <w:rPr>
          <w:vanish/>
        </w:rPr>
      </w:pPr>
      <w:bookmarkStart w:id="3" w:name="Commission"/>
      <w:r w:rsidRPr="00966EF2">
        <w:rPr>
          <w:vanish/>
        </w:rPr>
        <w:t>Udenrigsudvalget</w:t>
      </w:r>
      <w:bookmarkEnd w:id="3"/>
    </w:p>
    <w:p w14:paraId="016BDC4D" w14:textId="77777777" w:rsidR="000C22E2" w:rsidRPr="00966EF2" w:rsidRDefault="000C22E2" w:rsidP="000C22E2">
      <w:pPr>
        <w:rPr>
          <w:vanish/>
        </w:rPr>
      </w:pPr>
      <w:bookmarkStart w:id="4" w:name="PE"/>
      <w:r w:rsidRPr="00966EF2">
        <w:rPr>
          <w:vanish/>
        </w:rPr>
        <w:t>PE752.889</w:t>
      </w:r>
      <w:bookmarkEnd w:id="4"/>
    </w:p>
    <w:p w14:paraId="21EF32BE" w14:textId="77777777" w:rsidR="000C22E2" w:rsidRPr="00966EF2" w:rsidRDefault="000C22E2" w:rsidP="000C22E2">
      <w:pPr>
        <w:pStyle w:val="ATHeading3"/>
      </w:pPr>
      <w:bookmarkStart w:id="5" w:name="Sujet"/>
      <w:r w:rsidRPr="00966EF2">
        <w:t xml:space="preserve">Europa-Parlamentets beslutning af </w:t>
      </w:r>
      <w:r w:rsidR="00EA3077">
        <w:t>17</w:t>
      </w:r>
      <w:r w:rsidRPr="00966EF2">
        <w:t>.</w:t>
      </w:r>
      <w:r w:rsidR="00B72721">
        <w:t xml:space="preserve"> januar</w:t>
      </w:r>
      <w:r w:rsidRPr="00966EF2">
        <w:t xml:space="preserve"> 2024 om EU-strategien for Centralasien</w:t>
      </w:r>
      <w:bookmarkEnd w:id="5"/>
      <w:r w:rsidRPr="00966EF2">
        <w:t xml:space="preserve"> </w:t>
      </w:r>
      <w:bookmarkStart w:id="6" w:name="References"/>
      <w:r w:rsidRPr="00966EF2">
        <w:t>(2023/2106(INI))</w:t>
      </w:r>
      <w:bookmarkEnd w:id="6"/>
    </w:p>
    <w:p w14:paraId="707A6269" w14:textId="77777777" w:rsidR="00B72721" w:rsidRPr="00966EF2" w:rsidRDefault="00B72721" w:rsidP="00604C58">
      <w:pPr>
        <w:pStyle w:val="EPComma"/>
      </w:pPr>
      <w:bookmarkStart w:id="7" w:name="TextBodyBegin"/>
      <w:bookmarkEnd w:id="7"/>
      <w:r w:rsidRPr="00AB0418">
        <w:rPr>
          <w:rStyle w:val="Italic"/>
        </w:rPr>
        <w:t>Europa-Parlamentet,</w:t>
      </w:r>
    </w:p>
    <w:p w14:paraId="221E551D" w14:textId="77777777" w:rsidR="002167FF" w:rsidRPr="00966EF2" w:rsidRDefault="004B317E" w:rsidP="002167FF">
      <w:pPr>
        <w:pStyle w:val="NormalHanging12a"/>
      </w:pPr>
      <w:r w:rsidRPr="00966EF2">
        <w:t>–</w:t>
      </w:r>
      <w:r w:rsidR="002167FF" w:rsidRPr="00966EF2">
        <w:tab/>
        <w:t>der henviser til den fælles meddelelse af 15. maj 2019 fra Kommissionen og Unionens højtstående repræsentant for udenrigsanliggender og sikkerhedspolitik med titlen "EU og Centralasien: Nye muligheder for et stærkere partnerskab" (JOIN(2019)0009),</w:t>
      </w:r>
    </w:p>
    <w:p w14:paraId="00B3F841" w14:textId="77777777" w:rsidR="002167FF" w:rsidRPr="00966EF2" w:rsidRDefault="002167FF" w:rsidP="002167FF">
      <w:pPr>
        <w:pStyle w:val="NormalHanging12a"/>
      </w:pPr>
      <w:r w:rsidRPr="00966EF2">
        <w:t>–</w:t>
      </w:r>
      <w:r w:rsidRPr="00966EF2">
        <w:tab/>
        <w:t>der henviser til Rådets konklusioner af 17. juni 2019 vedrørende den nye EU-strategi for Centralasien,</w:t>
      </w:r>
    </w:p>
    <w:p w14:paraId="13478A5E" w14:textId="77777777" w:rsidR="002167FF" w:rsidRPr="00966EF2" w:rsidRDefault="002167FF" w:rsidP="002167FF">
      <w:pPr>
        <w:pStyle w:val="NormalHanging12a"/>
      </w:pPr>
      <w:r w:rsidRPr="00966EF2">
        <w:t>–</w:t>
      </w:r>
      <w:r w:rsidRPr="00966EF2">
        <w:tab/>
        <w:t>der henviser til den fælles meddelelse af 19. september 2018 fra Kommissionen og Unionens højtstående repræsentant for udenrigsanliggender og sikkerhedspolitik med titlen "Styrkede forbindelser mellem Europa og Asien – byggesten til en EU-strategi" (JOIN(2018)0031),</w:t>
      </w:r>
    </w:p>
    <w:p w14:paraId="3A93E6D5" w14:textId="77777777" w:rsidR="002167FF" w:rsidRPr="00966EF2" w:rsidRDefault="002167FF" w:rsidP="002167FF">
      <w:pPr>
        <w:pStyle w:val="NormalHanging12a"/>
      </w:pPr>
      <w:r w:rsidRPr="00966EF2">
        <w:t>–</w:t>
      </w:r>
      <w:r w:rsidRPr="00966EF2">
        <w:tab/>
        <w:t>der henviser til den fælles meddelelse af 1. december 2021 fra Kommissionen og Unionens højtstående repræsentant for udenrigsanliggender og sikkerhedspolitik med titlen "Global Gateway" (JOIN(2021)0030),</w:t>
      </w:r>
    </w:p>
    <w:p w14:paraId="570B3E93" w14:textId="77777777" w:rsidR="002167FF" w:rsidRPr="00966EF2" w:rsidRDefault="002167FF" w:rsidP="002167FF">
      <w:pPr>
        <w:pStyle w:val="NormalHanging12a"/>
      </w:pPr>
      <w:r w:rsidRPr="00966EF2">
        <w:t>–</w:t>
      </w:r>
      <w:r w:rsidRPr="00966EF2">
        <w:tab/>
        <w:t>der henviser til resultaterne af det 18. udenrigsministermøde mellem EU og Centralasien den 17. november 2022 i Samarkand, som fokuserede på at finde løsninger på fælles udfordringer,</w:t>
      </w:r>
    </w:p>
    <w:p w14:paraId="656C709B" w14:textId="77777777" w:rsidR="002167FF" w:rsidRPr="00966EF2" w:rsidRDefault="002167FF" w:rsidP="002167FF">
      <w:pPr>
        <w:pStyle w:val="NormalHanging12a"/>
      </w:pPr>
      <w:r w:rsidRPr="00966EF2">
        <w:t>–</w:t>
      </w:r>
      <w:r w:rsidRPr="00966EF2">
        <w:tab/>
        <w:t>der henviser til den fælles pressemeddelelse fra stats- og regeringscheferne fra Centralasien og Det Europæiske Råds formand, der blev udsendt efter det andet regionale møde på højt plan i Cholpon-Ata den 2. juni 2023,</w:t>
      </w:r>
    </w:p>
    <w:p w14:paraId="0C28D708" w14:textId="77777777" w:rsidR="002167FF" w:rsidRPr="00966EF2" w:rsidRDefault="002167FF" w:rsidP="002167FF">
      <w:pPr>
        <w:pStyle w:val="NormalHanging12a"/>
      </w:pPr>
      <w:r w:rsidRPr="00966EF2">
        <w:t>–</w:t>
      </w:r>
      <w:r w:rsidRPr="00966EF2">
        <w:tab/>
        <w:t>der henviser til den udvidede partnerskabs- og samarbejdsaftalen mellem Den Europæiske Union og dens medlemsstater på den ene side og Republikken Kasakhstan på den anden side</w:t>
      </w:r>
      <w:r w:rsidRPr="00966EF2">
        <w:rPr>
          <w:rStyle w:val="FootnoteReference"/>
        </w:rPr>
        <w:footnoteReference w:id="1"/>
      </w:r>
      <w:r w:rsidRPr="00966EF2">
        <w:t>,</w:t>
      </w:r>
    </w:p>
    <w:p w14:paraId="15CE16E4" w14:textId="77777777" w:rsidR="002167FF" w:rsidRPr="00966EF2" w:rsidRDefault="002167FF" w:rsidP="002167FF">
      <w:pPr>
        <w:pStyle w:val="NormalHanging12a"/>
      </w:pPr>
      <w:r w:rsidRPr="00966EF2">
        <w:lastRenderedPageBreak/>
        <w:t>–</w:t>
      </w:r>
      <w:r w:rsidRPr="00966EF2">
        <w:tab/>
        <w:t>der henviser til partnerskabs- og samarbejdsaftalen om oprettelse af et partnerskab mellem De Europæiske Fællesskaber og deres medlemsstater på den ene side og Den Kirgisiske Republik på den anden side</w:t>
      </w:r>
      <w:r w:rsidRPr="00966EF2">
        <w:rPr>
          <w:rStyle w:val="FootnoteReference"/>
        </w:rPr>
        <w:footnoteReference w:id="2"/>
      </w:r>
      <w:r w:rsidRPr="00966EF2">
        <w:t>,</w:t>
      </w:r>
    </w:p>
    <w:p w14:paraId="1E50D929" w14:textId="77777777" w:rsidR="002167FF" w:rsidRPr="00966EF2" w:rsidRDefault="002167FF" w:rsidP="002167FF">
      <w:pPr>
        <w:pStyle w:val="NormalHanging12a"/>
      </w:pPr>
      <w:r w:rsidRPr="00966EF2">
        <w:t>–</w:t>
      </w:r>
      <w:r w:rsidRPr="00966EF2">
        <w:tab/>
        <w:t>der henviser til Kommissionens forslag af 13. juni 2022 til Rådets afgørelse om indgåelse på Den Europæiske Unions vegne af den udvidede partnerskabs- og samarbejdsaftale mellem Den Europæiske Union på den ene side og Den Kirgisiske Republik på den anden side (COM(2022)0277),</w:t>
      </w:r>
    </w:p>
    <w:p w14:paraId="1EA7B371" w14:textId="77777777" w:rsidR="002167FF" w:rsidRPr="00966EF2" w:rsidRDefault="002167FF" w:rsidP="002167FF">
      <w:pPr>
        <w:pStyle w:val="NormalHanging12a"/>
      </w:pPr>
      <w:r w:rsidRPr="00966EF2">
        <w:t>–</w:t>
      </w:r>
      <w:r w:rsidRPr="00966EF2">
        <w:tab/>
        <w:t>der henviser til partnerskabs- og samarbejdsaftalen om oprettelse af et partnerskab mellem De Europæiske Fællesskaber og deres medlemsstater på den ene side og Republikken Tadsjikistan på den anden side</w:t>
      </w:r>
      <w:r w:rsidRPr="00966EF2">
        <w:rPr>
          <w:rStyle w:val="FootnoteReference"/>
        </w:rPr>
        <w:footnoteReference w:id="3"/>
      </w:r>
      <w:r w:rsidRPr="00966EF2">
        <w:t>,</w:t>
      </w:r>
    </w:p>
    <w:p w14:paraId="229BBCB6" w14:textId="77777777" w:rsidR="002167FF" w:rsidRPr="00966EF2" w:rsidRDefault="002167FF" w:rsidP="002167FF">
      <w:pPr>
        <w:pStyle w:val="NormalHanging12a"/>
      </w:pPr>
      <w:r w:rsidRPr="00966EF2">
        <w:t>–</w:t>
      </w:r>
      <w:r w:rsidRPr="00966EF2">
        <w:tab/>
        <w:t>der henviser til partnerskabs- og samarbejdsaftalen om oprettelse af et partnerskab mellem De Europæiske Fællesskaber og deres medlemsstater på den ene side og Republikken Usbekistan på den anden side</w:t>
      </w:r>
      <w:r w:rsidRPr="00966EF2">
        <w:rPr>
          <w:rStyle w:val="FootnoteReference"/>
        </w:rPr>
        <w:footnoteReference w:id="4"/>
      </w:r>
      <w:r w:rsidRPr="00966EF2">
        <w:t>,</w:t>
      </w:r>
    </w:p>
    <w:p w14:paraId="4BA3509B" w14:textId="77777777" w:rsidR="002167FF" w:rsidRPr="00966EF2" w:rsidRDefault="002167FF" w:rsidP="002167FF">
      <w:pPr>
        <w:pStyle w:val="NormalHanging12a"/>
      </w:pPr>
      <w:r w:rsidRPr="00966EF2">
        <w:t>–</w:t>
      </w:r>
      <w:r w:rsidRPr="00966EF2">
        <w:tab/>
        <w:t>der henviser til resultaterne af konferencen om konnektivitet mellem Den Europæiske Union og Centralasien, der blev afholdt den 18. november 2022, det andet økonomiske forum mellem EU og Centralasien, der blev afholdt den 18.-19. maj 2023, det fjerde civilsamfundsforum mellem EU og Centralasien den 10. marts 2023 og den syvende konference på højt plan mellem EU og Centralasien om miljø og vandressourcer, der blev afholdt den 23.-24. februar 2023,</w:t>
      </w:r>
    </w:p>
    <w:p w14:paraId="535836E1" w14:textId="77777777" w:rsidR="002167FF" w:rsidRPr="00966EF2" w:rsidRDefault="002167FF" w:rsidP="002167FF">
      <w:pPr>
        <w:pStyle w:val="NormalHanging12a"/>
      </w:pPr>
      <w:r w:rsidRPr="00966EF2">
        <w:t>–</w:t>
      </w:r>
      <w:r w:rsidRPr="00966EF2">
        <w:tab/>
        <w:t>der henviser til det EU-finansierede studie med titlen "Sustainable Transport links between Europe and Central Asia", som blev gennemført af Den Europæiske Bank for Genopbygning og Udvikling og offentliggjort den 30. juni 2023,</w:t>
      </w:r>
    </w:p>
    <w:p w14:paraId="7A3E3724" w14:textId="77777777" w:rsidR="002167FF" w:rsidRPr="00966EF2" w:rsidRDefault="002167FF" w:rsidP="002167FF">
      <w:pPr>
        <w:pStyle w:val="NormalHanging12a"/>
      </w:pPr>
      <w:r w:rsidRPr="00966EF2">
        <w:t>–</w:t>
      </w:r>
      <w:r w:rsidRPr="00966EF2">
        <w:tab/>
        <w:t>der henviser til aftalememorandummet mellem EU og Kasakhstan om et strategisk partnerskab inden for råstoffer, batterier og vedvarende brint, der blev undertegnet den 7. november 2022,</w:t>
      </w:r>
    </w:p>
    <w:p w14:paraId="3FD66560" w14:textId="77777777" w:rsidR="002167FF" w:rsidRPr="00966EF2" w:rsidRDefault="002167FF" w:rsidP="002167FF">
      <w:pPr>
        <w:pStyle w:val="NormalHanging12a"/>
      </w:pPr>
      <w:r w:rsidRPr="00966EF2">
        <w:t>–</w:t>
      </w:r>
      <w:r w:rsidRPr="00966EF2">
        <w:tab/>
        <w:t>der henviser til resultaterne af menneskerettighedsdialogerne med de centralasiatiske stater,</w:t>
      </w:r>
    </w:p>
    <w:p w14:paraId="1EFBF31C" w14:textId="77777777" w:rsidR="002167FF" w:rsidRPr="00966EF2" w:rsidRDefault="002167FF" w:rsidP="002167FF">
      <w:pPr>
        <w:pStyle w:val="NormalHanging12a"/>
      </w:pPr>
      <w:r w:rsidRPr="00966EF2">
        <w:t>–</w:t>
      </w:r>
      <w:r w:rsidRPr="00966EF2">
        <w:tab/>
        <w:t>der henviser til Den fælles køreplan med henblik på at uddybe forbindelserne mellem EU og Centralasien, der blev godkendt på det 19. udenrigsministermødet mellem EU og Centralasien den 23. oktober 2023.</w:t>
      </w:r>
    </w:p>
    <w:p w14:paraId="42AA4DD7" w14:textId="77777777" w:rsidR="002167FF" w:rsidRPr="00966EF2" w:rsidRDefault="002167FF" w:rsidP="002167FF">
      <w:pPr>
        <w:pStyle w:val="NormalHanging12a"/>
      </w:pPr>
      <w:r w:rsidRPr="00966EF2">
        <w:t>–</w:t>
      </w:r>
      <w:r w:rsidRPr="00966EF2">
        <w:tab/>
        <w:t>der henviser til fælleserklæringen fra de centralasiatiske statschefer og den tyske forbundskansler efter deres topmøde den 29. september 2023 i Berlin,</w:t>
      </w:r>
    </w:p>
    <w:p w14:paraId="1A7914B0" w14:textId="77777777" w:rsidR="002167FF" w:rsidRPr="00966EF2" w:rsidRDefault="002167FF" w:rsidP="002167FF">
      <w:pPr>
        <w:pStyle w:val="NormalHanging12a"/>
      </w:pPr>
      <w:r w:rsidRPr="00966EF2">
        <w:t>–</w:t>
      </w:r>
      <w:r w:rsidRPr="00966EF2">
        <w:tab/>
        <w:t>der henviser til sine tidligere beslutninger om Kasakhstan, Kirgisistan, Tadsjikistan, Turkmenistan og Usbekistan,</w:t>
      </w:r>
    </w:p>
    <w:p w14:paraId="321B66C6" w14:textId="77777777" w:rsidR="002167FF" w:rsidRPr="00966EF2" w:rsidRDefault="002167FF" w:rsidP="002167FF">
      <w:pPr>
        <w:pStyle w:val="NormalHanging12a"/>
      </w:pPr>
      <w:r w:rsidRPr="00966EF2">
        <w:t>–</w:t>
      </w:r>
      <w:r w:rsidRPr="00966EF2">
        <w:tab/>
        <w:t>der henviser til EU's kønshandlingsplan III 2021-2025,</w:t>
      </w:r>
    </w:p>
    <w:p w14:paraId="604294AB" w14:textId="77777777" w:rsidR="002167FF" w:rsidRPr="00966EF2" w:rsidRDefault="002167FF" w:rsidP="002167FF">
      <w:pPr>
        <w:pStyle w:val="NormalHanging12a"/>
        <w:rPr>
          <w:b/>
          <w:i/>
        </w:rPr>
      </w:pPr>
      <w:r w:rsidRPr="00966EF2">
        <w:rPr>
          <w:b/>
          <w:i/>
        </w:rPr>
        <w:t>–</w:t>
      </w:r>
      <w:r w:rsidRPr="00966EF2">
        <w:rPr>
          <w:b/>
          <w:i/>
        </w:rPr>
        <w:tab/>
      </w:r>
      <w:r w:rsidRPr="00966EF2">
        <w:t xml:space="preserve">der henviser til sin beslutning af 23. oktober 2020 om ligestilling mellem kønnene i </w:t>
      </w:r>
      <w:r w:rsidRPr="00966EF2">
        <w:lastRenderedPageBreak/>
        <w:t>EU's udenrigs- og sikkerhedspolitik</w:t>
      </w:r>
      <w:r w:rsidRPr="00966EF2">
        <w:rPr>
          <w:vertAlign w:val="superscript"/>
        </w:rPr>
        <w:footnoteReference w:id="5"/>
      </w:r>
      <w:r w:rsidRPr="00966EF2">
        <w:t>,</w:t>
      </w:r>
    </w:p>
    <w:p w14:paraId="754E3CAF" w14:textId="77777777" w:rsidR="002167FF" w:rsidRPr="00966EF2" w:rsidRDefault="002167FF" w:rsidP="002167FF">
      <w:pPr>
        <w:pStyle w:val="NormalHanging12a"/>
      </w:pPr>
      <w:r w:rsidRPr="00966EF2">
        <w:t>–</w:t>
      </w:r>
      <w:r w:rsidRPr="00966EF2">
        <w:tab/>
        <w:t>der henviser til forretningsordenens artikel 54,</w:t>
      </w:r>
    </w:p>
    <w:p w14:paraId="557AFA3D" w14:textId="77777777" w:rsidR="002167FF" w:rsidRPr="00966EF2" w:rsidRDefault="002167FF" w:rsidP="002167FF">
      <w:pPr>
        <w:pStyle w:val="NormalHanging12a"/>
      </w:pPr>
      <w:r w:rsidRPr="00966EF2">
        <w:t>–</w:t>
      </w:r>
      <w:r w:rsidRPr="00966EF2">
        <w:tab/>
        <w:t>der henviser til betænkningen fra Udenrigsudvalget (A9-0407/2023),</w:t>
      </w:r>
    </w:p>
    <w:p w14:paraId="69DEC8F4" w14:textId="77777777" w:rsidR="002167FF" w:rsidRPr="00966EF2" w:rsidRDefault="002167FF" w:rsidP="002167FF">
      <w:pPr>
        <w:pStyle w:val="NormalHanging12a"/>
      </w:pPr>
      <w:r w:rsidRPr="00966EF2">
        <w:t>A.</w:t>
      </w:r>
      <w:r w:rsidRPr="00966EF2">
        <w:tab/>
        <w:t>der henviser til, at regionen siden vedtagelsen af EU-strategien for Centralasien i 2019 er blevet påvirket af betydelige eksterne faktorer såsom Ruslands ulovlige angrebskrig mod Ukraine, Talibans overtagelse af Afghanistan og Kinas stadigt mere selvhævdende udenrigspolitik samt af intern ustabilitet, navnlig den voldelige uro i Kasakhstan i januar 2022, den voldelige undertrykkelse efter protesterne fra pamirierne i det autonome område Gorno-Badakhshan i Tadsjikistan i november 2021 og maj 2022 og i Republikken Karakalpakstan i Usbekistan i juli 2022 og gentagne sammenstød ved grænsen mellem Kirgisistan og Tadsjikistan,</w:t>
      </w:r>
    </w:p>
    <w:p w14:paraId="22D02DD5" w14:textId="77777777" w:rsidR="002167FF" w:rsidRPr="00966EF2" w:rsidRDefault="002167FF" w:rsidP="002167FF">
      <w:pPr>
        <w:pStyle w:val="NormalHanging12a"/>
      </w:pPr>
      <w:r w:rsidRPr="00966EF2">
        <w:t>B.</w:t>
      </w:r>
      <w:r w:rsidRPr="00966EF2">
        <w:tab/>
        <w:t>der henviser til, at Centralasien er en region af strategisk interesse for EU med hensyn til sikkerhed og konnektivitet samt energi- og ressourcediversificering, konfliktløsning og forsvaret af den multilaterale regelbaserede international orden, som er blevet udfordret af Ruslands angreb på vores værdier, forværringen af den globale fødevarekrise, aggression og grusomheder, spredningen af desinformation, våbengjort korruption og valgindblanding;</w:t>
      </w:r>
    </w:p>
    <w:p w14:paraId="277AFB27" w14:textId="77777777" w:rsidR="002167FF" w:rsidRPr="00966EF2" w:rsidRDefault="002167FF" w:rsidP="002167FF">
      <w:pPr>
        <w:pStyle w:val="NormalHanging12a"/>
      </w:pPr>
      <w:r w:rsidRPr="00966EF2">
        <w:t>C.</w:t>
      </w:r>
      <w:r w:rsidRPr="00966EF2">
        <w:tab/>
        <w:t>der henviser til, at ingen af de centralasiatiske stater støttede Ruslands invasion af Ukraine og ikke anerkender, de ukrainske områder, som er annekteret af Rusland, som en del af Den Russiske Føderation;</w:t>
      </w:r>
    </w:p>
    <w:p w14:paraId="3401D88B" w14:textId="77777777" w:rsidR="002167FF" w:rsidRPr="00966EF2" w:rsidRDefault="002167FF" w:rsidP="002167FF">
      <w:pPr>
        <w:pStyle w:val="NormalHanging12a"/>
      </w:pPr>
      <w:r w:rsidRPr="00966EF2">
        <w:t>D.</w:t>
      </w:r>
      <w:r w:rsidRPr="00966EF2">
        <w:tab/>
        <w:t>der henviser til, at EU's særlige udsending for sanktioner den 28. marts 2023 opfordrede landene i området til at undgå at bistå Moskvas forsøg på at omgå sanktioner, som Rusland er pålagt på grund af dets angrebskrig mod Ukraine;</w:t>
      </w:r>
    </w:p>
    <w:p w14:paraId="45DD0A03" w14:textId="77777777" w:rsidR="002167FF" w:rsidRPr="00966EF2" w:rsidRDefault="002167FF" w:rsidP="002167FF">
      <w:pPr>
        <w:pStyle w:val="NormalHanging12a"/>
      </w:pPr>
      <w:r w:rsidRPr="00966EF2">
        <w:t>E.</w:t>
      </w:r>
      <w:r w:rsidRPr="00966EF2">
        <w:tab/>
        <w:t>der henviser til, at russiske embedsfolk og propagandister fortsat bruger aggressiv retorik mod centralasiatiske stater, navnlig over for Kasakhstan, og stiller spørgsmål ved landets territoriale integritet og nationale identitet;</w:t>
      </w:r>
    </w:p>
    <w:p w14:paraId="4BD5F3CC" w14:textId="77777777" w:rsidR="002167FF" w:rsidRPr="00966EF2" w:rsidRDefault="002167FF" w:rsidP="002167FF">
      <w:pPr>
        <w:pStyle w:val="NormalHanging12a"/>
      </w:pPr>
      <w:r w:rsidRPr="00966EF2">
        <w:t>F.</w:t>
      </w:r>
      <w:r w:rsidRPr="00966EF2">
        <w:tab/>
        <w:t>der henviser til, at omstændigheder såsom Ruslands isolation på grund af landets angrebskrig mod Ukraine, styrkelsen af handelsruter igennem Centralasien uden om Rusland, den planlagte udvidelse af EU i Østeuropa og Kinas stigende indflydelse i regionen kræver, at EU's strategi for Centralasien genovervejes helt, og at det demokratiske EU er mere aktivt til stede i området som et alternativ til etablerede autokratiske aktører;</w:t>
      </w:r>
    </w:p>
    <w:p w14:paraId="69F6C9B9" w14:textId="77777777" w:rsidR="002167FF" w:rsidRPr="00966EF2" w:rsidRDefault="002167FF" w:rsidP="002167FF">
      <w:pPr>
        <w:pStyle w:val="NormalHanging12a"/>
      </w:pPr>
      <w:r w:rsidRPr="00966EF2">
        <w:t>G.</w:t>
      </w:r>
      <w:r w:rsidRPr="00966EF2">
        <w:tab/>
        <w:t>der henviser til, at det er nødvendigt at sikre konnektiviteten mellem Europa og Asien på en måde, som ikke løber gennem russisk område; der henviser til, at EU har stor interesse i, at der oprettes kommercielle korridorer og energikorridorer mellem Europa og Asien, hvilket understreges af konferencen om konnektivitet mellem Den Europæiske Union og Centralasien, som fandt sted i Samarkand den 18. november 2022;</w:t>
      </w:r>
    </w:p>
    <w:p w14:paraId="3BA5BEA2" w14:textId="77777777" w:rsidR="002167FF" w:rsidRPr="00966EF2" w:rsidRDefault="002167FF" w:rsidP="002167FF">
      <w:pPr>
        <w:pStyle w:val="NormalHanging12a"/>
      </w:pPr>
      <w:r w:rsidRPr="00966EF2">
        <w:t>H.</w:t>
      </w:r>
      <w:r w:rsidRPr="00966EF2">
        <w:tab/>
        <w:t xml:space="preserve">der henviser til, at alle fem centralasiatiske stater ratificerede Parisaftalen; der henviser til, at de er særligt sårbare over for konsekvenserne af klimaforandringer; der henviser </w:t>
      </w:r>
      <w:r w:rsidRPr="00966EF2">
        <w:lastRenderedPageBreak/>
        <w:t xml:space="preserve">til, at uforsvarlig vandforvaltning og forurening af store floder til kunstvanding af bomuldsmarker resulterer i ineffektiv anvendelse og udnyttelse af vandressourcer i området; der henviser til, at gletsjere i Centralasien fortsætter med hurtigt at skrumpe og forværrer derved en af de mest alvorlige vandkriser på jordkloden og udsætter den sårbare befolkning i området for katastrofale sundhedsmæssige, økologiske og sociale problemer; der henviser til, at hyppige vandkonflikter og politisk ustabilitet har hindret samlet planlægning og effektiv fordeling af grænseoverskridende floder; der henviser til, at de geopolitiske ændringer i området generelt byder på muligheder for mere meningsfyldt regionalt samarbejde; der henviser til, at sådant regionalt samarbejde har vist sig at være virkningsfuldt i forbindelse med vanddiplomati, og løsning af grænsestridigheder vil blive endnu vigtigere for at tackle de stigende grænseoverskridende trusler på grund af klimaforandringer; </w:t>
      </w:r>
    </w:p>
    <w:p w14:paraId="608F336D" w14:textId="77777777" w:rsidR="002167FF" w:rsidRPr="00966EF2" w:rsidRDefault="002167FF" w:rsidP="002167FF">
      <w:pPr>
        <w:pStyle w:val="NormalHanging12a"/>
      </w:pPr>
      <w:r w:rsidRPr="00966EF2">
        <w:t>I.</w:t>
      </w:r>
      <w:r w:rsidRPr="00966EF2">
        <w:tab/>
        <w:t xml:space="preserve">der henviser til, at udvidede partnerskabs- og samarbejdsaftaler (udvidet PSA) er en ny generation af aftaler, der er hjørnestenen i EU's engagement i Centralasien; der henviser til, at Kasakhstan var det første centralasiatiske land, som undertegnede en udvidet PSA i 2015, der trådte i kraft den 1. marts 2020 efter aftalens ratificering af alle medlemsstater og bør revurderes regelmæssigt; der henviser til, at forhandling om den udvidede PSA mellem EU og Kirgisistan blev afsluttet den 6. juli 2019, men at aftalen endnu ikke er undertegnet som følge af en retstvist mellem Rådet og Kommissionen; der henviser til, at forhandling om den udvidede PSA mellem EU og Usbekistan blev afsluttet den 6. juli 2022; der henviser til, at EU og Tadsjikistan i begyndelsen af 2023 indledte forhandlinger om en udvidet PSA; der henviser til, at der blev undertegnet en partnerskabs- og samarbejdsaftale (PSA) med Turkmenistan i 1998, men at Europa-Parlamentet ikke har givet samtykke til at ratificere aftalen på grund af Europa-Parlamentets store bekymring over de kortsigtede benchmarks for Turkmenistans status for menneskerettigheder og grundlæggende frihedsrettigheder; </w:t>
      </w:r>
    </w:p>
    <w:p w14:paraId="70B4CFFC" w14:textId="77777777" w:rsidR="002167FF" w:rsidRPr="00966EF2" w:rsidRDefault="002167FF" w:rsidP="002167FF">
      <w:pPr>
        <w:pStyle w:val="NormalHanging12a"/>
        <w:rPr>
          <w:bCs/>
        </w:rPr>
      </w:pPr>
      <w:r w:rsidRPr="00966EF2">
        <w:t>J.</w:t>
      </w:r>
      <w:r w:rsidRPr="00966EF2">
        <w:tab/>
        <w:t>der henviser til, at det første møde mellem EU's og de centralasiatiske ledere fandt sted i Astana den 27. oktober 2022 efterfulgt af et andet sådant møde i Cholpon-Ata den 2. juni 2023, der henviser til, at der er planlagt et topmøde mellem lederne i 2024, der henviser til, at disse møder udgør en yderligere institutionalisering af forbindelserne mellem EU og Centralasien og supplerer arbejdet i eksisterende regionale dialoger og platforme;</w:t>
      </w:r>
    </w:p>
    <w:p w14:paraId="639BEC42" w14:textId="77777777" w:rsidR="002167FF" w:rsidRPr="00966EF2" w:rsidRDefault="002167FF" w:rsidP="002167FF">
      <w:pPr>
        <w:pStyle w:val="NormalHanging12a"/>
      </w:pPr>
      <w:r w:rsidRPr="00966EF2">
        <w:t>K.</w:t>
      </w:r>
      <w:r w:rsidRPr="00966EF2">
        <w:tab/>
        <w:t>der henviser til, at det første C5+1-topmøde mellem Centralasiens ledere og USA's præsident blev holdt i New York den 19. september 2023; der henviser til, at C5+Tyskland-topmødet fandt sted i Berlin den 29. september 2023;</w:t>
      </w:r>
    </w:p>
    <w:p w14:paraId="6FC3879A" w14:textId="77777777" w:rsidR="002167FF" w:rsidRPr="00966EF2" w:rsidRDefault="002167FF" w:rsidP="002167FF">
      <w:pPr>
        <w:pStyle w:val="NormalHanging12a"/>
        <w:rPr>
          <w:bCs/>
        </w:rPr>
      </w:pPr>
      <w:r w:rsidRPr="00966EF2">
        <w:t>L.</w:t>
      </w:r>
      <w:r w:rsidRPr="00966EF2">
        <w:tab/>
        <w:t xml:space="preserve">der henviser til, at alle fem centralasiatiske lande scorer lavt og stadigt ringere på demokrati, og at de klassificeres som autoritære styrer samt anses for at være "ikke fri" af Freedom House i deres Freedom in the World-rapport fra 2023; der henviser til, at det internationale pressefrihedsindeks (World Press Freedom Index) for 2023 melder om en markant forværring af situationen for pressefrihed i Centralasien, og det gennemsnitlige pointtal for Centralasien i korruptionsindekset for 2022 var langt under det globale gennemsnit; der henviser til, at der ifølge Reporters Without Borders er adskillige sager, hvor centralasiatiske myndigheder lægger pres på landenes medier for at dække Ruslands invasion af Ukraine på en "neutral" måde eller helt ignorere det; </w:t>
      </w:r>
    </w:p>
    <w:p w14:paraId="3B3600CD" w14:textId="77777777" w:rsidR="002167FF" w:rsidRPr="00966EF2" w:rsidRDefault="002167FF" w:rsidP="002167FF">
      <w:pPr>
        <w:pStyle w:val="NormalHanging12a"/>
        <w:rPr>
          <w:b/>
          <w:i/>
        </w:rPr>
      </w:pPr>
      <w:r w:rsidRPr="00966EF2">
        <w:t>M.</w:t>
      </w:r>
      <w:r w:rsidRPr="00966EF2">
        <w:tab/>
        <w:t xml:space="preserve">der henviser til, at Europa-Parlamentets udenrigsudvalg besøgte Tadsjikistan og Usbekistan den 21.-25. februar 2022 og Kasakhstan og Kirgisistan den 21.-25. august </w:t>
      </w:r>
      <w:r w:rsidRPr="00966EF2">
        <w:lastRenderedPageBreak/>
        <w:t>2023; der henviser til, at dets delegation til De Parlamentariske Samarbejdsudvalg EU-Kasakhstan, EU-Kirgisistan, EU-Usbekistan og EU-Tadsjikistan og for Forbindelserne med Turkmenistan og Mongoliet opretholder interparlamentariske relationer regelmæssigt med de centralasiatiske lande;</w:t>
      </w:r>
    </w:p>
    <w:p w14:paraId="21C99B01" w14:textId="77777777" w:rsidR="002167FF" w:rsidRPr="00966EF2" w:rsidRDefault="002167FF" w:rsidP="002167FF">
      <w:pPr>
        <w:pStyle w:val="NormalHanging12a"/>
        <w:rPr>
          <w:b/>
          <w:i/>
        </w:rPr>
      </w:pPr>
      <w:r w:rsidRPr="00966EF2">
        <w:t>N.</w:t>
      </w:r>
      <w:r w:rsidRPr="00966EF2">
        <w:tab/>
        <w:t>der henviser til, at der i Centralasien er velbegrundet frygt for radikalisering, voksende ekstremisme og en terrortrussel med et meget stort antal tidligere ISIS-krigere, som vender tilbage til området, og en alvorlig sikkerhedssituation i Afghanistan;</w:t>
      </w:r>
    </w:p>
    <w:p w14:paraId="4E4C49BB" w14:textId="77777777" w:rsidR="002167FF" w:rsidRPr="00966EF2" w:rsidRDefault="002167FF" w:rsidP="002167FF">
      <w:pPr>
        <w:pStyle w:val="NormalHanging12a"/>
        <w:rPr>
          <w:b/>
          <w:i/>
        </w:rPr>
      </w:pPr>
      <w:r w:rsidRPr="00966EF2">
        <w:t>O.</w:t>
      </w:r>
      <w:r w:rsidRPr="00966EF2">
        <w:tab/>
        <w:t>der henviser til, at kvinder og piger i Centralasien fortsat er i meget stor risiko for overgreb, navnlig fordi vold mod kvinder i høj grad accepteres, og der er ringe opmærksomhed på kønsstereotyper;</w:t>
      </w:r>
    </w:p>
    <w:p w14:paraId="5FB57900" w14:textId="77777777" w:rsidR="002167FF" w:rsidRPr="00966EF2" w:rsidRDefault="002167FF" w:rsidP="002167FF">
      <w:pPr>
        <w:pStyle w:val="NormalHanging12a"/>
      </w:pPr>
      <w:r w:rsidRPr="00966EF2">
        <w:t>P.</w:t>
      </w:r>
      <w:r w:rsidRPr="00966EF2">
        <w:tab/>
        <w:t>der henviser til, at børneægteskaber fortsat er udbredt i Centralasien, navnlig i Kirgisistan og Tadsjikistan, hvor en ud af otte piger bliver gift inden 18-årsalderen;</w:t>
      </w:r>
    </w:p>
    <w:p w14:paraId="4FEFEEAF" w14:textId="77777777" w:rsidR="002167FF" w:rsidRPr="00966EF2" w:rsidRDefault="002167FF" w:rsidP="002167FF">
      <w:pPr>
        <w:pStyle w:val="NormalHanging12a"/>
        <w:rPr>
          <w:bCs/>
        </w:rPr>
      </w:pPr>
      <w:r w:rsidRPr="00966EF2">
        <w:rPr>
          <w:rStyle w:val="BoldItalic"/>
        </w:rPr>
        <w:t>EU's engagement i Centralasien</w:t>
      </w:r>
    </w:p>
    <w:p w14:paraId="42A488D0" w14:textId="77777777" w:rsidR="002167FF" w:rsidRPr="00966EF2" w:rsidRDefault="002167FF" w:rsidP="002167FF">
      <w:pPr>
        <w:pStyle w:val="NormalHanging12a"/>
      </w:pPr>
      <w:r w:rsidRPr="00966EF2">
        <w:t>1.</w:t>
      </w:r>
      <w:r w:rsidRPr="00966EF2">
        <w:tab/>
        <w:t>understreger, at EU og Centralasien står over for gennemgribende globale og regionale geopolitiske forandringer og udfordringer, som giver dem betydelig fremdrift til at arbejde for langsigtet, struktureret og gensidigt fordelagtigt samarbejde i anliggender af fælles interesse; opfordrer kraftigt EU til at intensivere sit engagement i Centralasien, henset til regionens geostrategiske betydning, og til at fremme et strategisk partnerskab med disse lande ved at udvide samarbejdet på politisk og økonomisk plan; glæder sig over den øgede kontakt på højt plan mellem EU og Centralasien, navnlig møderne mellem de centralasiatiske statschefer og formanden for Det Europæiske Råd, og det arbejde, der udføres af EU's særlige repræsentant for Centralasien; opfordrer til opfølgning på alle disse møder på højt plan og erklæringer med konkrete tiltag; glæder sig i denne forbindelse over, at det første topmøde mellem EU og Centralasien er planlagt til afholdelse i 2024, og godkendelsen af Den fælles køreplan med henblik på at uddybe forbindelserne mellem EU og Centralasien, der fungerer som en strategisk plan for at fremme dialog og samarbejde på specifikke områder, herunder opbygning af kulturel, social og økonomisk robusthed; opfordrer EU til fortsat at fremme politiske og økonomiske reformer, der styrker retsstatsprincippet, demokratiet, god regeringsførelse og respekten for menneskerettighederne; noterer sig, at Parlamentet er parat til at fremme parlamentarisk samarbejde med Centralasien;</w:t>
      </w:r>
    </w:p>
    <w:p w14:paraId="3D217A37" w14:textId="77777777" w:rsidR="002167FF" w:rsidRPr="00966EF2" w:rsidRDefault="002167FF" w:rsidP="002167FF">
      <w:pPr>
        <w:pStyle w:val="NormalHanging12a"/>
      </w:pPr>
      <w:r w:rsidRPr="00966EF2">
        <w:t>2.</w:t>
      </w:r>
      <w:r w:rsidRPr="00966EF2">
        <w:tab/>
        <w:t xml:space="preserve">bemærker, at Ruslands angrebskrig mod Ukraine og dets stadigt mere nationalistiske narrativer har svækket Ruslands position i regionen og har tilskyndet Centralasien til at fortsætte samarbejdet med andre aktører, og at disse aktører har intensiveret deres samarbejde med Centralasien; noterer sig desuden Kinas engagement i området; understreger, at EU nu har mulighed for at udvide sine bånd til Centralasien og spille en mere fremtrædende rolle i regionen; understreger, at EU bør udnytte denne mulighed for at fremme gensidigt fordelagtigt samarbejde og tilbyde Centralasien et partnerskab, som kan blive et særligt spor i en bredere strategi over for EU's østlige naboer; mener, at en styrkelse af dette samarbejde også vil bidrage til at udligne Ruslands indflydelse i regionen; </w:t>
      </w:r>
    </w:p>
    <w:p w14:paraId="485A63FA" w14:textId="77777777" w:rsidR="002167FF" w:rsidRPr="00966EF2" w:rsidRDefault="002167FF" w:rsidP="002167FF">
      <w:pPr>
        <w:pStyle w:val="NormalHanging12a"/>
      </w:pPr>
      <w:r w:rsidRPr="00966EF2">
        <w:t>3.</w:t>
      </w:r>
      <w:r w:rsidRPr="00966EF2">
        <w:tab/>
        <w:t xml:space="preserve">understreger vigtigheden af transatlantisk samarbejde om Centralasien og opfordrer EU til at tage initiativ til at udarbejde en fælles strategi for Centralasien sammen med USA, hvilket bør omfatte samarbejde inden for fremme af demokrati, investeringer og handel, </w:t>
      </w:r>
      <w:r w:rsidRPr="00966EF2">
        <w:lastRenderedPageBreak/>
        <w:t>økonomi og regional sikkerhed;</w:t>
      </w:r>
    </w:p>
    <w:p w14:paraId="4EBA390C" w14:textId="77777777" w:rsidR="002167FF" w:rsidRPr="00966EF2" w:rsidRDefault="002167FF" w:rsidP="002167FF">
      <w:pPr>
        <w:pStyle w:val="NormalHanging12a"/>
      </w:pPr>
      <w:r w:rsidRPr="00966EF2">
        <w:t>4.</w:t>
      </w:r>
      <w:r w:rsidRPr="00966EF2">
        <w:tab/>
        <w:t>gentager EU's forpligtende indsats for at samarbejde med landene i Centralasien om fred, sikkerhed, stabilitet, velstand og bæredygtig udvikling med fuld respekt for folkeret og principperne for overholdelse af alle landes uafhængighed, suverænitet og territoriale integritet, undladelse af magtanvendelse eller trussel herom og fredelig bilæggelse af internationale tvister;</w:t>
      </w:r>
    </w:p>
    <w:p w14:paraId="592B6949" w14:textId="77777777" w:rsidR="002167FF" w:rsidRPr="00966EF2" w:rsidRDefault="002167FF" w:rsidP="002167FF">
      <w:pPr>
        <w:pStyle w:val="NormalHanging12a"/>
      </w:pPr>
      <w:r w:rsidRPr="00966EF2">
        <w:t>5.</w:t>
      </w:r>
      <w:r w:rsidRPr="00966EF2">
        <w:tab/>
        <w:t>afviser enhver forsøg på at fremme eller på nogen måde bistå international anerkendelse af løsrivelsesenheden i den besatte del af Cypern, navnlig i relation til dens påståede anerkendelse som observatør for Organization of Turkic States; opfordrer de relevante centralasiatiske stater til reelt at opretholde respekten for principperne for suverænitet og territorial integritet for alle stater og til ikke at ratificere den ændrede statut for Organization of Turkic States, hvilket ville medføre ikrafttrædelse af beslutningen om at tildele observatørstatus;</w:t>
      </w:r>
    </w:p>
    <w:p w14:paraId="7172ECE2" w14:textId="77777777" w:rsidR="002167FF" w:rsidRPr="00966EF2" w:rsidRDefault="002167FF" w:rsidP="002167FF">
      <w:pPr>
        <w:pStyle w:val="NormalHanging12a"/>
      </w:pPr>
      <w:r w:rsidRPr="00966EF2">
        <w:t>6.</w:t>
      </w:r>
      <w:r w:rsidRPr="00966EF2">
        <w:tab/>
        <w:t>anerkender, at Ruslands angrebskrig mod Ukraine og dens konsekvenser indebærer både udfordringer og muligheder for centralasiatiske stater, som traditionelt har opretholdt tætte forbindelser med Rusland; understreger EU's interesse i styrkede økonomiske forbindelser og forstærkede politiske bånd med landene i Centralasien delvist for at mindske omgåelse af sanktioner mod Rusland og Belarus; understreger betydningen af fortsat tæt udveksling om sanktioner og opfordrer myndighederne i de centralasiatiske stater, navnlig Kasakhstan, Kirgisistan og Usbekistan, til at arbejde tæt sammen med EU, navnlig dets udsending til gennemførelse af sanktioner med henblik på at intensivere indsatsen for at undgå omgåelse af sanktionerne; fordømmer Ruslands fremgangsmåde med at rekruttere centralasiatiske migranter og borgere til at kæmpe i Ukraine og støtter tiltag til at stoppe dette; noterer sig de centralasiatiske staters individuelle bestræbelser på at sikre, at deres territorier ikke anvendes til at omgå EU's sanktioner og glæder sig over Kasakhstans administrative foranstaltninger og politiske indsats på højt plan i denne henseende; opfordrer EU til at anvende en differentieret tilgang i sin strategi for Centralasien, hvorved omfanget af samarbejde med EU om sanktionspolitikken over for Rusland vil blive vurderet; noterer sig den rolle, som medlemsstaterne selv spiller for at sikre, at eksportvarer, der formentlig stadig vil nå frem til Rusland via Centralasien, gennemgår de relevante forebyggende kontroller;</w:t>
      </w:r>
    </w:p>
    <w:p w14:paraId="60F6925C" w14:textId="77777777" w:rsidR="002167FF" w:rsidRPr="00966EF2" w:rsidRDefault="002167FF" w:rsidP="002167FF">
      <w:pPr>
        <w:pStyle w:val="NormalHanging12a"/>
      </w:pPr>
      <w:r w:rsidRPr="00966EF2">
        <w:t>7.</w:t>
      </w:r>
      <w:r w:rsidRPr="00966EF2">
        <w:tab/>
        <w:t xml:space="preserve">mener, at en revision af EU-strategien for Centralasien er nødvendig for at opdatere den i lyset af de geopolitiske hændelser, der har fundet sted i de seneste år; gentager den centrale rolle, som de udvidede partnerskabs- og samarbejdsaftaler spiller som ramme for samarbejdet med de centralasiatiske stater; bemærker med bekymring, at den udvidede partnerskabs- og samarbejdsaftale med Kirgisistan, hvis forhandlinger blev afsluttet i 2019, endnu ikke er undertegnet; opfordrer Rådet og Kommissionen til snarest at fremskynde de igangværende forhandlinger om en udvidet PSA med Tadsjikistan og at løse de udestående spørgsmål og undertegne de udvidede partnerskabs- og samarbejdsaftaler med Kirgisistan og Usbekistan uden yderligere forsinkelse, således at Parlamentet kan udøve sine beføjelser med hensyn til ratificeringen af disse aftaler; understreger, at manglende undertegnelse af sådanne aftaler efter afslutningen af forhandlingerne rejser tvivl om EU's troværdighed som global aktør; </w:t>
      </w:r>
    </w:p>
    <w:p w14:paraId="6E59C1CA" w14:textId="77777777" w:rsidR="002167FF" w:rsidRPr="00966EF2" w:rsidRDefault="002167FF" w:rsidP="002167FF">
      <w:pPr>
        <w:pStyle w:val="NormalHanging12a"/>
      </w:pPr>
      <w:r w:rsidRPr="00966EF2">
        <w:t>8.</w:t>
      </w:r>
      <w:r w:rsidRPr="00966EF2">
        <w:tab/>
        <w:t xml:space="preserve">noterer sig, at de udvidede PSA'er med de centralasiatiske stater, som er forhandlet hidtil, lægger en stor vægt på respekten for demokratiske principper, </w:t>
      </w:r>
      <w:r w:rsidRPr="00966EF2">
        <w:lastRenderedPageBreak/>
        <w:t xml:space="preserve">menneskerettigheder og retsstatsprincippet; understreger vigtigheden af at integrere menneskerettigheder, demokratiske værdier, ligestilling mellem kønnene, frie medier og den grønne omstilling i interaktioner med regeringer i Centralasien; </w:t>
      </w:r>
    </w:p>
    <w:p w14:paraId="046C5195" w14:textId="77777777" w:rsidR="002167FF" w:rsidRPr="00966EF2" w:rsidRDefault="002167FF" w:rsidP="002167FF">
      <w:pPr>
        <w:pStyle w:val="Normal12a24b"/>
      </w:pPr>
      <w:r w:rsidRPr="00966EF2">
        <w:rPr>
          <w:rStyle w:val="BoldItalic"/>
        </w:rPr>
        <w:t>Regionalt samarbejde</w:t>
      </w:r>
    </w:p>
    <w:p w14:paraId="4A826385" w14:textId="77777777" w:rsidR="002167FF" w:rsidRPr="00966EF2" w:rsidRDefault="002167FF" w:rsidP="002167FF">
      <w:pPr>
        <w:pStyle w:val="NormalHanging12a"/>
      </w:pPr>
      <w:r w:rsidRPr="00966EF2">
        <w:t>9.</w:t>
      </w:r>
      <w:r w:rsidRPr="00966EF2">
        <w:tab/>
        <w:t>understreger det store potentiale i et gensidigt fordelagtigt samarbejde om bæredygtig udvikling, konnektivitet, energi, kritiske råstoffer og sikkerhed, hvor Centralasien er en central region for konnektivitet mellem øst og vest; minder i denne forbindelse om de store geopolitiske konsekvenser af Ruslands angrebskrig mod Ukraine, som har genoplivet den transkaspiske transportrute (midterkorridoren) ikke blot som en regional økonomisk zone, men også som en alternativ og bæredygtig rute mellem Asien og Europa, som ikke løber gennem russisk territorium; minder om, at Den Nye Eurasiske Landbro passerer igennem sanktionspålagt russisk og belarusisk territorium; understreger vigtigheden af at fremme regional integration langs den transkaspiske transportrute (midterkorridoren), og bemærker, at det for at tiltrække stærkt tiltrængt finansiering til infrastrukturprojekter under Global Gateway kræver, at de flaskehalse, der er identificeret i et studie foretaget af Den Europæiske Bank for Genopbygning og Udvikling, fjernes; opfordrer Kommissionen til at undersøge muligheden for Den Europæiske Investeringsbanks støtte til investeringer i infrastrukturudvikling i de centralasiatiske stater, navnlig i den midterste korridor;</w:t>
      </w:r>
    </w:p>
    <w:p w14:paraId="0730CD78" w14:textId="77777777" w:rsidR="002167FF" w:rsidRPr="00966EF2" w:rsidRDefault="002167FF" w:rsidP="002167FF">
      <w:pPr>
        <w:pStyle w:val="NormalHanging12a"/>
      </w:pPr>
      <w:r w:rsidRPr="00966EF2">
        <w:t>10.</w:t>
      </w:r>
      <w:r w:rsidRPr="00966EF2">
        <w:tab/>
        <w:t xml:space="preserve">mener, at EU's politik over for Centralasien inden for energi, konnektivitet og ressourcediversificering bør være inspireret af den europæiske grønne pagt og baseret på gensidigt fordelagtige strategiske partnerskaber, der tager højde for de særlige forhold i de enkelte centralasiatiske stater og sikrer dem adgang til moderne teknologier og kvalitetsjob og samtidig garanterer sikker og konkurrencedygtig adgang til råstoffer og energi for EU; er i denne henseende bekymret over, at der opstår afhængighed af Rusland som et resultat af undertegnelsen af naturgasaftalen mellem Gazprom og Usbekistan igennem Kasakhstan; </w:t>
      </w:r>
    </w:p>
    <w:p w14:paraId="76473A80" w14:textId="77777777" w:rsidR="002167FF" w:rsidRPr="00966EF2" w:rsidRDefault="002167FF" w:rsidP="002167FF">
      <w:pPr>
        <w:pStyle w:val="NormalHanging12a"/>
      </w:pPr>
      <w:r w:rsidRPr="00966EF2">
        <w:t>11.</w:t>
      </w:r>
      <w:r w:rsidRPr="00966EF2">
        <w:tab/>
        <w:t xml:space="preserve">noterer sig EU's afgørende rolle med hensyn til at finansiere Centralasiens sektorreformer og forbedre dets energieffektivitet og reducere dets drivhusgasemissioner; glæder sig over lanceringen af Sustainable Energy Connectivity in Central Asia-projektet (SECCA) i 2022 og ser frem til, at det vil få en positiv indvirkning med hensyn til at styrke national politik for omstilling til et bæredygtigt energisystem og øge investeringer, kapacitet og kendskabet til vedvarende energi og energieffektivitet i området; </w:t>
      </w:r>
    </w:p>
    <w:p w14:paraId="259C2C66" w14:textId="77777777" w:rsidR="002167FF" w:rsidRPr="00966EF2" w:rsidRDefault="002167FF" w:rsidP="002167FF">
      <w:pPr>
        <w:pStyle w:val="NormalHanging12a"/>
      </w:pPr>
      <w:r w:rsidRPr="00966EF2">
        <w:t>12.</w:t>
      </w:r>
      <w:r w:rsidRPr="00966EF2">
        <w:tab/>
        <w:t xml:space="preserve">understreger betydningen af et positivt investeringsklima med henblik på den økonomiske udvikling af handelen og samarbejdet i Centralasien og mellem EU og Centralasien; fremhæver, at et positivt investeringsklima, der fører til oprettelsen af arbejdspladser af høj kvalitet med passende lønninger og anstændige arbejdsforhold, afhænger af stabile demokratiske institutioner, respekt for menneskerettighederne og retsstaten samt erhvervslivets og civilsamfundets kapacitet til at udvise fornøden omhu; </w:t>
      </w:r>
    </w:p>
    <w:p w14:paraId="73600E1B" w14:textId="77777777" w:rsidR="002167FF" w:rsidRPr="00966EF2" w:rsidRDefault="002167FF" w:rsidP="002167FF">
      <w:pPr>
        <w:pStyle w:val="NormalHanging12a"/>
      </w:pPr>
      <w:r w:rsidRPr="00966EF2">
        <w:t>13.</w:t>
      </w:r>
      <w:r w:rsidRPr="00966EF2">
        <w:tab/>
        <w:t xml:space="preserve">noterer sig, med undtagelse af Tadsjikistan, de centralasiatiske staters mangeårige tilgang med at fastholde forbindelser med Afghanistan og deres pragmatiske engagement, der er under udvikling, med Taleban, som de ikke desto mindre ikke anerkender, siden overtagelsen i 2021; understreger, at landene i regionen, navnlig Pakistan og Kina, men også de centralasiatiske stater spiller en central rolle med hensyn </w:t>
      </w:r>
      <w:r w:rsidRPr="00966EF2">
        <w:lastRenderedPageBreak/>
        <w:t>til at sikre stabilitet i Afghanistan gennem levering af humanitær bistand, elektricitet, handelsmuligheder og fælles konnektivitetsprojekter; opfordrer EU's særlige udsending for Afghanistan til fortsat at arbejde tæt sammen med modparter i de centralasiatiske stater som led i dialogen mellem EU og Centralasien om Afghanistan; anerkender, at Centralasien er et afgørende område for at dæmme op for religiøs ekstremisme, terrorisme og narkotikahandel og står over for et øget migrationspres som følge af den igangværende humanitære krise i Afghanistan; gentager sin vrede over Talibans behandling af kvinder som ringere end andenrangsborgere og opfordrer EU-Udenrigstjenesten og EU's særlige udsending i Afghanistan til at samarbejde med Turkmenistan, Usbekistan og Tadsjikistan om at hjælpe kvinder, der forsøger at flygte fra Afghanistan;</w:t>
      </w:r>
    </w:p>
    <w:p w14:paraId="470A25D5" w14:textId="77777777" w:rsidR="002167FF" w:rsidRPr="00966EF2" w:rsidRDefault="002167FF" w:rsidP="002167FF">
      <w:pPr>
        <w:pStyle w:val="NormalHanging12a"/>
      </w:pPr>
      <w:r w:rsidRPr="00966EF2">
        <w:t>14.</w:t>
      </w:r>
      <w:r w:rsidRPr="00966EF2">
        <w:tab/>
        <w:t>fremhæver EU's rolle som en vigtig donor af bistand til regionen; understreger betydningen af at anlægge en fælles tilgang som Team Europe, da dette gør det muligt at skabe synergier og maksimere virkningen af de trufne foranstaltninger og viser fordelene ved multilateralt samarbejde og samler de bedste værktøjer og partnere såsom civilsamfundsorganisationer, menneskerettighedsforkæmpere, uafhængige medier og eksperter samt den offentlige og private sektor med henblik på at opnå den ønskede virkning; understreger behovet for at sikre synligheden af EU's bistand og investeringer og opfordrer til, at EU-bistand og budgetstøtte til centralasiatiske stater knyttes til konkrete benchmarks for fremskridt med demokratiske reformer, menneskerettighedsbeskyttelse, retsstaten og bæredygtig udvikling; understreger betydningen af et koordineret samarbejde med andre partnere og internationale organisationer for at kunne opnå synergier og undgå dobbeltarbejde;</w:t>
      </w:r>
    </w:p>
    <w:p w14:paraId="6B5A3850" w14:textId="77777777" w:rsidR="002167FF" w:rsidRPr="00966EF2" w:rsidRDefault="002167FF" w:rsidP="002167FF">
      <w:pPr>
        <w:pStyle w:val="NormalHanging12a"/>
      </w:pPr>
      <w:r w:rsidRPr="00966EF2">
        <w:t>15.</w:t>
      </w:r>
      <w:r w:rsidRPr="00966EF2">
        <w:tab/>
        <w:t>bemærker, at klimaændringer, en voksende befolkning og økonomiske behov lægger et stigende pres på vandressourcerne i Centralasien; understreger behovet for et tættere regionalt samarbejde på dette område mellem opstrøms og nedstrøms lande for at forebygge konflikter om distribution og anvendelse af vandressourcer; glæder sig over regionale platforme såsom Den Internationale Fond for Bevaring af Aralsøen, som tilskynder til dialog og samarbejde mellem centralasiatiske stater; minder om, at miljødialogen mellem EU og Centralasien blev etableret for at støtte stabiliseringen af Aralsøen og fremme en bedre forvaltning af vandressourcerne; opfordrer til at gennemføre Parisaftalen om klimaændringer og er parat til at tilbyde ekspertise og samarbejde for at opnå dette;</w:t>
      </w:r>
    </w:p>
    <w:p w14:paraId="7F2F5064" w14:textId="77777777" w:rsidR="002167FF" w:rsidRPr="00966EF2" w:rsidRDefault="002167FF" w:rsidP="002167FF">
      <w:pPr>
        <w:pStyle w:val="NormalHanging12a"/>
      </w:pPr>
      <w:r w:rsidRPr="00966EF2">
        <w:t>16.</w:t>
      </w:r>
      <w:r w:rsidRPr="00966EF2">
        <w:tab/>
        <w:t>fremhæver, at løse konflikter, herunder vedrørende vanddistribution, i overensstemmelse med folkeretten og i tråd med gode naboskabsrelationer, hvor brugen af magt eller trusler herom for enhver pris undgås, er afgørende for at opnå langsigtet regional stabilitet og nå målene for bæredygtig udvikling; understreger vigtigheden af en grænsedragning i de omstridte grænseområder mellem Tadsjikistan og Kirgisistan for at forhindre yderligere militære sammenstød mellem de to lande og glæder sig over de skridt, som begge parter har taget i den henseende; gentager EU's tilbud om at støtte en fredelig løsning af konflikten gennem teknisk bistand og tillidsopbyggende foranstaltninger; glæder sig over, at problemet med grænsedragningen mellem Kirgisistan og Usbekistan blev løst i januar 2023; gentager, at EU tilslutter sig ikkespredning af masseødelæggelsesvåben i området;</w:t>
      </w:r>
    </w:p>
    <w:p w14:paraId="552C0BEE" w14:textId="77777777" w:rsidR="002167FF" w:rsidRPr="00966EF2" w:rsidRDefault="002167FF" w:rsidP="002167FF">
      <w:pPr>
        <w:pStyle w:val="Normal12a24b"/>
      </w:pPr>
      <w:r w:rsidRPr="00966EF2">
        <w:rPr>
          <w:rStyle w:val="BoldItalic"/>
        </w:rPr>
        <w:t xml:space="preserve">Demokrati og menneskerettigheder </w:t>
      </w:r>
    </w:p>
    <w:p w14:paraId="15D29031" w14:textId="77777777" w:rsidR="002167FF" w:rsidRPr="00966EF2" w:rsidRDefault="002167FF" w:rsidP="002167FF">
      <w:pPr>
        <w:pStyle w:val="NormalHanging12a"/>
      </w:pPr>
      <w:r w:rsidRPr="00966EF2">
        <w:lastRenderedPageBreak/>
        <w:t>17.</w:t>
      </w:r>
      <w:r w:rsidRPr="00966EF2">
        <w:tab/>
        <w:t>insisterer på, at respekten for menneskerettighederne og overholdelsen af internationale forpligtelser er vigtige for EU's forbindelser med Centralasien; opfordrer de centralasiatiske stater til at overholde deres forpligtelser med hensyn til demokrati og menneskerettigheder og bemærker, at dette også er i overensstemmelse med partnerskabs- og samarbejdsaftalerne og den generelle toldpræferenceordning Plus; fremhæver betydningen af at opretholde regelmæssige menneskerettighedsdialoger med de centralasiatiske stater, da disse dialoger er et instrument til at fremme respekten for menneskerettighederne og de grundlæggende frihedsrettigheder og politisk pluralisme og et forum til at rejse spørgsmål, der giver anledning til bekymring; opfordrer EU-delegationerne og medlemsstaternes repræsentationer i Centralasien til fortsat at spille en aktiv rolle i overvågningen af situationen på stedet, samarbejde med menneskerettighedsforkæmpere og reagere på menneskerettighedskrænkelser og politisk motiveret forfølgelse, herunder ved at deltage i retssager og besøge politiske fanger; tilskynder til at samarbejde med FN's traktatorganer og særlige procedurer samt i multilaterale menneskerettighedsfora såsom FN's Menneskerettighedsråd;</w:t>
      </w:r>
    </w:p>
    <w:p w14:paraId="49F25C66" w14:textId="77777777" w:rsidR="002167FF" w:rsidRPr="00966EF2" w:rsidRDefault="002167FF" w:rsidP="002167FF">
      <w:pPr>
        <w:pStyle w:val="NormalHanging12a"/>
      </w:pPr>
      <w:r w:rsidRPr="00966EF2">
        <w:t>18.</w:t>
      </w:r>
      <w:r w:rsidRPr="00966EF2">
        <w:tab/>
        <w:t>er bekymret over, at de ansvarlige for grove og omfattende krænkelser af menneskerettighederne ikke bliver stillet til regnskab, herunder myndighedernes anvendelse af barske metoder til at stoppe masseprotester og efterfølgende uro i forbindelse med den såkaldte "blodige mandag" i Kasakhstan og i den selvstyrende region Gorno-Badakhshan i Tadsjikistan samt i Republikken Karakalpakstan i Usbekistan; opfordrer myndighederne i alle fem centralasiatiske stater til at træffe effektive foranstaltninger til iværksættelse af en uafhængig og grundig efterforskning af alle påstande om tortur og mishandling og andre grove overtrædelser af menneskerettighederne og forhindre, at politi og sikkerhedsstyrker anvender overdreven magt og tortur; opfordrer regeringerne i de centralasiatiske stater til at gennemføre retsreformer med henblik på at sikre større uafhængighed og gennemsigtighed;</w:t>
      </w:r>
    </w:p>
    <w:p w14:paraId="71CFA286" w14:textId="77777777" w:rsidR="002167FF" w:rsidRPr="00966EF2" w:rsidRDefault="002167FF" w:rsidP="002167FF">
      <w:pPr>
        <w:pStyle w:val="NormalHanging12a"/>
      </w:pPr>
      <w:r w:rsidRPr="00966EF2">
        <w:t>19.</w:t>
      </w:r>
      <w:r w:rsidRPr="00966EF2">
        <w:tab/>
        <w:t>understreger de grundlæggende demokratiske mangler i Centralasien med hensyn til demokratisk regeringsførelse, retsstaten og menneskerettighedsbeskyttelse, som fortsat eksisterer og i den seneste tid er blevet forværret; understreger behovet for at gøre afviklingen af valg mere gennemsigtig, åben og retfærdig for alle politiske aktører; fremhæver den vigtige rolle, som civilsamfundet kan spille med hensyn til at støtte og fremme demokratiske reformer, god regeringsførelse og menneskerettighedsbeskyttelse i Centralasien; beklager den restriktive tilgang, der er valgt i lovgivningsinitiativer vedrørende ikkestatslige organisationer og medierne, og som mindsker spillerummet for civilsamfundets aktiviteter; opfordrer de centralasiatiske stater til at tage meningsfulde skridt til at afhjælpe disse mangler, gennemføre relevante konventioner fra Den Internationale Arbejdsorganisation og sikre overholdelsen af deres internationale forpligtelser med hensyn til demokratisk regeringsførelse og menneskerettighedsbeskyttelse, idet det bemærkes, at de har forpligtet sig hertil i partnerskabs- og samarbejdsaftalerne med EU, i de udvidede PSA'er og i EU's GSP Plus; bemærker, at de centralasiatiske stater har unge og dynamiske befolkninger, som bør have mulighed for at blive inddraget på meningsfuld vis i udformningen af deres landes fremtid; glæder sig over aktiviteterne i civilsamfundsforummet mellem EU og Centralasien og opfordrer EU til at øge sin støtte til civilsamfundet;</w:t>
      </w:r>
    </w:p>
    <w:p w14:paraId="459AD6FB" w14:textId="77777777" w:rsidR="002167FF" w:rsidRPr="00966EF2" w:rsidRDefault="002167FF" w:rsidP="002167FF">
      <w:pPr>
        <w:pStyle w:val="NormalHanging12a"/>
      </w:pPr>
      <w:r w:rsidRPr="00966EF2">
        <w:t>20.</w:t>
      </w:r>
      <w:r w:rsidRPr="00966EF2">
        <w:tab/>
        <w:t xml:space="preserve">bemærker behovet for at styrke Centralasiens modstandsdygtighed over for desinformation ved at fremme uafhængige medier og indhold på lokale sprog, øge mediekendskabet og tilrettelægge målrettede kurser for lokale journalister; understreger behovet for at styrke mediernes uafhængighed og pluralisme og ytringsfrihed i </w:t>
      </w:r>
      <w:r w:rsidRPr="00966EF2">
        <w:lastRenderedPageBreak/>
        <w:t>Centralasien i tråd med de højeste demokratiske standarder; opfordrer til at sikre større gennemsigtighed i medieejerskaber og i finansieringen med henblik på at styrke mediernes uafhængighed og mediepluralismen; beklager, at centralasiatiske myndigheder har udnyttet bekæmpelsen af desinformation til at begrænse den legitime udøvelse af ytringsfriheden, herunder ved at anklage dem, der taler højt om korruption, uretfærdighed og statsligt misbrug af påstået spredning af "falske" oplysninger, der tilskynder til "konflikt" og fremmer "ekstremisme"; er bekymret over det stigende antal anholdelser af journalister og bloggere og over truslerne mod at lukke uafhængige medier; insisterer på, at respekten for journalisters, uafhængige bloggeres, menneskerettighedsforkæmperes og borgerrets- og miljøaktivisters rettigheder skal sikres, at de beskyttes mod chikane, pres og trusler, at alle angreb på dem skal efterforskes, og at alle, som uretmæssigt er tilbageholdt eller fængslet, straks og ubetinget løslades; fordømmer antallet af nyere regeringsinitiativer, der har til formål at lukke uafhængige medietjenester og blokere adgangen til deres websteder i Tadsjikistan og Kirgisistan, samt det udkast til medielovgivning, der i øjeblikket behandles i Kirgisistan og Kasakhstan, og som truer med at øge statslig kontrol over medieoperationer;</w:t>
      </w:r>
    </w:p>
    <w:p w14:paraId="60362F07" w14:textId="77777777" w:rsidR="002167FF" w:rsidRPr="00966EF2" w:rsidRDefault="002167FF" w:rsidP="002167FF">
      <w:pPr>
        <w:pStyle w:val="NormalHanging12a"/>
      </w:pPr>
      <w:r w:rsidRPr="00966EF2">
        <w:t>21.</w:t>
      </w:r>
      <w:r w:rsidRPr="00966EF2">
        <w:tab/>
        <w:t>opfordrer myndighederne i Centralasien til at løslade alle politiske fanger; opfordrer særligt myndighederne i Kasakhstan til at løslade: Aigerim Tleuzhan, Marat Zhylanbayev, Bekizhan Mendygaziyev, Timur Danebayev, Kairat Klyshev; opfordrer myndighederne i Kirgisistan til at løslade: Azimbek Beknazarov, Aibek Buzurmankulov, Aidanbek Akmatov, Temir Makhmudov, Marat Bayazov; opfordrer myndighederne i Usbekistan til at løslade: Dauletmurat Tazhimuratov, Allabai Tokymbetov, Nurlan Naiypov, Amirbek Adilbekov; opfordrer myndighederne i Tadsjikistan til at løslade: Faromuz Irgashov, Ulfatkhonim Mamadshoeva, Khursand Mamadshoev, Khushruz Djumaev; opfordrer myndighederne i Turkmenistan til at løslade: Omruzak Omarkuliev, Murat Dushemov, Murat Ovezov, Mansur Mingelov, Nurgeldy Khalykov;</w:t>
      </w:r>
    </w:p>
    <w:p w14:paraId="19B70333" w14:textId="77777777" w:rsidR="002167FF" w:rsidRPr="00966EF2" w:rsidRDefault="002167FF" w:rsidP="002167FF">
      <w:pPr>
        <w:pStyle w:val="NormalHanging12a"/>
      </w:pPr>
      <w:r w:rsidRPr="00966EF2">
        <w:t>22.</w:t>
      </w:r>
      <w:r w:rsidRPr="00966EF2">
        <w:tab/>
        <w:t>er bekymret over, at selv om ligestilling mellem kønnene angiveligt er beskyttet ved lov i alle landene, er kønsbaseret vold, vold i hjemmet, børneægteskaber, forskelsbehandling og chikane af etniske og religiøse mindretal og LGTBIQ-personer stadig udbredt i Centralasien; opfordrer de centralasiatiske regeringerer til at forhindre disse krænkelser af menneskerettighederne gennem passende love, uddannelseskampagner og foranstaltninger, herunder forbedring af offentligt ansattes, navnlig politibetjentes, indsigt og kvalifikationer, styrkelse af civilsamfundsorganisationers kapacitet til at forsvare lovgivningsændringer, forbedring af akutte støttetjenester til overlevende og oplysningstiltag med henblik på at bekæmpe stereotyper og fremme ligestilling i samfundet; udtrykker bekymring over, at LGBTIQ-personer fortsat kriminaliseres, at der mangler basal lovgivning til bekæmpelse af forskelsbehandling i de fleste lande, at korrigerende voldtægt anvendes mod lesbiske, og at der mangler sikre steder, hvor LGBTIQ-personer kan samles, da der foretages razziaer på barer og sociale steder, og politivold er udbredt; understreger, at enhver EU-strategi for Centralasien skal være i overensstemmelse med EU's kønshandlingsplan III;</w:t>
      </w:r>
    </w:p>
    <w:p w14:paraId="1D028556" w14:textId="77777777" w:rsidR="002167FF" w:rsidRPr="00966EF2" w:rsidRDefault="002167FF" w:rsidP="002167FF">
      <w:pPr>
        <w:pStyle w:val="NormalHanging12a"/>
      </w:pPr>
      <w:r w:rsidRPr="00966EF2">
        <w:t>23.</w:t>
      </w:r>
      <w:r w:rsidRPr="00966EF2">
        <w:tab/>
        <w:t xml:space="preserve">gentager sin bekymring over omsiggribende korruption og kleptokrati i Centralasien, som nedbryder tilliden til staten, giver næring til ulighed, frarøver borgerne offentlige tjenester og bremser den økonomiske vækst; opfordrer de centralasiatiske regeringer til at træffe foranstaltninger, der rækker ud over den omfattende korruptionsbekæmpelsesretorik, og til omsider at påtage sig at bekæmpe korruption og </w:t>
      </w:r>
      <w:r w:rsidRPr="00966EF2">
        <w:lastRenderedPageBreak/>
        <w:t>kleptokrati og at vedtage nationale strategier med fokus på en integreret tilgang til forebyggelse og bekæmpelse af korruption samt at øge gennemsigtigheden og adgangen til oplysninger og begrænse privat indflydelse;</w:t>
      </w:r>
    </w:p>
    <w:p w14:paraId="04C1E480" w14:textId="77777777" w:rsidR="002167FF" w:rsidRPr="00966EF2" w:rsidRDefault="002167FF" w:rsidP="002167FF">
      <w:pPr>
        <w:pStyle w:val="NormalHanging12a"/>
      </w:pPr>
      <w:r w:rsidRPr="00966EF2">
        <w:t>24.</w:t>
      </w:r>
      <w:r w:rsidRPr="00966EF2">
        <w:tab/>
        <w:t>understreger, at EU bør udnytte sit positive image i Centralasien ved at engagere sig i mere kulturelt og offentligt diplomati; går ind for at styrke båndene og øge mulighederne for samarbejde mellem europæiske og centralasiatiske institutioner og fremme mellemfolkelig kontakt og mobilitet, tilbyde muligheder inden for uddannelse og videnskab, såsom uddannelsesudveksling gennem programmerne Erasmus+ og Horisont 2020 og øge bæredygtig turismen;</w:t>
      </w:r>
    </w:p>
    <w:p w14:paraId="1D67B514" w14:textId="77777777" w:rsidR="002167FF" w:rsidRPr="00966EF2" w:rsidRDefault="002167FF" w:rsidP="002167FF">
      <w:pPr>
        <w:pStyle w:val="NormalHanging12a"/>
      </w:pPr>
      <w:r w:rsidRPr="00966EF2">
        <w:t>25.</w:t>
      </w:r>
      <w:r w:rsidRPr="00966EF2">
        <w:tab/>
        <w:t>noterer sig centralasiatiske staters vilje til at indlede en dialog om visumliberalisering med EU og opfordrer Kommissionen til at intensivere samråd om at udarbejde målrettede og omfattende køreplaner for reformer for de centralasiatiske stater til at bane vejen for lettelse af visumudstedelse og tilbagetagelsesaftaler;</w:t>
      </w:r>
    </w:p>
    <w:p w14:paraId="2E9A8B0C" w14:textId="77777777" w:rsidR="002167FF" w:rsidRPr="00966EF2" w:rsidRDefault="002167FF" w:rsidP="002167FF">
      <w:pPr>
        <w:pStyle w:val="NormalHanging12a"/>
        <w:rPr>
          <w:b/>
          <w:i/>
        </w:rPr>
      </w:pPr>
      <w:r w:rsidRPr="00966EF2">
        <w:rPr>
          <w:b/>
          <w:i/>
        </w:rPr>
        <w:t>Bilateralt samarbejde</w:t>
      </w:r>
    </w:p>
    <w:p w14:paraId="79D50979" w14:textId="6B552D53" w:rsidR="002167FF" w:rsidRPr="00966EF2" w:rsidRDefault="002167FF" w:rsidP="002167FF">
      <w:pPr>
        <w:pStyle w:val="NormalHanging12a"/>
      </w:pPr>
      <w:r w:rsidRPr="00966EF2">
        <w:t>26.</w:t>
      </w:r>
      <w:r w:rsidRPr="00966EF2">
        <w:tab/>
        <w:t>bemærker, at Kasakhstan er det første centralasiatiske stat, der har ratificeret en udvidet PSA, som skaber et solidt grundlag for at udvide samarbejdet på centrale områder af fælles interesse såsom konnektivitet, energieffektivitet, grøn økonomi og digitalisering; glæder sig over undertegnelsen af aftalememorandummet mellem Republikken Kasakhstan og EU om et strategisk partnerskab om værdikæder for bæredygtige råstoffer, batterier og vedvarende brint; opfordrer de kasakhstanske myndigheder til at fortsætte gennemførelsen af politiske og økonomiske reformer, som bør styrke demokratiet, retsstaten og god regeringsførelse; understreger, at gennemførelsen af visionen om et "retfærdigt og fair Kasakhstan" skal sikre respekten for menneskerettighederne og ytrings-, forenings- og forsamlingsfriheden og forbedre rammerne for valg i tråd med anbefalingerne fra OSCE's Kontor for Demokratiske Institutioner og Menneskerettigheder; opfordrer myndighederne i Kasakhstan til at afslutte efterforskningen af begivenhederne i januar 2022, offentliggøre resultaterne og sikre oprejsning til torturofre; bemærker de potentielle fordele ved flere mellemfolkelige udvekslinger med Kasakhstan gennem en visumlempelsesaftale, som der blev indledt konsultationer om i maj 2023;</w:t>
      </w:r>
    </w:p>
    <w:p w14:paraId="7CD9570C" w14:textId="77777777" w:rsidR="002167FF" w:rsidRPr="00966EF2" w:rsidRDefault="002167FF" w:rsidP="002167FF">
      <w:pPr>
        <w:pStyle w:val="NormalHanging12a"/>
      </w:pPr>
      <w:r w:rsidRPr="00966EF2">
        <w:t>27.</w:t>
      </w:r>
      <w:r w:rsidRPr="00966EF2">
        <w:tab/>
        <w:t>understreger, at den kommende undertegnelse af den udvidede PSA og den igangværende gennemførelse af GSP+ lægger yderligere vægt på behovet for at sikre respekten for menneskerettigheder og grundlæggende frihedsrettigheder i Kirgisistan i overensstemmelse med landets internationale forpligtelser; bemærker med bekymring de seneste års forværring af de demokratiske standarder og menneskerettighederne, i betragtning af at Kirgisistan er blevet opfattet som det mest demokratiske land i regionen med et dynamisk civilsamfund og frie medier; er bekymret over forfølgelsen af den politiske opposition, bl.a. repræsentanter for Det Socialdemokratiske Parti, og den negative indvirkning af lovgivningsinitiativer, som er målrettet uafhængige mediers og civilsamfundets aktiviteter, navnlig loven om "falske oplysninger" og udkastene til love om "udenlandske repræsentanter", "massemedier" og "beskyttelse af børn mod skadelige oplysninger", samt det stigende antal sager mod menneskerettighedsforkæmpere, mediefolk og journalister samt medieforetagender; opfordrer EU til fortsat at støtte civilsamfundet og uafhængige medier;</w:t>
      </w:r>
    </w:p>
    <w:p w14:paraId="38ED5D5F" w14:textId="77777777" w:rsidR="002167FF" w:rsidRPr="00966EF2" w:rsidRDefault="002167FF" w:rsidP="002167FF">
      <w:pPr>
        <w:pStyle w:val="NormalHanging12a"/>
      </w:pPr>
      <w:r w:rsidRPr="00966EF2">
        <w:t>28.</w:t>
      </w:r>
      <w:r w:rsidRPr="00966EF2">
        <w:tab/>
        <w:t xml:space="preserve">bemærker, at indledningen af forhandlinger om den udvidede PSA med Tadsjikistan er </w:t>
      </w:r>
      <w:r w:rsidRPr="00966EF2">
        <w:lastRenderedPageBreak/>
        <w:t>en mulighed for at udvide rækkevidden af det bilaterale samarbejde og de bilaterale udvekslinger; understreger behovet for et fortsat tæt samarbejde om sikkerhedsspørgsmål, eftersom Afghanistan stadig er en kilde til ustabilitet og sikkerhedsproblemer på grund af Talibans brutale styre og den vedvarende humanitære krise i landet; gentager, at den legitime kamp mod terrorisme og voldelig ekstremisme ikke må bruges som påskud for at undertrykke oppositionsaktivitet, begrænse ytringsfriheden eller indskrænke domstolenes uafhængighed; glæder sig over Tadsjikistans interesse i at tilslutte sig GSP+, som kan bidrage til bæredygtig økonomisk vækst og fremme handel, og som forudsætter en effektiv gennemførelse af internationale standarder for menneskerettigheder og arbejdstagerrettigheder; opfordrer Tadsjikistan til at forbedre beskyttelsen af menneskerettigheder og grundlæggende rettigheder, navnlig ytringsfriheden, og holde op med at intimidere og forfølge mediefolk, menneskerettighedsforkæmpere, uafhængige advokater og civilsamfundet og undertrykke pamiri-mindretallet i den selvstyrende region Gorno-Badakhshan;</w:t>
      </w:r>
    </w:p>
    <w:p w14:paraId="0523E2A7" w14:textId="77777777" w:rsidR="002167FF" w:rsidRPr="00966EF2" w:rsidRDefault="002167FF" w:rsidP="002167FF">
      <w:pPr>
        <w:pStyle w:val="NormalHanging12a"/>
        <w:rPr>
          <w:i/>
          <w:u w:val="single"/>
        </w:rPr>
      </w:pPr>
      <w:r w:rsidRPr="00966EF2">
        <w:t>29.</w:t>
      </w:r>
      <w:r w:rsidRPr="00966EF2">
        <w:tab/>
        <w:t>bemærker, at Turkmenistan fortsat er det eneste centralasiatiske land uden en PSA med EU, hvilket begrænser mulighederne for bilateralt samarbejde; understreger, at Turkmenistan er nødt til at godtgøre en forbedring af de alvorlige forhold med hensyn til demokrati og menneskerettigheder, før Europa-Parlamentet vil genoverveje sin holdning, og ratificere PSA'en; opfordrer indtrængende regeringen i Turkmenistan til at afkriminalisere samtykkebaserede seksuelle forhold mellem mænd; bemærker, at det må være i Turkmenistans interesse at åbne op for at undgå at blive det eneste land i regionen med begrænsede samarbejdsmuligheder; anerkender potentialet af et gensidigt fordelagtigt samarbejde på områder såsom energi, konnektivitet og handel og glæder sig over, at Turkmenistan har udtrykt interesse i at levere gas til Europa ved etablering af en transkaspisk gasledning;</w:t>
      </w:r>
    </w:p>
    <w:p w14:paraId="4CBACBAD" w14:textId="77777777" w:rsidR="002167FF" w:rsidRPr="00966EF2" w:rsidRDefault="002167FF" w:rsidP="002167FF">
      <w:pPr>
        <w:pStyle w:val="NormalHanging12a"/>
        <w:rPr>
          <w:i/>
          <w:u w:val="single"/>
        </w:rPr>
      </w:pPr>
      <w:r w:rsidRPr="00966EF2">
        <w:t>30.</w:t>
      </w:r>
      <w:r w:rsidRPr="00966EF2">
        <w:tab/>
        <w:t xml:space="preserve">bemærker de bebudede reformer i Usbekistan, som har til formål at skabe reelle forandringer i landet med hensyn til socioøkonomisk udvikling, en effektiv forvaltning, et mere uafhængigt retsvæsen og respekt for menneskerettigheder og grundlæggende frihedsrettigheder; understreger, at forfatningsreformen er en mulighed for at styrke retsstatsprincippet og give reformerne et solidt retsgrundlag; gentager ikke desto mindre sin dybe bekymring over de ringe forhold i Usbekistan med hensyn til demokrati, mediefrihed, menneskerettigheder og retsstaten, herunder den brutale nedkæmpelse af protesterne i Karakalpakstan, begrænsningerne af foreningsfriheden for både ikke-statslige organisationer og politiske partier og forfølgelsen af og truslerne mod journalister, uafhængige bloggere, indholdsproducenter og menneskerettighedsforkæmpere; minder myndighederne om betydningen af at opretholde ytringsfriheden, både online og offline, forsamlingsfriheden, foreningsfriheden og mediernes uafhængighed; glæder sig over nogle nævneværdige forbedringer af kvinders rettigheder i Usbekistan; opfordrer indtrængende regeringen i Usbekistan til at afkriminalisere samtykkebaserede seksuelle forhold mellem mænd; glæder sig over afslutningen af forhandlingerne om en udvidet PSA mellem EU og Usbekistan og gentager sin opfordring til hurtigt at afslutte de nødvendige retlige og tekniske procedurer med henblik på undertegnelsen af den udvidede PSA; glæder sig over, at Usbekistan går forrest for at fremme regionalt samarbejde på forskellige områder, herunder konnektivitet og udnyttelsen af vandressourcer; </w:t>
      </w:r>
    </w:p>
    <w:p w14:paraId="35248FBA" w14:textId="77777777" w:rsidR="002167FF" w:rsidRPr="00966EF2" w:rsidRDefault="002167FF" w:rsidP="002167FF">
      <w:pPr>
        <w:pStyle w:val="NormalCenter12a"/>
      </w:pPr>
      <w:r w:rsidRPr="00966EF2">
        <w:t>°</w:t>
      </w:r>
    </w:p>
    <w:p w14:paraId="56AAB147" w14:textId="77777777" w:rsidR="002167FF" w:rsidRPr="00966EF2" w:rsidRDefault="002167FF" w:rsidP="002167FF">
      <w:pPr>
        <w:pStyle w:val="NormalCenter12a"/>
      </w:pPr>
      <w:r w:rsidRPr="00966EF2">
        <w:t>°</w:t>
      </w:r>
      <w:r w:rsidRPr="00966EF2">
        <w:tab/>
        <w:t>°</w:t>
      </w:r>
    </w:p>
    <w:p w14:paraId="6D5FE168" w14:textId="77777777" w:rsidR="00E365E1" w:rsidRPr="00966EF2" w:rsidRDefault="002167FF" w:rsidP="00B72721">
      <w:pPr>
        <w:pStyle w:val="NormalHanging12a"/>
        <w:ind w:left="560" w:hanging="560"/>
      </w:pPr>
      <w:r w:rsidRPr="00966EF2">
        <w:lastRenderedPageBreak/>
        <w:t>31.</w:t>
      </w:r>
      <w:r w:rsidRPr="00966EF2">
        <w:tab/>
        <w:t>pålægger sin formand at sende denne beslutning til Rådet, Kommissionen og næstformanden for Kommissionen/Unionens højtstående repræsentant for udenrigsanliggender og sikkerhedspolitik og til præsidenterne, regeringerne og parlamenterne i Kasakhstan, Kirgisistan, Tadsjikistan, Turkmenistan og Usbekistan.</w:t>
      </w:r>
      <w:bookmarkStart w:id="8" w:name="TextBodyEnd"/>
      <w:bookmarkEnd w:id="8"/>
    </w:p>
    <w:sectPr w:rsidR="00E365E1" w:rsidRPr="00966EF2" w:rsidSect="00966E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A2BBE" w14:textId="77777777" w:rsidR="000C22E2" w:rsidRPr="00966EF2" w:rsidRDefault="000C22E2">
      <w:r w:rsidRPr="00966EF2">
        <w:separator/>
      </w:r>
    </w:p>
  </w:endnote>
  <w:endnote w:type="continuationSeparator" w:id="0">
    <w:p w14:paraId="33A03346" w14:textId="77777777" w:rsidR="000C22E2" w:rsidRPr="00966EF2" w:rsidRDefault="000C22E2">
      <w:r w:rsidRPr="00966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3E8" w14:textId="77777777" w:rsidR="00064002" w:rsidRPr="00966E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597CF" w14:textId="77777777" w:rsidR="00064002" w:rsidRPr="00966E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8299C" w14:textId="77777777" w:rsidR="00064002" w:rsidRPr="00966E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E4727" w14:textId="77777777" w:rsidR="000C22E2" w:rsidRPr="00966EF2" w:rsidRDefault="000C22E2">
      <w:r w:rsidRPr="00966EF2">
        <w:separator/>
      </w:r>
    </w:p>
  </w:footnote>
  <w:footnote w:type="continuationSeparator" w:id="0">
    <w:p w14:paraId="0228AAC0" w14:textId="77777777" w:rsidR="000C22E2" w:rsidRPr="00966EF2" w:rsidRDefault="000C22E2">
      <w:r w:rsidRPr="00966EF2">
        <w:continuationSeparator/>
      </w:r>
    </w:p>
  </w:footnote>
  <w:footnote w:id="1">
    <w:p w14:paraId="5D423AB7" w14:textId="77777777" w:rsidR="002167FF" w:rsidRPr="00604C58" w:rsidRDefault="002167FF" w:rsidP="00966EF2">
      <w:pPr>
        <w:pStyle w:val="FootnoteText"/>
        <w:ind w:left="567" w:hanging="567"/>
        <w:rPr>
          <w:color w:val="000000" w:themeColor="text1"/>
          <w:sz w:val="24"/>
          <w:lang w:val="da-DK"/>
        </w:rPr>
      </w:pPr>
      <w:r w:rsidRPr="00604C58">
        <w:rPr>
          <w:rStyle w:val="FootnoteReference"/>
          <w:color w:val="000000" w:themeColor="text1"/>
          <w:sz w:val="24"/>
          <w:lang w:val="da-DK"/>
        </w:rPr>
        <w:footnoteRef/>
      </w:r>
      <w:r w:rsidR="00966EF2" w:rsidRPr="00604C58">
        <w:rPr>
          <w:color w:val="000000" w:themeColor="text1"/>
          <w:sz w:val="24"/>
          <w:lang w:val="da-DK"/>
        </w:rPr>
        <w:t xml:space="preserve"> </w:t>
      </w:r>
      <w:r w:rsidR="00966EF2" w:rsidRPr="00604C58">
        <w:rPr>
          <w:color w:val="000000" w:themeColor="text1"/>
          <w:sz w:val="24"/>
          <w:lang w:val="da-DK"/>
        </w:rPr>
        <w:tab/>
      </w:r>
      <w:hyperlink r:id="rId1" w:history="1">
        <w:r w:rsidRPr="00604C58">
          <w:rPr>
            <w:rStyle w:val="Hyperlink"/>
            <w:color w:val="000000" w:themeColor="text1"/>
            <w:sz w:val="24"/>
            <w:u w:val="none"/>
            <w:lang w:val="da-DK"/>
          </w:rPr>
          <w:t>EUT L 29</w:t>
        </w:r>
        <w:r w:rsidR="004B317E" w:rsidRPr="00604C58">
          <w:rPr>
            <w:rStyle w:val="Hyperlink"/>
            <w:color w:val="000000" w:themeColor="text1"/>
            <w:sz w:val="24"/>
            <w:u w:val="none"/>
            <w:lang w:val="da-DK"/>
          </w:rPr>
          <w:t xml:space="preserve"> af</w:t>
        </w:r>
        <w:r w:rsidRPr="00604C58">
          <w:rPr>
            <w:rStyle w:val="Hyperlink"/>
            <w:color w:val="000000" w:themeColor="text1"/>
            <w:sz w:val="24"/>
            <w:u w:val="none"/>
            <w:lang w:val="da-DK"/>
          </w:rPr>
          <w:t xml:space="preserve"> 4.2.2016, s. 3</w:t>
        </w:r>
      </w:hyperlink>
      <w:r w:rsidRPr="00604C58">
        <w:rPr>
          <w:color w:val="000000" w:themeColor="text1"/>
          <w:sz w:val="24"/>
          <w:lang w:val="da-DK"/>
        </w:rPr>
        <w:t>.</w:t>
      </w:r>
    </w:p>
  </w:footnote>
  <w:footnote w:id="2">
    <w:p w14:paraId="50D3794A" w14:textId="77777777" w:rsidR="002167FF" w:rsidRPr="00604C58" w:rsidRDefault="002167FF" w:rsidP="00966EF2">
      <w:pPr>
        <w:pStyle w:val="FootnoteText"/>
        <w:ind w:left="567" w:hanging="567"/>
        <w:rPr>
          <w:color w:val="000000" w:themeColor="text1"/>
          <w:sz w:val="24"/>
          <w:lang w:val="da-DK"/>
        </w:rPr>
      </w:pPr>
      <w:r w:rsidRPr="00604C58">
        <w:rPr>
          <w:rStyle w:val="FootnoteReference"/>
          <w:color w:val="000000" w:themeColor="text1"/>
          <w:sz w:val="24"/>
          <w:lang w:val="da-DK"/>
        </w:rPr>
        <w:footnoteRef/>
      </w:r>
      <w:r w:rsidR="00966EF2" w:rsidRPr="00604C58">
        <w:rPr>
          <w:color w:val="000000" w:themeColor="text1"/>
          <w:sz w:val="24"/>
          <w:lang w:val="da-DK"/>
        </w:rPr>
        <w:t xml:space="preserve"> </w:t>
      </w:r>
      <w:r w:rsidR="00966EF2" w:rsidRPr="00604C58">
        <w:rPr>
          <w:color w:val="000000" w:themeColor="text1"/>
          <w:sz w:val="24"/>
          <w:lang w:val="da-DK"/>
        </w:rPr>
        <w:tab/>
      </w:r>
      <w:hyperlink r:id="rId2" w:history="1">
        <w:r w:rsidR="00EA074C">
          <w:rPr>
            <w:rStyle w:val="Hyperlink"/>
            <w:color w:val="000000" w:themeColor="text1"/>
            <w:sz w:val="24"/>
            <w:u w:val="none"/>
            <w:lang w:val="da-DK"/>
          </w:rPr>
          <w:t xml:space="preserve">EFT </w:t>
        </w:r>
        <w:r w:rsidRPr="00604C58">
          <w:rPr>
            <w:rStyle w:val="Hyperlink"/>
            <w:color w:val="000000" w:themeColor="text1"/>
            <w:sz w:val="24"/>
            <w:u w:val="none"/>
            <w:lang w:val="da-DK"/>
          </w:rPr>
          <w:t>L 196</w:t>
        </w:r>
        <w:r w:rsidR="004B317E" w:rsidRPr="00604C58">
          <w:rPr>
            <w:rStyle w:val="Hyperlink"/>
            <w:color w:val="000000" w:themeColor="text1"/>
            <w:sz w:val="24"/>
            <w:u w:val="none"/>
            <w:lang w:val="da-DK"/>
          </w:rPr>
          <w:t xml:space="preserve"> af</w:t>
        </w:r>
        <w:r w:rsidRPr="00604C58">
          <w:rPr>
            <w:rStyle w:val="Hyperlink"/>
            <w:color w:val="000000" w:themeColor="text1"/>
            <w:sz w:val="24"/>
            <w:u w:val="none"/>
            <w:lang w:val="da-DK"/>
          </w:rPr>
          <w:t xml:space="preserve"> 28.7.1999, s. 48.</w:t>
        </w:r>
      </w:hyperlink>
    </w:p>
  </w:footnote>
  <w:footnote w:id="3">
    <w:p w14:paraId="5BE0DA8E" w14:textId="77777777" w:rsidR="002167FF" w:rsidRPr="00604C58" w:rsidRDefault="002167FF" w:rsidP="00966EF2">
      <w:pPr>
        <w:pStyle w:val="FootnoteText"/>
        <w:ind w:left="567" w:hanging="567"/>
        <w:rPr>
          <w:color w:val="000000" w:themeColor="text1"/>
          <w:sz w:val="24"/>
          <w:lang w:val="da-DK"/>
        </w:rPr>
      </w:pPr>
      <w:r w:rsidRPr="00604C58">
        <w:rPr>
          <w:rStyle w:val="FootnoteReference"/>
          <w:color w:val="000000" w:themeColor="text1"/>
          <w:sz w:val="24"/>
          <w:lang w:val="da-DK"/>
        </w:rPr>
        <w:footnoteRef/>
      </w:r>
      <w:r w:rsidR="00966EF2" w:rsidRPr="00604C58">
        <w:rPr>
          <w:color w:val="000000" w:themeColor="text1"/>
          <w:sz w:val="24"/>
          <w:lang w:val="da-DK"/>
        </w:rPr>
        <w:t xml:space="preserve"> </w:t>
      </w:r>
      <w:r w:rsidR="00966EF2" w:rsidRPr="00604C58">
        <w:rPr>
          <w:color w:val="000000" w:themeColor="text1"/>
          <w:sz w:val="24"/>
          <w:lang w:val="da-DK"/>
        </w:rPr>
        <w:tab/>
      </w:r>
      <w:hyperlink r:id="rId3" w:history="1">
        <w:r w:rsidRPr="00604C58">
          <w:rPr>
            <w:rStyle w:val="Hyperlink"/>
            <w:color w:val="000000" w:themeColor="text1"/>
            <w:sz w:val="24"/>
            <w:u w:val="none"/>
            <w:shd w:val="clear" w:color="auto" w:fill="FFFFFF"/>
            <w:lang w:val="da-DK"/>
          </w:rPr>
          <w:t>EUT L 350</w:t>
        </w:r>
        <w:r w:rsidR="004B317E" w:rsidRPr="00604C58">
          <w:rPr>
            <w:rStyle w:val="Hyperlink"/>
            <w:color w:val="000000" w:themeColor="text1"/>
            <w:sz w:val="24"/>
            <w:u w:val="none"/>
            <w:shd w:val="clear" w:color="auto" w:fill="FFFFFF"/>
            <w:lang w:val="da-DK"/>
          </w:rPr>
          <w:t xml:space="preserve"> af</w:t>
        </w:r>
        <w:r w:rsidRPr="00604C58">
          <w:rPr>
            <w:rStyle w:val="Hyperlink"/>
            <w:color w:val="000000" w:themeColor="text1"/>
            <w:sz w:val="24"/>
            <w:u w:val="none"/>
            <w:shd w:val="clear" w:color="auto" w:fill="FFFFFF"/>
            <w:lang w:val="da-DK"/>
          </w:rPr>
          <w:t xml:space="preserve"> 29.12.2009, s. 3.</w:t>
        </w:r>
      </w:hyperlink>
    </w:p>
  </w:footnote>
  <w:footnote w:id="4">
    <w:p w14:paraId="5C2D6F26" w14:textId="77777777" w:rsidR="002167FF" w:rsidRPr="00604C58" w:rsidRDefault="002167FF" w:rsidP="00966EF2">
      <w:pPr>
        <w:pStyle w:val="FootnoteText"/>
        <w:ind w:left="567" w:hanging="567"/>
        <w:rPr>
          <w:color w:val="000000" w:themeColor="text1"/>
          <w:sz w:val="24"/>
          <w:u w:color="0000FF"/>
          <w:lang w:val="da-DK"/>
        </w:rPr>
      </w:pPr>
      <w:r w:rsidRPr="00604C58">
        <w:rPr>
          <w:rStyle w:val="FootnoteReference"/>
          <w:color w:val="000000" w:themeColor="text1"/>
          <w:sz w:val="24"/>
          <w:lang w:val="da-DK"/>
        </w:rPr>
        <w:footnoteRef/>
      </w:r>
      <w:r w:rsidR="00966EF2" w:rsidRPr="00604C58">
        <w:rPr>
          <w:color w:val="000000" w:themeColor="text1"/>
          <w:sz w:val="24"/>
          <w:lang w:val="da-DK"/>
        </w:rPr>
        <w:t xml:space="preserve"> </w:t>
      </w:r>
      <w:r w:rsidR="00966EF2" w:rsidRPr="00604C58">
        <w:rPr>
          <w:color w:val="000000" w:themeColor="text1"/>
          <w:sz w:val="24"/>
          <w:lang w:val="da-DK"/>
        </w:rPr>
        <w:tab/>
      </w:r>
      <w:hyperlink r:id="rId4" w:history="1">
        <w:r w:rsidRPr="00604C58">
          <w:rPr>
            <w:rStyle w:val="Hyperlink"/>
            <w:color w:val="000000" w:themeColor="text1"/>
            <w:sz w:val="24"/>
            <w:u w:val="none"/>
            <w:lang w:val="da-DK"/>
          </w:rPr>
          <w:t>EFT L 229</w:t>
        </w:r>
        <w:r w:rsidR="004B317E" w:rsidRPr="00604C58">
          <w:rPr>
            <w:rStyle w:val="Hyperlink"/>
            <w:color w:val="000000" w:themeColor="text1"/>
            <w:sz w:val="24"/>
            <w:u w:val="none"/>
            <w:lang w:val="da-DK"/>
          </w:rPr>
          <w:t xml:space="preserve"> af</w:t>
        </w:r>
        <w:r w:rsidRPr="00604C58">
          <w:rPr>
            <w:rStyle w:val="Hyperlink"/>
            <w:color w:val="000000" w:themeColor="text1"/>
            <w:sz w:val="24"/>
            <w:u w:val="none"/>
            <w:lang w:val="da-DK"/>
          </w:rPr>
          <w:t xml:space="preserve"> 31.8.1999, s. 3.</w:t>
        </w:r>
      </w:hyperlink>
    </w:p>
  </w:footnote>
  <w:footnote w:id="5">
    <w:p w14:paraId="560DDE6B" w14:textId="77777777" w:rsidR="002167FF" w:rsidRPr="00604C58" w:rsidRDefault="002167FF" w:rsidP="00966EF2">
      <w:pPr>
        <w:pStyle w:val="FootnoteText"/>
        <w:ind w:left="567" w:hanging="567"/>
        <w:rPr>
          <w:color w:val="000000" w:themeColor="text1"/>
          <w:sz w:val="24"/>
          <w:lang w:val="da-DK"/>
        </w:rPr>
      </w:pPr>
      <w:r w:rsidRPr="00604C58">
        <w:rPr>
          <w:rStyle w:val="FootnoteReference"/>
          <w:color w:val="000000" w:themeColor="text1"/>
          <w:sz w:val="24"/>
          <w:lang w:val="da-DK"/>
        </w:rPr>
        <w:footnoteRef/>
      </w:r>
      <w:r w:rsidR="00966EF2" w:rsidRPr="00604C58">
        <w:rPr>
          <w:color w:val="000000" w:themeColor="text1"/>
          <w:sz w:val="24"/>
          <w:lang w:val="da-DK"/>
        </w:rPr>
        <w:t xml:space="preserve"> </w:t>
      </w:r>
      <w:r w:rsidR="00966EF2" w:rsidRPr="00604C58">
        <w:rPr>
          <w:color w:val="000000" w:themeColor="text1"/>
          <w:sz w:val="24"/>
          <w:lang w:val="da-DK"/>
        </w:rPr>
        <w:tab/>
      </w:r>
      <w:hyperlink r:id="rId5" w:history="1">
        <w:r w:rsidRPr="00604C58">
          <w:rPr>
            <w:rStyle w:val="Hyperlink"/>
            <w:color w:val="000000" w:themeColor="text1"/>
            <w:sz w:val="24"/>
            <w:u w:val="none"/>
            <w:lang w:val="da-DK"/>
          </w:rPr>
          <w:t>EUT C 404 af 6.10.2021, s.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607C1" w14:textId="77777777" w:rsidR="00064002" w:rsidRPr="00966E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665E5" w14:textId="77777777" w:rsidR="00064002" w:rsidRPr="00966E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CD68" w14:textId="77777777" w:rsidR="00064002" w:rsidRPr="00966E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DA"/>
    <w:docVar w:name="dvnumam" w:val="0"/>
    <w:docVar w:name="dvpe" w:val="752.889"/>
    <w:docVar w:name="dvrapporteur" w:val="Ordfører: "/>
    <w:docVar w:name="dvtitre" w:val="Europa-Parlamentets beslutning af xx.xx 2024 om EU-strategien for Centralasien(2023/2106(INI))"/>
  </w:docVars>
  <w:rsids>
    <w:rsidRoot w:val="000C22E2"/>
    <w:rsid w:val="00002272"/>
    <w:rsid w:val="00064002"/>
    <w:rsid w:val="000677B9"/>
    <w:rsid w:val="000831BA"/>
    <w:rsid w:val="000A42CC"/>
    <w:rsid w:val="000C22E2"/>
    <w:rsid w:val="000E7DD9"/>
    <w:rsid w:val="0010095E"/>
    <w:rsid w:val="00125B37"/>
    <w:rsid w:val="00187494"/>
    <w:rsid w:val="001F32AE"/>
    <w:rsid w:val="002167FF"/>
    <w:rsid w:val="002767FF"/>
    <w:rsid w:val="002B18FE"/>
    <w:rsid w:val="002B5493"/>
    <w:rsid w:val="00343214"/>
    <w:rsid w:val="00361C00"/>
    <w:rsid w:val="00395FA1"/>
    <w:rsid w:val="003E15D4"/>
    <w:rsid w:val="00411CCE"/>
    <w:rsid w:val="0041666E"/>
    <w:rsid w:val="00421060"/>
    <w:rsid w:val="00471C19"/>
    <w:rsid w:val="004867E3"/>
    <w:rsid w:val="00494A28"/>
    <w:rsid w:val="004B317E"/>
    <w:rsid w:val="004C0004"/>
    <w:rsid w:val="004C5D52"/>
    <w:rsid w:val="0050519A"/>
    <w:rsid w:val="005072A1"/>
    <w:rsid w:val="00514517"/>
    <w:rsid w:val="00545827"/>
    <w:rsid w:val="00560270"/>
    <w:rsid w:val="005C2568"/>
    <w:rsid w:val="006037C0"/>
    <w:rsid w:val="00604C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A6"/>
    <w:rsid w:val="00887B3E"/>
    <w:rsid w:val="008C2AC6"/>
    <w:rsid w:val="00930C23"/>
    <w:rsid w:val="0093193B"/>
    <w:rsid w:val="009509D8"/>
    <w:rsid w:val="00950B64"/>
    <w:rsid w:val="00966EF2"/>
    <w:rsid w:val="00981893"/>
    <w:rsid w:val="00A1687D"/>
    <w:rsid w:val="00A43E52"/>
    <w:rsid w:val="00A4678D"/>
    <w:rsid w:val="00A778C7"/>
    <w:rsid w:val="00AB441E"/>
    <w:rsid w:val="00AB6293"/>
    <w:rsid w:val="00AE0928"/>
    <w:rsid w:val="00AF3B82"/>
    <w:rsid w:val="00B12E95"/>
    <w:rsid w:val="00B22876"/>
    <w:rsid w:val="00B558F0"/>
    <w:rsid w:val="00B72721"/>
    <w:rsid w:val="00BD48FE"/>
    <w:rsid w:val="00BD7BD8"/>
    <w:rsid w:val="00BE6ADC"/>
    <w:rsid w:val="00C05BFE"/>
    <w:rsid w:val="00C23CD4"/>
    <w:rsid w:val="00C61C0C"/>
    <w:rsid w:val="00C941CB"/>
    <w:rsid w:val="00CC2357"/>
    <w:rsid w:val="00CF071A"/>
    <w:rsid w:val="00D058B8"/>
    <w:rsid w:val="00D56C11"/>
    <w:rsid w:val="00D77DDE"/>
    <w:rsid w:val="00D834A0"/>
    <w:rsid w:val="00D872DF"/>
    <w:rsid w:val="00D91E21"/>
    <w:rsid w:val="00DA7FCD"/>
    <w:rsid w:val="00E365E1"/>
    <w:rsid w:val="00E820A4"/>
    <w:rsid w:val="00EA074C"/>
    <w:rsid w:val="00EA307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44AD1"/>
  <w15:chartTrackingRefBased/>
  <w15:docId w15:val="{4068ECC0-1C13-4280-8C91-380C277F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167FF"/>
    <w:rPr>
      <w:b/>
    </w:rPr>
  </w:style>
  <w:style w:type="paragraph" w:customStyle="1" w:styleId="NormalHanging12a">
    <w:name w:val="NormalHanging12a"/>
    <w:basedOn w:val="Normal"/>
    <w:link w:val="NormalHanging12aChar"/>
    <w:rsid w:val="002167FF"/>
    <w:pPr>
      <w:spacing w:after="240"/>
      <w:ind w:left="567" w:hanging="567"/>
    </w:pPr>
  </w:style>
  <w:style w:type="character" w:styleId="Hyperlink">
    <w:name w:val="Hyperlink"/>
    <w:basedOn w:val="DefaultParagraphFont"/>
    <w:unhideWhenUsed/>
    <w:rsid w:val="002167FF"/>
    <w:rPr>
      <w:color w:val="0563C1" w:themeColor="hyperlink"/>
      <w:u w:val="single"/>
    </w:rPr>
  </w:style>
  <w:style w:type="character" w:customStyle="1" w:styleId="BoldItalic">
    <w:name w:val="BoldItalic"/>
    <w:uiPriority w:val="1"/>
    <w:rsid w:val="002167FF"/>
    <w:rPr>
      <w:b/>
      <w:bCs w:val="0"/>
      <w:i/>
      <w:iCs w:val="0"/>
      <w:strike w:val="0"/>
      <w:dstrike w:val="0"/>
      <w:u w:val="none"/>
      <w:effect w:val="none"/>
    </w:rPr>
  </w:style>
  <w:style w:type="paragraph" w:customStyle="1" w:styleId="Normal12a24b">
    <w:name w:val="Normal12a24b"/>
    <w:basedOn w:val="Normal"/>
    <w:rsid w:val="002167FF"/>
    <w:pPr>
      <w:snapToGrid w:val="0"/>
      <w:spacing w:before="360" w:after="240"/>
    </w:pPr>
    <w:rPr>
      <w:lang w:eastAsia="en-US"/>
    </w:rPr>
  </w:style>
  <w:style w:type="paragraph" w:customStyle="1" w:styleId="NormalCenter12a">
    <w:name w:val="NormalCenter12a"/>
    <w:basedOn w:val="Normal"/>
    <w:rsid w:val="002167FF"/>
    <w:pPr>
      <w:spacing w:after="240"/>
      <w:jc w:val="center"/>
    </w:pPr>
  </w:style>
  <w:style w:type="character" w:customStyle="1" w:styleId="NormalHanging12aChar">
    <w:name w:val="NormalHanging12a Char"/>
    <w:basedOn w:val="DefaultParagraphFont"/>
    <w:link w:val="NormalHanging12a"/>
    <w:rsid w:val="002167FF"/>
    <w:rPr>
      <w:sz w:val="24"/>
      <w:lang w:val="da-DK"/>
    </w:rPr>
  </w:style>
  <w:style w:type="paragraph" w:customStyle="1" w:styleId="EPComma">
    <w:name w:val="EPComma"/>
    <w:basedOn w:val="Normal"/>
    <w:rsid w:val="00B72721"/>
    <w:pPr>
      <w:spacing w:before="480" w:after="240"/>
    </w:pPr>
    <w:rPr>
      <w:snapToGrid w:val="0"/>
      <w:lang w:eastAsia="en-US"/>
    </w:rPr>
  </w:style>
  <w:style w:type="character" w:customStyle="1" w:styleId="Italic">
    <w:name w:val="Italic"/>
    <w:uiPriority w:val="1"/>
    <w:rsid w:val="00B72721"/>
    <w:rPr>
      <w:i/>
    </w:rPr>
  </w:style>
  <w:style w:type="paragraph" w:styleId="BalloonText">
    <w:name w:val="Balloon Text"/>
    <w:basedOn w:val="Normal"/>
    <w:link w:val="BalloonTextChar"/>
    <w:rsid w:val="004B317E"/>
    <w:rPr>
      <w:rFonts w:ascii="Segoe UI" w:hAnsi="Segoe UI" w:cs="Segoe UI"/>
      <w:sz w:val="18"/>
      <w:szCs w:val="18"/>
    </w:rPr>
  </w:style>
  <w:style w:type="character" w:customStyle="1" w:styleId="BalloonTextChar">
    <w:name w:val="Balloon Text Char"/>
    <w:basedOn w:val="DefaultParagraphFont"/>
    <w:link w:val="BalloonText"/>
    <w:rsid w:val="004B317E"/>
    <w:rPr>
      <w:rFonts w:ascii="Segoe UI" w:hAnsi="Segoe UI" w:cs="Segoe UI"/>
      <w:sz w:val="18"/>
      <w:szCs w:val="18"/>
      <w:lang w:val="da-DK"/>
    </w:rPr>
  </w:style>
  <w:style w:type="character" w:styleId="CommentReference">
    <w:name w:val="annotation reference"/>
    <w:basedOn w:val="DefaultParagraphFont"/>
    <w:rsid w:val="00885BA6"/>
    <w:rPr>
      <w:sz w:val="16"/>
      <w:szCs w:val="16"/>
    </w:rPr>
  </w:style>
  <w:style w:type="paragraph" w:styleId="CommentText">
    <w:name w:val="annotation text"/>
    <w:basedOn w:val="Normal"/>
    <w:link w:val="CommentTextChar"/>
    <w:rsid w:val="00885BA6"/>
    <w:rPr>
      <w:sz w:val="20"/>
    </w:rPr>
  </w:style>
  <w:style w:type="character" w:customStyle="1" w:styleId="CommentTextChar">
    <w:name w:val="Comment Text Char"/>
    <w:basedOn w:val="DefaultParagraphFont"/>
    <w:link w:val="CommentText"/>
    <w:rsid w:val="00885BA6"/>
    <w:rPr>
      <w:lang w:val="da-DK"/>
    </w:rPr>
  </w:style>
  <w:style w:type="paragraph" w:styleId="CommentSubject">
    <w:name w:val="annotation subject"/>
    <w:basedOn w:val="CommentText"/>
    <w:next w:val="CommentText"/>
    <w:link w:val="CommentSubjectChar"/>
    <w:rsid w:val="00885BA6"/>
    <w:rPr>
      <w:b/>
      <w:bCs/>
    </w:rPr>
  </w:style>
  <w:style w:type="character" w:customStyle="1" w:styleId="CommentSubjectChar">
    <w:name w:val="Comment Subject Char"/>
    <w:basedOn w:val="CommentTextChar"/>
    <w:link w:val="CommentSubject"/>
    <w:rsid w:val="00885BA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TXT/?uri=CELEX:22009A1229(01)" TargetMode="External"/><Relationship Id="rId2" Type="http://schemas.openxmlformats.org/officeDocument/2006/relationships/hyperlink" Target="https://eur-lex.europa.eu/legal-content/DA/TXT/?uri=uriserv:OJ.L_.1999.196.01.0048.01.ENG&amp;toc=OJ:L:1999:196:TOC" TargetMode="External"/><Relationship Id="rId1" Type="http://schemas.openxmlformats.org/officeDocument/2006/relationships/hyperlink" Target="https://eur-lex.europa.eu/legal-content/DA/TXT/?uri=uriserv:OJ.L_.2016.029.01.0003.01.ENG&amp;toc=OJ:L:2016:029:TOC" TargetMode="External"/><Relationship Id="rId5" Type="http://schemas.openxmlformats.org/officeDocument/2006/relationships/hyperlink" Target="https://eur-lex.europa.eu/legal-content/EN/TXT/?uri=OJ:C:2021:404:TOC" TargetMode="External"/><Relationship Id="rId4" Type="http://schemas.openxmlformats.org/officeDocument/2006/relationships/hyperlink" Target="https://eur-lex.europa.eu/legal-content/DA/TXT/?uri=uriserv%3AOJ.L_.1999.229.01.0003.01.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3BD87-C34B-4FCD-8255-E07427F5F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5449</Words>
  <Characters>34899</Characters>
  <Application>Microsoft Office Word</Application>
  <DocSecurity>0</DocSecurity>
  <Lines>290</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2024-01-17T14:55:00Z</dcterms:created>
  <dcterms:modified xsi:type="dcterms:W3CDTF">2024-01-17T14:55:00Z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A9-0407/2023</vt:lpwstr>
  </property>
  <property fmtid="{D5CDD505-2E9C-101B-9397-08002B2CF9AE}" pid="4" name="&lt;Type&gt;">
    <vt:lpwstr>RR</vt:lpwstr>
  </property>
</Properties>
</file>