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ABC" w:rsidTr="0010095E">
        <w:trPr>
          <w:trHeight w:hRule="exact" w:val="1418"/>
        </w:trPr>
        <w:tc>
          <w:tcPr>
            <w:tcW w:w="6804" w:type="dxa"/>
            <w:shd w:val="clear" w:color="auto" w:fill="auto"/>
            <w:vAlign w:val="center"/>
          </w:tcPr>
          <w:p w:rsidR="00751A4A" w:rsidRPr="00AB7ABC" w:rsidRDefault="00EA6389" w:rsidP="0010095E">
            <w:pPr>
              <w:pStyle w:val="EPName"/>
            </w:pPr>
            <w:r w:rsidRPr="00AB7ABC">
              <w:t>Ευρωπαϊκό Κοινοβούλιο</w:t>
            </w:r>
          </w:p>
          <w:p w:rsidR="00751A4A" w:rsidRPr="00AB7ABC" w:rsidRDefault="00817416" w:rsidP="00756632">
            <w:pPr>
              <w:pStyle w:val="EPTerm"/>
              <w:rPr>
                <w:rStyle w:val="HideTWBExt"/>
                <w:noProof w:val="0"/>
                <w:vanish w:val="0"/>
                <w:color w:val="auto"/>
              </w:rPr>
            </w:pPr>
            <w:r w:rsidRPr="00AB7ABC">
              <w:t>2019-2024</w:t>
            </w:r>
          </w:p>
        </w:tc>
        <w:tc>
          <w:tcPr>
            <w:tcW w:w="2268" w:type="dxa"/>
            <w:shd w:val="clear" w:color="auto" w:fill="auto"/>
          </w:tcPr>
          <w:p w:rsidR="00751A4A" w:rsidRPr="00AB7ABC" w:rsidRDefault="00187494" w:rsidP="0010095E">
            <w:pPr>
              <w:pStyle w:val="EPLogo"/>
            </w:pPr>
            <w:r w:rsidRPr="00AB7A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ABC" w:rsidRDefault="00D058B8" w:rsidP="004C5D52">
      <w:pPr>
        <w:pStyle w:val="LineTop"/>
      </w:pPr>
    </w:p>
    <w:p w:rsidR="00680577" w:rsidRPr="00AB7ABC" w:rsidRDefault="00EA6389" w:rsidP="00680577">
      <w:pPr>
        <w:pStyle w:val="EPBodyTA1"/>
      </w:pPr>
      <w:r w:rsidRPr="00AB7ABC">
        <w:t>ΚΕΙΜΕΝΑ ΠΟΥ ΕΓΚΡΙΘΗΚΑΝ</w:t>
      </w:r>
    </w:p>
    <w:p w:rsidR="00D058B8" w:rsidRPr="00AB7ABC" w:rsidRDefault="00D058B8" w:rsidP="00D058B8">
      <w:pPr>
        <w:pStyle w:val="LineBottom"/>
      </w:pPr>
    </w:p>
    <w:p w:rsidR="00EA6389" w:rsidRPr="00AB7ABC" w:rsidRDefault="00EA6389" w:rsidP="00EA6389">
      <w:pPr>
        <w:pStyle w:val="ATHeading1"/>
      </w:pPr>
      <w:bookmarkStart w:id="0" w:name="TANumber"/>
      <w:r w:rsidRPr="00AB7ABC">
        <w:t>P9_TA(2024)00</w:t>
      </w:r>
      <w:r w:rsidR="00843C92" w:rsidRPr="00AB7ABC">
        <w:t>27</w:t>
      </w:r>
      <w:bookmarkEnd w:id="0"/>
    </w:p>
    <w:p w:rsidR="00EA6389" w:rsidRPr="00AB7ABC" w:rsidRDefault="00E2668E" w:rsidP="00EA6389">
      <w:pPr>
        <w:pStyle w:val="ATHeading2"/>
      </w:pPr>
      <w:bookmarkStart w:id="1" w:name="title"/>
      <w:r w:rsidRPr="00AB7ABC">
        <w:t>Στρατηγική της ΕΕ για την κεντρική Ασία</w:t>
      </w:r>
      <w:bookmarkEnd w:id="1"/>
    </w:p>
    <w:p w:rsidR="00EA6389" w:rsidRPr="00AB7ABC" w:rsidRDefault="00EA6389" w:rsidP="00EA6389">
      <w:pPr>
        <w:rPr>
          <w:i/>
          <w:vanish/>
        </w:rPr>
      </w:pPr>
      <w:r w:rsidRPr="00AB7ABC">
        <w:rPr>
          <w:i/>
        </w:rPr>
        <w:fldChar w:fldCharType="begin"/>
      </w:r>
      <w:r w:rsidRPr="00AB7ABC">
        <w:rPr>
          <w:i/>
        </w:rPr>
        <w:instrText xml:space="preserve"> TC"(</w:instrText>
      </w:r>
      <w:bookmarkStart w:id="2" w:name="DocNumber"/>
      <w:r w:rsidRPr="00AB7ABC">
        <w:rPr>
          <w:i/>
        </w:rPr>
        <w:instrText>A9-0407/2023</w:instrText>
      </w:r>
      <w:bookmarkEnd w:id="2"/>
      <w:r w:rsidRPr="00AB7ABC">
        <w:rPr>
          <w:i/>
        </w:rPr>
        <w:instrText xml:space="preserve"> - Εισηγητής: Karsten Lucke)"\l3 \n&gt; \* MERGEFORMAT </w:instrText>
      </w:r>
      <w:r w:rsidRPr="00AB7ABC">
        <w:rPr>
          <w:i/>
        </w:rPr>
        <w:fldChar w:fldCharType="end"/>
      </w:r>
    </w:p>
    <w:p w:rsidR="00EA6389" w:rsidRPr="00AB7ABC" w:rsidRDefault="00EA6389" w:rsidP="00EA6389">
      <w:pPr>
        <w:rPr>
          <w:vanish/>
        </w:rPr>
      </w:pPr>
      <w:bookmarkStart w:id="3" w:name="Commission"/>
      <w:r w:rsidRPr="00AB7ABC">
        <w:rPr>
          <w:vanish/>
        </w:rPr>
        <w:t>Επιτροπή Εξωτερικών Υποθέσεων</w:t>
      </w:r>
      <w:bookmarkEnd w:id="3"/>
    </w:p>
    <w:p w:rsidR="00EA6389" w:rsidRPr="00AB7ABC" w:rsidRDefault="00EA6389" w:rsidP="00EA6389">
      <w:pPr>
        <w:rPr>
          <w:vanish/>
        </w:rPr>
      </w:pPr>
      <w:bookmarkStart w:id="4" w:name="PE"/>
      <w:r w:rsidRPr="00AB7ABC">
        <w:rPr>
          <w:vanish/>
        </w:rPr>
        <w:t>PE752.889</w:t>
      </w:r>
      <w:bookmarkEnd w:id="4"/>
    </w:p>
    <w:p w:rsidR="00EA6389" w:rsidRPr="00AB7ABC" w:rsidRDefault="00EA6389" w:rsidP="00EA6389">
      <w:pPr>
        <w:pStyle w:val="ATHeading3"/>
      </w:pPr>
      <w:bookmarkStart w:id="5" w:name="Sujet"/>
      <w:r w:rsidRPr="00AB7ABC">
        <w:t xml:space="preserve">Ψήφισμα του Ευρωπαϊκού Κοινοβουλίου </w:t>
      </w:r>
      <w:r w:rsidR="00E2668E" w:rsidRPr="00AB7ABC">
        <w:t xml:space="preserve">της </w:t>
      </w:r>
      <w:r w:rsidR="00A23233" w:rsidRPr="00AB7ABC">
        <w:t>17</w:t>
      </w:r>
      <w:r w:rsidR="00E2668E" w:rsidRPr="00AB7ABC">
        <w:t xml:space="preserve">ης Ιανουαρίου 2024 </w:t>
      </w:r>
      <w:r w:rsidRPr="00AB7ABC">
        <w:t>σχετικά με τη στρατηγική της ΕΕ για την Κεντρική Ασία</w:t>
      </w:r>
      <w:bookmarkEnd w:id="5"/>
      <w:r w:rsidRPr="00AB7ABC">
        <w:t xml:space="preserve"> </w:t>
      </w:r>
      <w:bookmarkStart w:id="6" w:name="References"/>
      <w:r w:rsidRPr="00AB7ABC">
        <w:t>(2023/2106(INI))</w:t>
      </w:r>
      <w:bookmarkEnd w:id="6"/>
    </w:p>
    <w:p w:rsidR="00C803E4" w:rsidRPr="00AB7ABC" w:rsidRDefault="00C803E4" w:rsidP="00C803E4">
      <w:pPr>
        <w:pStyle w:val="EPComma"/>
      </w:pPr>
      <w:bookmarkStart w:id="7" w:name="TextBodyBegin"/>
      <w:bookmarkEnd w:id="7"/>
      <w:r w:rsidRPr="00AB7ABC">
        <w:rPr>
          <w:i/>
        </w:rPr>
        <w:t>Το Ευρωπαϊκό Κοινοβούλιο</w:t>
      </w:r>
      <w:r w:rsidRPr="00AB7ABC">
        <w:t>,</w:t>
      </w:r>
    </w:p>
    <w:p w:rsidR="00C803E4" w:rsidRPr="00AB7ABC" w:rsidRDefault="00C803E4" w:rsidP="00E2668E">
      <w:pPr>
        <w:pStyle w:val="NormalHanging12a"/>
        <w:widowControl/>
      </w:pPr>
      <w:r w:rsidRPr="00AB7ABC">
        <w:t>–</w:t>
      </w:r>
      <w:r w:rsidRPr="00AB7ABC">
        <w:tab/>
        <w:t>έχοντας υπόψη την κοινή ανακοίνωση της Επιτροπής και της Ύπατης Εκπροσώπου της Ένωσης για Θέματα Εξωτερικής Πολιτικής</w:t>
      </w:r>
      <w:r w:rsidR="00507AA8">
        <w:t xml:space="preserve"> και Πολιτικής Ασφαλείας, της 15</w:t>
      </w:r>
      <w:bookmarkStart w:id="8" w:name="_GoBack"/>
      <w:bookmarkEnd w:id="8"/>
      <w:r w:rsidRPr="00AB7ABC">
        <w:t>ης Μαΐου 2019, με τίτλο «ΕΕ και Κεντρική Ασία: Νέες ευκαιρίες για μια ισχυρότερη εταιρική σχέση» (JOIN(2019)0009),</w:t>
      </w:r>
    </w:p>
    <w:p w:rsidR="00C803E4" w:rsidRPr="00AB7ABC" w:rsidRDefault="00C803E4" w:rsidP="00E2668E">
      <w:pPr>
        <w:pStyle w:val="NormalHanging12a"/>
        <w:widowControl/>
      </w:pPr>
      <w:r w:rsidRPr="00AB7ABC">
        <w:t>–</w:t>
      </w:r>
      <w:r w:rsidRPr="00AB7ABC">
        <w:tab/>
        <w:t>έχοντας υπόψη τα συμπεράσματα του Συμβουλίου, της 17ης Ιουνίου 2019, σχετικά με τη νέα στρατηγική για την Κεντρική Ασία,</w:t>
      </w:r>
    </w:p>
    <w:p w:rsidR="00C803E4" w:rsidRPr="00AB7ABC" w:rsidRDefault="00C803E4" w:rsidP="00E2668E">
      <w:pPr>
        <w:pStyle w:val="NormalHanging12a"/>
        <w:widowControl/>
      </w:pPr>
      <w:r w:rsidRPr="00AB7ABC">
        <w:t>–</w:t>
      </w:r>
      <w:r w:rsidRPr="00AB7ABC">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19ης Σεπτεμβρίου 2018, με τίτλο «Σύνδεση της Ευρώπης και της Ασίας – Δομικά στοιχεία μιας στρατηγικής της ΕΕ» (JOIN(2018)0031),</w:t>
      </w:r>
    </w:p>
    <w:p w:rsidR="00C803E4" w:rsidRPr="00AB7ABC" w:rsidRDefault="00C803E4" w:rsidP="00E2668E">
      <w:pPr>
        <w:pStyle w:val="NormalHanging12a"/>
        <w:widowControl/>
      </w:pPr>
      <w:r w:rsidRPr="00AB7ABC">
        <w:t>–</w:t>
      </w:r>
      <w:r w:rsidRPr="00AB7ABC">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 Δεκεμβρίου 2021, με τίτλο «Global Gateway» (JOIN(2021)0030),</w:t>
      </w:r>
    </w:p>
    <w:p w:rsidR="00C803E4" w:rsidRPr="00AB7ABC" w:rsidRDefault="00C803E4" w:rsidP="00E2668E">
      <w:pPr>
        <w:pStyle w:val="NormalHanging12a"/>
        <w:widowControl/>
      </w:pPr>
      <w:r w:rsidRPr="00AB7ABC">
        <w:t>–</w:t>
      </w:r>
      <w:r w:rsidRPr="00AB7ABC">
        <w:tab/>
        <w:t>έχοντας υπόψη τα αποτελέσματα της 18ης συνόδου των υπουργών Εξωτερικών ΕΕ–Κεντρικής Ασίας, η οποία πραγματοποιήθηκε στις 17 Νοεμβρίου 2022 στη Σαμαρκάνδη και εστίασε στην εξεύρεση λύσεων σε κοινές προκλήσεις,</w:t>
      </w:r>
    </w:p>
    <w:p w:rsidR="00C803E4" w:rsidRPr="00AB7ABC" w:rsidRDefault="00C803E4" w:rsidP="00E2668E">
      <w:pPr>
        <w:pStyle w:val="NormalHanging12a"/>
        <w:widowControl/>
      </w:pPr>
      <w:r w:rsidRPr="00AB7ABC">
        <w:t>–</w:t>
      </w:r>
      <w:r w:rsidRPr="00AB7ABC">
        <w:tab/>
        <w:t>έχοντας υπόψη το κοινό ανακοινωθέν Τύπου των αρχηγών κρατών της Κεντρικής Ασίας και του Προέδρου του Ευρωπαϊκού Συμβουλίου, το οποίο εκδόθηκε μετά τη δεύτερη περιφερειακή συνάντηση υψηλού επιπέδου που πραγματοποιήθηκε στην Τσόλπον-Άτα στις 2 Ιουνίου 2023,</w:t>
      </w:r>
    </w:p>
    <w:p w:rsidR="00C803E4" w:rsidRPr="00AB7ABC" w:rsidRDefault="00C803E4" w:rsidP="00E2668E">
      <w:pPr>
        <w:pStyle w:val="NormalHanging12a"/>
        <w:widowControl/>
      </w:pPr>
      <w:r w:rsidRPr="00AB7ABC">
        <w:lastRenderedPageBreak/>
        <w:t>–</w:t>
      </w:r>
      <w:r w:rsidRPr="00AB7ABC">
        <w:tab/>
        <w:t>έχοντας υπόψη την ενισχυμένη συμφωνία εταιρικής σχέσης και συνεργασίας μεταξύ της Ευρωπαϊκής Ένωσης και των κρατών μελών της αφενός, και της Δημοκρατίας του Καζακστάν αφετέρου</w:t>
      </w:r>
      <w:r w:rsidRPr="00AB7ABC">
        <w:rPr>
          <w:rStyle w:val="FootnoteReference"/>
        </w:rPr>
        <w:footnoteReference w:id="1"/>
      </w:r>
      <w:r w:rsidRPr="00AB7ABC">
        <w:t>,</w:t>
      </w:r>
    </w:p>
    <w:p w:rsidR="00C803E4" w:rsidRPr="00AB7ABC" w:rsidRDefault="00C803E4" w:rsidP="00E2668E">
      <w:pPr>
        <w:pStyle w:val="NormalHanging12a"/>
        <w:widowControl/>
      </w:pPr>
      <w:r w:rsidRPr="00AB7ABC">
        <w:t>–</w:t>
      </w:r>
      <w:r w:rsidRPr="00AB7ABC">
        <w:tab/>
        <w:t>έχοντας υπόψη τη συμφωνία για τη σύναψη εταιρικής σχέσης και συνεργασίας μεταξύ των Ευρωπαϊκών Κοινοτήτων και των κρατών μελών τους, αφενός, και της Δημοκρατίας του Κιργιζιστάν, αφετέρου</w:t>
      </w:r>
      <w:r w:rsidRPr="00AB7ABC">
        <w:rPr>
          <w:rStyle w:val="FootnoteReference"/>
        </w:rPr>
        <w:footnoteReference w:id="2"/>
      </w:r>
      <w:r w:rsidRPr="00AB7ABC">
        <w:t>,</w:t>
      </w:r>
    </w:p>
    <w:p w:rsidR="00C803E4" w:rsidRPr="00AB7ABC" w:rsidRDefault="00C803E4" w:rsidP="00E2668E">
      <w:pPr>
        <w:pStyle w:val="NormalHanging12a"/>
        <w:widowControl/>
      </w:pPr>
      <w:r w:rsidRPr="00AB7ABC">
        <w:t>–</w:t>
      </w:r>
      <w:r w:rsidRPr="00AB7ABC">
        <w:tab/>
        <w:t>έχοντας υπόψη την πρόταση της Επιτροπής, της 13ης Ιουνίου 2022, για απόφαση του Συμβουλίου σχετικά με τη σύναψη, εξ ονόματος της Ευρωπαϊκής Ένωσης, της ενισχυμένης συμφωνίας εταιρικής σχέσης και συνεργασίας μεταξύ της Ευρωπαϊκής Ένωσης, αφενός, και της Δημοκρατίας της Κιργιζίας, αφετέρου (COM(2022)0277),</w:t>
      </w:r>
    </w:p>
    <w:p w:rsidR="00C803E4" w:rsidRPr="00AB7ABC" w:rsidRDefault="00C803E4" w:rsidP="00E2668E">
      <w:pPr>
        <w:pStyle w:val="NormalHanging12a"/>
        <w:widowControl/>
      </w:pPr>
      <w:r w:rsidRPr="00AB7ABC">
        <w:t>–</w:t>
      </w:r>
      <w:r w:rsidRPr="00AB7ABC">
        <w:tab/>
        <w:t>έχοντας υπόψη τη συμφωνία για τη σύναψη εταιρικής σχέσης και συνεργασίας μεταξύ των Ευρωπαϊκών Κοινοτήτων και των κρατών μελών τους, αφενός, και της Δημοκρατίας του Τατζικιστάν, αφετέρου</w:t>
      </w:r>
      <w:r w:rsidRPr="00AB7ABC">
        <w:rPr>
          <w:rStyle w:val="FootnoteReference"/>
        </w:rPr>
        <w:footnoteReference w:id="3"/>
      </w:r>
      <w:r w:rsidRPr="00AB7ABC">
        <w:t>,</w:t>
      </w:r>
    </w:p>
    <w:p w:rsidR="00C803E4" w:rsidRPr="00AB7ABC" w:rsidRDefault="00C803E4" w:rsidP="00E2668E">
      <w:pPr>
        <w:pStyle w:val="NormalHanging12a"/>
        <w:widowControl/>
      </w:pPr>
      <w:r w:rsidRPr="00AB7ABC">
        <w:t>–</w:t>
      </w:r>
      <w:r w:rsidRPr="00AB7ABC">
        <w:tab/>
        <w:t>έχοντας υπόψη τη συμφωνία για τη σύναψη εταιρικής σχέσης και συνεργασίας μεταξύ των Ευρωπαϊκών Κοινοτήτων και των κρατών μελών τους, αφενός, και της Δημοκρατίας του Ουζμπεκιστάν, αφετέρου</w:t>
      </w:r>
      <w:r w:rsidRPr="00AB7ABC">
        <w:rPr>
          <w:rStyle w:val="FootnoteReference"/>
        </w:rPr>
        <w:footnoteReference w:id="4"/>
      </w:r>
      <w:r w:rsidRPr="00AB7ABC">
        <w:t>,</w:t>
      </w:r>
    </w:p>
    <w:p w:rsidR="00C803E4" w:rsidRPr="00AB7ABC" w:rsidRDefault="00C803E4" w:rsidP="00E2668E">
      <w:pPr>
        <w:pStyle w:val="NormalHanging12a"/>
        <w:widowControl/>
      </w:pPr>
      <w:r w:rsidRPr="00AB7ABC">
        <w:t>–</w:t>
      </w:r>
      <w:r w:rsidRPr="00AB7ABC">
        <w:tab/>
        <w:t>έχοντας υπόψη τα αποτελέσματα της διάσκεψης για τη συνδεσιμότητα ΕΕ-Κεντρικής Ασίας, που πραγματοποιήθηκε στις 18 Νοεμβρίου 2022, του δεύτερου οικονομικού φόρουμ ΕΕ-Κεντρικής Ασίας, που πραγματοποιήθηκε από τις 18 έως τις 19 Μαΐου 2023, του τέταρτου φόρουμ της κοινωνίας των πολιτών ΕΕ-Κεντρικής Ασίας, που πραγματοποιήθηκε στις 10 Μαρτίου 2023, και της έβδομης διάσκεψης υψηλού επιπέδου ΕΕ-Κεντρικής Ασίας για το περιβάλλον και τους υδάτινους πόρους, που πραγματοποιήθηκε από τις 23 έως τις 24 Φεβρουαρίου 2023,</w:t>
      </w:r>
    </w:p>
    <w:p w:rsidR="00C803E4" w:rsidRPr="00AB7ABC" w:rsidRDefault="00C803E4" w:rsidP="00E2668E">
      <w:pPr>
        <w:pStyle w:val="NormalHanging12a"/>
        <w:widowControl/>
      </w:pPr>
      <w:r w:rsidRPr="00AB7ABC">
        <w:t>–</w:t>
      </w:r>
      <w:r w:rsidRPr="00AB7ABC">
        <w:tab/>
        <w:t>έχοντας υπόψη τη χρηματοδοτούμενη από την ΕΕ μελέτη με τίτλο «Sustainable transport connections between Europe and Central Asia» (Βιώσιμες μεταφορικές συνδέσεις μεταξύ Ευρώπης και Κεντρικής Ασίας), η οποία εκπονήθηκε από την Ευρωπαϊκή Τράπεζα Ανασυγκρότησης και Ανάπτυξης και δημοσιεύτηκε στις 30 Ιουνίου 2023,</w:t>
      </w:r>
    </w:p>
    <w:p w:rsidR="00C803E4" w:rsidRPr="00AB7ABC" w:rsidRDefault="00C803E4" w:rsidP="00E2668E">
      <w:pPr>
        <w:pStyle w:val="NormalHanging12a"/>
        <w:widowControl/>
      </w:pPr>
      <w:r w:rsidRPr="00AB7ABC">
        <w:t>–</w:t>
      </w:r>
      <w:r w:rsidRPr="00AB7ABC">
        <w:tab/>
        <w:t>έχοντας υπόψη το μνημόνιο συνεννόησης μεταξύ της ΕΕ και του Καζακστάν για μια στρατηγική εταιρική σχέση στον τομέα των πρώτων υλών, των συσσωρευτών και του ανανεώσιμου υδρογόνου, που υπεγράφη στις 7 Νοεμβρίου 2022,</w:t>
      </w:r>
    </w:p>
    <w:p w:rsidR="00C803E4" w:rsidRPr="00AB7ABC" w:rsidRDefault="00C803E4" w:rsidP="00E2668E">
      <w:pPr>
        <w:pStyle w:val="NormalHanging12a"/>
        <w:widowControl/>
      </w:pPr>
      <w:r w:rsidRPr="00AB7ABC">
        <w:t>–</w:t>
      </w:r>
      <w:r w:rsidRPr="00AB7ABC">
        <w:tab/>
        <w:t>έχοντας υπόψη τα αποτελέσματα των διαλόγων για τα ανθρώπινα δικαιώματα με τα κράτη της Κεντρικής Ασίας,</w:t>
      </w:r>
    </w:p>
    <w:p w:rsidR="00C803E4" w:rsidRPr="00AB7ABC" w:rsidRDefault="00C803E4" w:rsidP="00E2668E">
      <w:pPr>
        <w:pStyle w:val="NormalHanging12a"/>
        <w:widowControl/>
      </w:pPr>
      <w:r w:rsidRPr="00AB7ABC">
        <w:t>–</w:t>
      </w:r>
      <w:r w:rsidRPr="00AB7ABC">
        <w:tab/>
        <w:t>έχοντας υπόψη τον κοινό χάρτη πορείας για την εμβάθυνση των δεσμών μεταξύ της ΕΕ και της Κεντρικής Ασίας, ο οποίος εγκρίθηκε κατά την 19η υπουργική σύνοδο ΕΕ-Κεντρικής Ασίας που πραγματοποιήθηκε στις 23 Οκτωβρίου 2023,</w:t>
      </w:r>
    </w:p>
    <w:p w:rsidR="00C803E4" w:rsidRPr="00AB7ABC" w:rsidRDefault="00C803E4" w:rsidP="00E2668E">
      <w:pPr>
        <w:pStyle w:val="NormalHanging12a"/>
        <w:widowControl/>
      </w:pPr>
      <w:r w:rsidRPr="00AB7ABC">
        <w:lastRenderedPageBreak/>
        <w:t>–</w:t>
      </w:r>
      <w:r w:rsidRPr="00AB7ABC">
        <w:tab/>
        <w:t>έχοντας υπόψη την κοινή δήλωση των αρχηγών κρατών της Κεντρικής Ασίας και του Ομοσπονδιακού Καγκελάριου της Γερμανίας μετά τη σύνοδο κορυφής της 29ης Σεπτεμβρίου 2023 στο Βερολίνο,</w:t>
      </w:r>
    </w:p>
    <w:p w:rsidR="00C803E4" w:rsidRPr="00AB7ABC" w:rsidRDefault="00C803E4" w:rsidP="00E2668E">
      <w:pPr>
        <w:pStyle w:val="NormalHanging12a"/>
        <w:widowControl/>
      </w:pPr>
      <w:r w:rsidRPr="00AB7ABC">
        <w:t>–</w:t>
      </w:r>
      <w:r w:rsidRPr="00AB7ABC">
        <w:tab/>
        <w:t>έχοντας υπόψη τα προηγούμενα ψηφίσματά του σχετικά με το Καζακστάν, την Κιργιζία, το Τατζικιστάν, το Τουρκμενιστάν και το Ουζμπεκιστάν,</w:t>
      </w:r>
    </w:p>
    <w:p w:rsidR="00C803E4" w:rsidRPr="00AB7ABC" w:rsidRDefault="00C803E4" w:rsidP="00E2668E">
      <w:pPr>
        <w:pStyle w:val="NormalHanging12a"/>
        <w:widowControl/>
      </w:pPr>
      <w:r w:rsidRPr="00AB7ABC">
        <w:t>–</w:t>
      </w:r>
      <w:r w:rsidRPr="00AB7ABC">
        <w:tab/>
        <w:t>έχοντας υπόψη το τρίτο σχέδιο δράσης της ΕΕ για θέματα φύλου 2021-2025,</w:t>
      </w:r>
    </w:p>
    <w:p w:rsidR="00C803E4" w:rsidRPr="00AB7ABC" w:rsidRDefault="00C803E4" w:rsidP="00E2668E">
      <w:pPr>
        <w:pStyle w:val="NormalHanging12a"/>
        <w:widowControl/>
        <w:rPr>
          <w:b/>
          <w:i/>
        </w:rPr>
      </w:pPr>
      <w:r w:rsidRPr="00AB7ABC">
        <w:rPr>
          <w:b/>
          <w:i/>
        </w:rPr>
        <w:t>–</w:t>
      </w:r>
      <w:r w:rsidRPr="00AB7ABC">
        <w:rPr>
          <w:b/>
          <w:i/>
        </w:rPr>
        <w:tab/>
      </w:r>
      <w:r w:rsidRPr="00AB7ABC">
        <w:t>έχοντας υπόψη το ψήφισμά του, της 23ης Οκτωβρίου 2020</w:t>
      </w:r>
      <w:r w:rsidR="00E2668E" w:rsidRPr="00AB7ABC">
        <w:t>,</w:t>
      </w:r>
      <w:r w:rsidRPr="00AB7ABC">
        <w:t xml:space="preserve"> σχετικά με την ισότητα των φύλων στην εξωτερική πολιτική και πολιτική ασφάλειας της ΕΕ</w:t>
      </w:r>
      <w:r w:rsidRPr="00AB7ABC">
        <w:rPr>
          <w:vertAlign w:val="superscript"/>
        </w:rPr>
        <w:footnoteReference w:id="5"/>
      </w:r>
      <w:r w:rsidRPr="00AB7ABC">
        <w:t>,</w:t>
      </w:r>
    </w:p>
    <w:p w:rsidR="00C803E4" w:rsidRPr="00AB7ABC" w:rsidRDefault="00C803E4" w:rsidP="00E2668E">
      <w:pPr>
        <w:pStyle w:val="NormalHanging12a"/>
        <w:widowControl/>
      </w:pPr>
      <w:r w:rsidRPr="00AB7ABC">
        <w:t>–</w:t>
      </w:r>
      <w:r w:rsidRPr="00AB7ABC">
        <w:tab/>
        <w:t>έχοντας υπόψη το άρθρο 54 του Κανονισμού του,</w:t>
      </w:r>
    </w:p>
    <w:p w:rsidR="00C803E4" w:rsidRPr="00AB7ABC" w:rsidRDefault="00C803E4" w:rsidP="00E2668E">
      <w:pPr>
        <w:pStyle w:val="NormalHanging12a"/>
        <w:widowControl/>
      </w:pPr>
      <w:r w:rsidRPr="00AB7ABC">
        <w:t>–</w:t>
      </w:r>
      <w:r w:rsidRPr="00AB7ABC">
        <w:tab/>
        <w:t>έχοντας υπόψη την έκθεση της Επιτροπής Εξωτερικών Υποθέσεων (A9-0407/2023),</w:t>
      </w:r>
    </w:p>
    <w:p w:rsidR="00C803E4" w:rsidRPr="00AB7ABC" w:rsidRDefault="00C803E4" w:rsidP="00E2668E">
      <w:pPr>
        <w:pStyle w:val="NormalHanging12a"/>
        <w:widowControl/>
      </w:pPr>
      <w:r w:rsidRPr="00AB7ABC">
        <w:t>Α.</w:t>
      </w:r>
      <w:r w:rsidRPr="00AB7ABC">
        <w:tab/>
        <w:t>λαμβάνοντας υπόψη ότι, μετά την έγκριση της στρατηγικής της ΕΕ για την Κεντρική Ασία το 2019, η περιοχή έχει πληγεί από σημαντικούς εξωτερικούς παράγοντες, όπως ο παράνομος επιθετικός πόλεμος της Ρωσίας κατά της Ουκρανίας, η κατάληψη του Αφγανιστάν από τους Ταλιμπάν και η όλο και πιο παρεμβατική πολιτική της Κίνας, καθώς και από την εσωτερική αστάθεια, ιδίως από τις βίαιες αναταραχές στο Καζακστάν τον Ιανουάριο του 2022, τις βίαιες κατασταλτικές ενέργειες μετά τις διαμαρτυρίες Παμιριτών στην αυτόνομη περιφέρεια Γκόρνο-Μπαντακσάν, στο Τατζικιστάν, τον Νοέμβριο του 2021 και τον Μάιο του 2022, και στη Δημοκρατία του Καρακαλπακστάν, στο Ουζμπεκιστάν, τον Ιούλιο του 2022, και επανειλημμένες συγκρούσεις στα σύνορα Κιργιζίας-Τατζικιστάν·</w:t>
      </w:r>
    </w:p>
    <w:p w:rsidR="00C803E4" w:rsidRPr="00AB7ABC" w:rsidRDefault="00C803E4" w:rsidP="00E2668E">
      <w:pPr>
        <w:pStyle w:val="NormalHanging12a"/>
        <w:widowControl/>
      </w:pPr>
      <w:r w:rsidRPr="00AB7ABC">
        <w:t>Β.</w:t>
      </w:r>
      <w:r w:rsidRPr="00AB7ABC">
        <w:tab/>
        <w:t>λαμβάνοντας υπόψη ότι η Κεντρική Ασία είναι περιοχή στρατηγικού ενδιαφέροντος για την ΕΕ όσον αφορά την ασφάλεια και τη συνδεσιμότητα, καθώς και τη διαφοροποίηση της ενέργειας και των πόρων, την επίλυση συγκρούσεων και την υπεράσπιση της πολυμερούς και βασισμένης σε κανόνες διεθνούς τάξης, η οποία αμφισβητείται από την επίθεση της Ρωσίας στις αξίες μας, την επιδείνωση της παγκόσμιας επισιτιστικής κρίσης, την επιθετικότητα και τις φρικαλεότητες, τη διάδοση της παραπληροφόρησης, την εργαλειοποίηση της διαφθοράς και τις επεμβάσεις στις εκλογές·</w:t>
      </w:r>
    </w:p>
    <w:p w:rsidR="00C803E4" w:rsidRPr="00AB7ABC" w:rsidRDefault="00C803E4" w:rsidP="00E2668E">
      <w:pPr>
        <w:pStyle w:val="NormalHanging12a"/>
        <w:widowControl/>
      </w:pPr>
      <w:r w:rsidRPr="00AB7ABC">
        <w:t>Γ.</w:t>
      </w:r>
      <w:r w:rsidRPr="00AB7ABC">
        <w:tab/>
        <w:t>λαμβάνοντας υπόψη ότι κανένα από τα κράτη της Κεντρικής Ασίας δεν υποστηρίζει την εισβολή της Ρωσίας στην Ουκρανία και δεν αναγνωρίζει ουκρανικές περιοχές προσαρτημένες από τη Ρωσία ως τμήματα της Ρωσικής Ομοσπονδίας·</w:t>
      </w:r>
    </w:p>
    <w:p w:rsidR="00C803E4" w:rsidRPr="00AB7ABC" w:rsidRDefault="00C803E4" w:rsidP="00E2668E">
      <w:pPr>
        <w:pStyle w:val="NormalHanging12a"/>
        <w:widowControl/>
      </w:pPr>
      <w:r w:rsidRPr="00AB7ABC">
        <w:t>Δ.</w:t>
      </w:r>
      <w:r w:rsidRPr="00AB7ABC">
        <w:tab/>
        <w:t>λαμβάνοντας υπόψη ότι στις 28 Μαρτίου 2023 ο Ειδικός Απεσταλμένος της Ευρωπαϊκής Ένωσης για τις Κυρώσεις κάλεσε τις χώρες της περιοχής να αποφεύγουν να βοηθούν τις προσπάθειες της Μόσχας να παρακάμπτει τις κυρώσεις που επιβλήθηκαν στη Ρωσία λόγω της επίθεσης κατά της Ουκρανίας·</w:t>
      </w:r>
    </w:p>
    <w:p w:rsidR="00C803E4" w:rsidRPr="00AB7ABC" w:rsidRDefault="00C803E4" w:rsidP="00E2668E">
      <w:pPr>
        <w:pStyle w:val="NormalHanging12a"/>
        <w:widowControl/>
      </w:pPr>
      <w:r w:rsidRPr="00AB7ABC">
        <w:t>Ε.</w:t>
      </w:r>
      <w:r w:rsidRPr="00AB7ABC">
        <w:tab/>
        <w:t>λαμβάνοντας υπόψη ότι Ρώσοι αξιωματούχοι και προπαγανδιστές εξακολουθούν να χρησιμοποιούν επιθετική ρητορική εναντίον ορισμένων κρατών της Κεντρικής Ασίας, ιδίως κατά του Καζακστάν, αμφισβητώντας την εδαφική του ακεραιότητα και την εθνική του ταυτότητα·</w:t>
      </w:r>
    </w:p>
    <w:p w:rsidR="00C803E4" w:rsidRPr="00AB7ABC" w:rsidRDefault="00C803E4" w:rsidP="00E2668E">
      <w:pPr>
        <w:pStyle w:val="NormalHanging12a"/>
        <w:widowControl/>
      </w:pPr>
      <w:r w:rsidRPr="00AB7ABC">
        <w:lastRenderedPageBreak/>
        <w:t>ΣΤ.</w:t>
      </w:r>
      <w:r w:rsidRPr="00AB7ABC">
        <w:tab/>
        <w:t>λαμβάνοντας υπόψη ότι περιστάσεις όπως η απομόνωση της Ρωσίας ως αποτέλεσμα του επιθετικού πολέμου της κατά της Ουκρανίας, η ενίσχυση των εμπορικών οδών μέσω της Κεντρικής Ασίας που παρακάμπτουν τη Ρωσία, η σχεδιαζόμενη διεύρυνση της ΕΕ στην Ανατολική Ευρώπη και η αυξανόμενη επιρροή της Κίνας στην περιοχή απαιτούν πλήρη επανεξέταση της στρατηγικής της ΕΕ για την Κεντρική Ασία και πιο ενεργή παρουσία της δημοκρατικής ΕΕ στην περιοχή ως εναλλακτική λύση αντί των επικρατούντων αυταρχικών καθεστώτων·</w:t>
      </w:r>
    </w:p>
    <w:p w:rsidR="00C803E4" w:rsidRPr="00AB7ABC" w:rsidRDefault="00C803E4" w:rsidP="00E2668E">
      <w:pPr>
        <w:pStyle w:val="NormalHanging12a"/>
        <w:widowControl/>
      </w:pPr>
      <w:r w:rsidRPr="00AB7ABC">
        <w:t>Ζ.</w:t>
      </w:r>
      <w:r w:rsidRPr="00AB7ABC">
        <w:tab/>
        <w:t>λαμβάνοντας υπόψη ότι είναι απαραίτητο να διασφαλιστεί η συνδεσιμότητα μεταξύ Ευρώπης και Ασίας κατά τρόπο που να αποφεύγει τη διέλευση από το ρωσικό έδαφος· λαμβάνοντας υπόψη ότι η ΕΕ έχει σημαντικό συμφέρον να αναπτυχθούν αποτελεσματικοί εμπορικοί και ενεργειακοί διάδρομοι μεταξύ Ευρώπης και Ασίας, όπως καταδεικνύεται στη διάσκεψη για τη συνδεσιμότητα μεταξύ της ΕΕ και της Κεντρικής Ασίας, η οποία πραγματοποιήθηκε στη Σαμαρκάνδη στις 18 Νοεμβρίου 2022·</w:t>
      </w:r>
    </w:p>
    <w:p w:rsidR="00C803E4" w:rsidRPr="00AB7ABC" w:rsidRDefault="00C803E4" w:rsidP="00E2668E">
      <w:pPr>
        <w:pStyle w:val="NormalHanging12a"/>
        <w:widowControl/>
      </w:pPr>
      <w:r w:rsidRPr="00AB7ABC">
        <w:t>Η.</w:t>
      </w:r>
      <w:r w:rsidRPr="00AB7ABC">
        <w:tab/>
        <w:t xml:space="preserve">λαμβάνοντας υπόψη ότι και τα πέντε κράτη της Κεντρικής Ασίας κύρωσαν τη συμφωνία του Παρισιού· λαμβάνοντας υπόψη ότι είναι ιδιαίτερα ευάλωτα στις συνέπειες της κλιματικής αλλαγής· λαμβάνοντας υπόψη ότι η απερίσκεπτη κακή διαχείριση των υδάτων και η ρύπανση μεγάλων ποταμών για την άρδευση βαμβακοκαλλιεργειών είχαν ως αποτέλεσμα την αναποτελεσματική χρήση και εκμετάλλευση των υδάτινων πόρων στην περιοχή· λαμβάνοντας υπόψη ότι οι παγετώνες στην Κεντρική Ασία εξακολουθούν να συρρικνώνονται ραγδαία, οξύνοντας μία από τις σοβαρότερες κρίσεις λειψυδρίας στη Γη και εκθέτοντας τον ευάλωτο πληθυσμό της περιοχής σε καταστροφικά υγειονομικά, οικολογικά και κοινωνικά προβλήματα· λαμβάνοντας υπόψη ότι οι συχνές συγκρούσεις στον τομέα των υδάτων και η πολιτική αστάθεια έχουν περιορίσει τον ενιαίο σχεδιασμό και την αποτελεσματική κατανομή των διασυνοριακών ποταμών· λαμβάνοντας υπόψη ότι οι γεωπολιτικές αλλαγές στην ευρύτερη περιοχή δημιουργούν ευκαιρίες για ουσιαστικότερη περιφερειακή συνεργασία· λαμβάνοντας υπόψη ότι η εν λόγω περιφερειακή συνεργασία έχει αποδειχθεί αποτελεσματική στο πλαίσιο της διπλωματίας του νερού και της επίλυσης συνοριακών διαφορών, θα είναι δε ακόμη πιο κρίσιμη για την αντιμετώπιση των αυξανόμενων διασυνοριακών απειλών που θέτει η κλιματική αλλαγή· </w:t>
      </w:r>
    </w:p>
    <w:p w:rsidR="00C803E4" w:rsidRPr="00AB7ABC" w:rsidRDefault="00C803E4" w:rsidP="00E2668E">
      <w:pPr>
        <w:pStyle w:val="NormalHanging12a"/>
        <w:widowControl/>
      </w:pPr>
      <w:r w:rsidRPr="00AB7ABC">
        <w:t>Θ.</w:t>
      </w:r>
      <w:r w:rsidRPr="00AB7ABC">
        <w:tab/>
        <w:t xml:space="preserve">λαμβάνοντας υπόψη ότι οι ενισχυμένες συμφωνίες εταιρικής σχέσης και συνεργασίας (ΕΣΕΣΣ) είναι συμφωνίες νέας γενιάς που αποτελούν τον ακρογωνιαίο λίθο της συνεργασίας της ΕΕ με την Κεντρική Ασία· λαμβάνοντας υπόψη ότι το Καζακστάν ήταν το πρώτο κράτος της Κεντρικής Ασίας που υπέγραψε ΕΣΕΣΣ το 2015, η οποία τέθηκε σε ισχύ την 1η Μαρτίου 2020 μετά την κύρωσή της από όλα τα κράτη μέλη, και θα πρέπει να επανεξετάζεται περιοδικά· λαμβάνοντας υπόψη ότι οι διαπραγματεύσεις για την ΕΣΕΣΣ ΕΕ-Κιργιζίας ολοκληρώθηκαν στις 6 Ιουλίου 2019, αλλά η συμφωνία δεν έχει ακόμη υπογραφεί λόγω νομικής διαφοράς μεταξύ Συμβουλίου και Επιτροπής· λαμβάνοντας υπόψη ότι οι διαπραγματεύσεις για την ΕΣΕΣΣ ΕΕ-Ουζμπεκιστάν ολοκληρώθηκαν στις 6 Ιουλίου 2022· λαμβάνοντας υπόψη ότι στις αρχές του 2023, η ΕΕ και το Τατζικιστάν ξεκίνησαν διαπραγματεύσεις για μια ΕΣΕΣΣ· λαμβάνοντας υπόψη ότι το 1998 υπεγράφη συμφωνία εταιρικής σχέσης και συνεργασίας (ΣΕΣΣ) με το Τουρκμενιστάν, αλλά το Κοινοβούλιο δεν έχει δώσει την έγκρισή του για την κύρωση της συμφωνίας λόγω της έντονης ανησυχίας του για τους βραχυπρόθεσμους δείκτες αναφοράς ως προς την πρόοδο του Τουρκμενιστάν σχετικά με τα ανθρώπινα δικαιώματα και τις θεμελιώδεις ελευθερίες· </w:t>
      </w:r>
    </w:p>
    <w:p w:rsidR="00C803E4" w:rsidRPr="00AB7ABC" w:rsidRDefault="00C803E4" w:rsidP="00E2668E">
      <w:pPr>
        <w:pStyle w:val="NormalHanging12a"/>
        <w:widowControl/>
        <w:rPr>
          <w:bCs/>
        </w:rPr>
      </w:pPr>
      <w:r w:rsidRPr="00AB7ABC">
        <w:lastRenderedPageBreak/>
        <w:t>Ι.</w:t>
      </w:r>
      <w:r w:rsidRPr="00AB7ABC">
        <w:tab/>
        <w:t>λαμβάνοντας υπόψη ότι η πρώτη σύνοδος των ηγετών ΕΕ-Κεντρικής Ασίας πραγματοποιήθηκε στην Αστάνα στις 27 Οκτωβρίου 2022, ακολουθούμενη από μια δεύτερη τέτοια συνάντηση στην Τσόλπον-Άτα στις 2 Ιουνίου 2023· λαμβάνοντας υπόψη ότι έχει προγραμματιστεί σύνοδος κορυφής των ηγετών για το 2024· λαμβάνοντας υπόψη ότι οι συνεδριάσεις αυτές αντιπροσωπεύουν περαιτέρω θεσμοθέτηση των σχέσεων ΕΕ-Κεντρικής Ασίας και συμπληρώνουν το έργο των υφιστάμενων περιφερειακών διαλόγων και πλατφορμών·</w:t>
      </w:r>
    </w:p>
    <w:p w:rsidR="00C803E4" w:rsidRPr="00AB7ABC" w:rsidRDefault="00C803E4" w:rsidP="00E2668E">
      <w:pPr>
        <w:pStyle w:val="NormalHanging12a"/>
        <w:widowControl/>
      </w:pPr>
      <w:r w:rsidRPr="00AB7ABC">
        <w:t>ΙΑ.</w:t>
      </w:r>
      <w:r w:rsidRPr="00AB7ABC">
        <w:tab/>
        <w:t>λαμβάνοντας υπόψη ότι η πρώτη σύνοδος κορυφής C5+1 μεταξύ των ηγετών της Κεντρικής Ασίας και του Προέδρου των Ηνωμένων Πολιτειών πραγματοποιήθηκε στη Νέα Υόρκη στις 19 Σεπτεμβρίου 2023· λαμβάνοντας υπόψη ότι η σύνοδος κορυφής C5+Γερμανία πραγματοποιήθηκε στο Βερολίνο στις 29 Σεπτεμβρίου 2023·</w:t>
      </w:r>
    </w:p>
    <w:p w:rsidR="00C803E4" w:rsidRPr="00AB7ABC" w:rsidRDefault="00C803E4" w:rsidP="00E2668E">
      <w:pPr>
        <w:pStyle w:val="NormalHanging12a"/>
        <w:widowControl/>
        <w:rPr>
          <w:bCs/>
        </w:rPr>
      </w:pPr>
      <w:r w:rsidRPr="00AB7ABC">
        <w:t>ΙΒ.</w:t>
      </w:r>
      <w:r w:rsidRPr="00AB7ABC">
        <w:tab/>
        <w:t xml:space="preserve">λαμβάνοντας υπόψη ότι και τα πέντε κράτη της Κεντρικής Ασίας έχουν χαμηλή και φθίνουσα βαθμολογία σχετικά με τη δημοκρατία και ταξινομούνται ως αυταρχικά καθεστώτα και ως «μη ελεύθερα» στην έκθεση του Freedom House του 2023 για την ελευθερία στον κόσμο· λαμβάνοντας υπόψη ότι ο Παγκόσμιος Δείκτης Ελευθερίας του Τύπου για το 2023 ανέφερε σημαντική επιδείνωση της κατάστασης όσον αφορά την ελευθερία του Τύπου στην Κεντρική Ασία και ότι η μέση βαθμολογία για την Κεντρική Ασία στον δείκτη αντίληψης της διαφθοράς για το 2022 ήταν πολύ χαμηλότερη από τον παγκόσμιο μέσο όρο· λαμβάνοντας υπόψη ότι οι Δημοσιογράφοι Χωρίς Σύνορα έχουν αναφέρει πολυάριθμες περιπτώσεις αρχών της Κεντρικής Ασίας που ασκούν πίεση στα μέσα ενημέρωσης είτε να καλύψουν την εισβολή της Ρωσίας στην Ουκρανία με «ουδέτερο» τρόπο είτε να την αγνοήσουν εντελώς· </w:t>
      </w:r>
    </w:p>
    <w:p w:rsidR="00C803E4" w:rsidRPr="00AB7ABC" w:rsidRDefault="00C803E4" w:rsidP="00E2668E">
      <w:pPr>
        <w:pStyle w:val="NormalHanging12a"/>
        <w:widowControl/>
        <w:rPr>
          <w:b/>
          <w:i/>
        </w:rPr>
      </w:pPr>
      <w:r w:rsidRPr="00AB7ABC">
        <w:t>ΙΓ.</w:t>
      </w:r>
      <w:r w:rsidRPr="00AB7ABC">
        <w:tab/>
        <w:t>λαμβάνοντας υπόψη ότι η Επιτροπή Εξωτερικών Υποθέσεων του Κοινοβουλίου επισκέφθηκε το Τατζικιστάν και το Ουζμπεκιστάν στις 21-25 Φεβρουαρίου 2022 και το Καζακστάν και την Κιργιζία στις 21-25 Αυγούστου 2023· λαμβάνοντας υπόψη ότι η Αντιπροσωπεία της στις Επιτροπές Κοινοβουλευτικής Συνεργασίας ΕΕ-Καζακστάν, ΕΕ-Κιργιζίας, ΕΕ-Ουζμπεκιστάν και ΕΕ-Τατζικιστάν και για τις σχέσεις με το Τουρκμενιστάν και τη Μογγολία διατηρεί τακτικές διακοινοβουλευτικές σχέσεις με τις χώρες της Κεντρικής Ασίας·</w:t>
      </w:r>
    </w:p>
    <w:p w:rsidR="00C803E4" w:rsidRPr="00AB7ABC" w:rsidRDefault="00C803E4" w:rsidP="00E2668E">
      <w:pPr>
        <w:pStyle w:val="NormalHanging12a"/>
        <w:widowControl/>
        <w:rPr>
          <w:b/>
          <w:i/>
        </w:rPr>
      </w:pPr>
      <w:r w:rsidRPr="00AB7ABC">
        <w:t>ΙΔ.</w:t>
      </w:r>
      <w:r w:rsidRPr="00AB7ABC">
        <w:tab/>
        <w:t>λαμβάνοντας υπόψη ότι στην Κεντρική Ασία υπάρχουν βάσιμοι φόβοι για ριζοσπαστικοποίηση, αυξανόμενο εξτρεμισμό και τρομοκρατική απειλή, καθώς μεγάλος αριθμός πρώην μαχητών του ISIS επιστρέφουν στην περιοχή, ενώ η κατάσταση ασφάλειας στο Αφγανιστάν είναι απελπιστική·</w:t>
      </w:r>
    </w:p>
    <w:p w:rsidR="00C803E4" w:rsidRPr="00AB7ABC" w:rsidRDefault="00C803E4" w:rsidP="00E2668E">
      <w:pPr>
        <w:pStyle w:val="NormalHanging12a"/>
        <w:widowControl/>
        <w:rPr>
          <w:b/>
          <w:i/>
        </w:rPr>
      </w:pPr>
      <w:r w:rsidRPr="00AB7ABC">
        <w:t>ΙΕ.</w:t>
      </w:r>
      <w:r w:rsidRPr="00AB7ABC">
        <w:tab/>
        <w:t>λαμβάνοντας υπόψη ότι οι γυναίκες και τα κορίτσια στην Κεντρική Ασία παραμένουν ιδιαίτερα ευάλωτες στην κακοποίηση, δεδομένου μάλιστα ότι υπάρχει υψηλό επίπεδο αποδοχής της βίας κατά των γυναικών και χαμηλή ευαισθητοποίηση σχετικά με τα έμφυλα στερεότυπα·</w:t>
      </w:r>
    </w:p>
    <w:p w:rsidR="00C803E4" w:rsidRPr="00AB7ABC" w:rsidRDefault="00C803E4" w:rsidP="00E2668E">
      <w:pPr>
        <w:pStyle w:val="NormalHanging12a"/>
        <w:widowControl/>
      </w:pPr>
      <w:r w:rsidRPr="00AB7ABC">
        <w:t>ΙΣΤ.</w:t>
      </w:r>
      <w:r w:rsidRPr="00AB7ABC">
        <w:tab/>
        <w:t>λαμβάνοντας υπόψη ότι οι γάμοι παιδιών παραμένουν συνηθισμένοι στην Κεντρική Ασία, ιδίως στην Κιργιζία και το Τατζικιστάν, όπου ένα στα οκτώ κορίτσια παντρεύεται πριν από την ηλικία των 18 ετών·</w:t>
      </w:r>
    </w:p>
    <w:p w:rsidR="00C803E4" w:rsidRPr="00AB7ABC" w:rsidRDefault="00C803E4" w:rsidP="00E2668E">
      <w:pPr>
        <w:pStyle w:val="NormalHanging12a"/>
        <w:widowControl/>
        <w:rPr>
          <w:bCs/>
        </w:rPr>
      </w:pPr>
      <w:r w:rsidRPr="00AB7ABC">
        <w:rPr>
          <w:rStyle w:val="BoldItalic"/>
        </w:rPr>
        <w:t>Συνεργασία της ΕΕ με την κεντρική Ασία</w:t>
      </w:r>
    </w:p>
    <w:p w:rsidR="00C803E4" w:rsidRPr="00AB7ABC" w:rsidRDefault="00AB7ABC" w:rsidP="00AB7ABC">
      <w:pPr>
        <w:pStyle w:val="NormalHanging12a"/>
        <w:widowControl/>
        <w:ind w:left="570" w:hanging="570"/>
      </w:pPr>
      <w:r w:rsidRPr="00AB7ABC">
        <w:t>1.</w:t>
      </w:r>
      <w:r w:rsidRPr="00AB7ABC">
        <w:tab/>
      </w:r>
      <w:r w:rsidR="00C803E4" w:rsidRPr="00AB7ABC">
        <w:t xml:space="preserve">υπογραμμίζει ότι η ΕΕ και η Κεντρική Ασία αντιμετωπίζουν βαθιές παγκόσμιες και περιφερειακές γεωπολιτικές αλλαγές και προκλήσεις, οι οποίες τους παρέχουν </w:t>
      </w:r>
      <w:r w:rsidR="00C803E4" w:rsidRPr="00AB7ABC">
        <w:lastRenderedPageBreak/>
        <w:t>σημαντική ώθηση για να εργαστούν με σκοπό μια μακρόπνοη, διαρθρωμένη και αμοιβαία επωφελή συνεργασία σε θέματα κοινού συμφέροντος· προτρέπει σθεναρά την ΕΕ να εντείνει τη συνεργασία της με την Κεντρική Ασία, δεδομένης της γεωστρατηγικής σημασίας της περιοχής, και να προωθήσει μια στρατηγική εταιρική σχέση με αυτές τις χώρες διευρύνοντας τη συνεργασία σε πολιτικό και οικονομικό επίπεδο· χαιρετίζει την αυξημένη επαφή υψηλού επιπέδου μεταξύ της ΕΕ και της Κεντρικής Ασίας, ιδίως τις συναντήσεις μεταξύ των αρχηγών κρατών της Κεντρικής Ασίας και του Προέδρου του Ευρωπαϊκού Συμβουλίου, καθώς και το έργο του ειδικού εντεταλμένου της ΕΕ για την Κεντρική Ασία· ζητεί να δοθεί συνέχεια σε όλες αυτές τις συνεδριάσεις και δηλώσεις υψηλού επιπέδου με συγκεκριμένες δράσεις· χαιρετίζει, στο πλαίσιο αυτό, το γεγονός ότι η πρώτη σύνοδος κορυφής ΕΕ-Κεντρικής Ασίας έχει προγραμματιστεί για το 2024· χαιρετίζει επίσης την έγκριση του κοινού χάρτη πορείας για την εμβάθυνση των δεσμών μεταξύ της ΕΕ και της Κεντρικής Ασίας, ο οποίος χρησιμεύει ως στρατηγικό σχέδιο για την προώθηση του διαλόγου και της συνεργασίας σε συγκεκριμένους τομείς, συμπεριλαμβανομένης της οικοδόμησης πολιτιστικής, κοινωνικής και οικονομικής ανθεκτικότητας· ενθαρρύνει την ΕΕ να συνεχίσει να προωθεί πολιτικές και οικονομικές μεταρρυθμίσεις που ενισχύουν το κράτος δικαίου, τη δημοκρατία, τη χρηστή διακυβέρνηση και τον σεβασμό των ανθρωπίνων δικαιωμάτων· σημειώνει ότι το Κοινοβούλιο είναι έτοιμο να προωθήσει την κοινοβουλευτική συνεργασία με την Κεντρική Ασία·</w:t>
      </w:r>
    </w:p>
    <w:p w:rsidR="00C803E4" w:rsidRPr="00AB7ABC" w:rsidRDefault="00AB7ABC" w:rsidP="00AB7ABC">
      <w:pPr>
        <w:pStyle w:val="NormalHanging12a"/>
        <w:widowControl/>
        <w:ind w:left="570" w:hanging="570"/>
      </w:pPr>
      <w:r w:rsidRPr="00AB7ABC">
        <w:t>2.</w:t>
      </w:r>
      <w:r w:rsidRPr="00AB7ABC">
        <w:tab/>
      </w:r>
      <w:r w:rsidR="00C803E4" w:rsidRPr="00AB7ABC">
        <w:t xml:space="preserve">σημειώνει ότι ο επιθετικός πόλεμος της Ρωσίας κατά της Ουκρανίας και η αυξημένη εθνικιστική της προπαγάνδα έχουν αποδυναμώσει τη θέση της Ρωσίας στην περιοχή και έχουν ενθαρρύνει την Κεντρική Ασία να συνεχίσει τη συνεργασία με άλλους παράγοντες· σημειώνει επίσης ότι οι παράγοντες αυτοί έχουν εντείνει τη συνεργασία τους με την Κεντρική Ασία· σημειώνει επίσης την εισχώρηση της Κίνας στην περιοχή· τονίζει ότι η ΕΕ έχει πλέον την ευκαιρία να επεκτείνει τους δεσμούς της με την Κεντρική Ασία και να διαδραματίσει σημαντικότερο ρόλο στην περιοχή· υπογραμμίζει ότι η ΕΕ θα πρέπει να αξιοποιήσει αυτή την ευκαιρία για να προωθήσει την αμοιβαία επωφελή συνεργασία και να προσφέρει στην Κεντρική Ασία μια εταιρική σχέση, η οποία μπορεί να αποτελέσει ειδικό δίαυλο σε μια ευρύτερη στρατηγική απέναντι στους ανατολικούς γείτονες της ΕΕ· πιστεύει ότι η ενίσχυση αυτής της συνεργασίας θα συμβάλει επίσης στην εξουδετέρωση της επιρροής της Ρωσίας στην περιοχή· </w:t>
      </w:r>
    </w:p>
    <w:p w:rsidR="00C803E4" w:rsidRPr="00AB7ABC" w:rsidRDefault="00AB7ABC" w:rsidP="00AB7ABC">
      <w:pPr>
        <w:pStyle w:val="NormalHanging12a"/>
        <w:widowControl/>
        <w:ind w:left="570" w:hanging="570"/>
      </w:pPr>
      <w:r w:rsidRPr="00AB7ABC">
        <w:t>3.</w:t>
      </w:r>
      <w:r w:rsidRPr="00AB7ABC">
        <w:tab/>
      </w:r>
      <w:r w:rsidR="00C803E4" w:rsidRPr="00AB7ABC">
        <w:t>υπογραμμίζει τη σημασία της διατλαντικής συνεργασίας για την Κεντρική Ασία και καλεί την ΕΕ να αναλάβει την πρωτοβουλία να επεξεργαστεί μαζί με τις Ηνωμένες Πολιτείες μια κοινή στρατηγική για την Κεντρική Ασία, η οποία θα πρέπει να περιλαμβάνει τη συνεργασία στους τομείς της προώθησης της δημοκρατίας, των επενδύσεων και του εμπορίου, της οικονομίας και της περιφερειακής ασφάλειας·</w:t>
      </w:r>
    </w:p>
    <w:p w:rsidR="00C803E4" w:rsidRPr="00AB7ABC" w:rsidRDefault="00AB7ABC" w:rsidP="00AB7ABC">
      <w:pPr>
        <w:pStyle w:val="NormalHanging12a"/>
        <w:widowControl/>
        <w:ind w:left="570" w:hanging="570"/>
      </w:pPr>
      <w:r w:rsidRPr="00AB7ABC">
        <w:t>4.</w:t>
      </w:r>
      <w:r w:rsidRPr="00AB7ABC">
        <w:tab/>
      </w:r>
      <w:r w:rsidR="00C803E4" w:rsidRPr="00AB7ABC">
        <w:t>επαναλαμβάνει τη δέσμευση της ΕΕ να συνεργαστεί με τις χώρες της Κεντρικής Ασίας για την ειρήνη, την ασφάλεια, τη σταθερότητα, την ευημερία και τη βιώσιμη ανάπτυξη, με πλήρη σεβασμό του διεθνούς δικαίου, καθώς και των αρχών του σεβασμού της ανεξαρτησίας, της κυριαρχίας και της εδαφικής ακεραιότητας όλων των χωρών, της μη χρήσης βίας ή απειλής της χρήσης της και της ειρηνικής επίλυσης των διεθνών διαφορών·</w:t>
      </w:r>
    </w:p>
    <w:p w:rsidR="00C803E4" w:rsidRPr="00AB7ABC" w:rsidRDefault="00AB7ABC" w:rsidP="00AB7ABC">
      <w:pPr>
        <w:pStyle w:val="NormalHanging12a"/>
        <w:widowControl/>
        <w:ind w:left="570" w:hanging="570"/>
      </w:pPr>
      <w:r w:rsidRPr="00AB7ABC">
        <w:t>5.</w:t>
      </w:r>
      <w:r w:rsidRPr="00AB7ABC">
        <w:tab/>
      </w:r>
      <w:r w:rsidR="00C803E4" w:rsidRPr="00AB7ABC">
        <w:t xml:space="preserve">απορρίπτει κάθε απόπειρα διευκόλυνσης ή υποβοήθησης με οποιονδήποτε τρόπο της διεθνούς αναγνώρισης της αποσχιστικής οντότητας στην κατεχόμενη Κύπρο, ιδίως σε σχέση με την εικαζόμενη αποδοχή της ως παρατηρητή στον Οργανισμό Τουρκογενών Κρατών· παροτρύνει τα ενδιαφερόμενα κράτη της Κεντρικής Ασίας να τηρήσουν </w:t>
      </w:r>
      <w:r w:rsidR="00C803E4" w:rsidRPr="00AB7ABC">
        <w:lastRenderedPageBreak/>
        <w:t>αποτελεσματικά τον σεβασμό στις αρχές της κυριαρχίας και της εδαφικής ακεραιότητας όλων των κρατών και να μην κυρώσουν το τροποποιημένο καταστατικό του Οργανισμού Τουρκογενών Κρατών, το οποίο θα θέσει σε εφαρμογή την απόφαση να χορηγηθεί καθεστώς παρατηρητή·</w:t>
      </w:r>
    </w:p>
    <w:p w:rsidR="00C803E4" w:rsidRPr="00AB7ABC" w:rsidRDefault="00AB7ABC" w:rsidP="00AB7ABC">
      <w:pPr>
        <w:pStyle w:val="NormalHanging12a"/>
        <w:widowControl/>
        <w:ind w:left="570" w:hanging="570"/>
      </w:pPr>
      <w:r w:rsidRPr="00AB7ABC">
        <w:t>6.</w:t>
      </w:r>
      <w:r w:rsidRPr="00AB7ABC">
        <w:tab/>
      </w:r>
      <w:r w:rsidR="00C803E4" w:rsidRPr="00AB7ABC">
        <w:t>αναγνωρίζει ότι ο επιθετικός πόλεμος της Ρωσίας κατά της Ουκρανίας και οι επιπτώσεις του συνεπάγονται προκλήσεις, αλλά και ευκαιρίες για την Κεντρική Ασία, η οποία διατηρεί παραδοσιακά στενές σχέσεις με τη Ρωσία· υπογραμμίζει το ενδιαφέρον της ΕΕ για την ενίσχυση των οικονομικών σχέσεων και τη σύσφιξη των πολιτικών δεσμών με τις χώρες της Κεντρικής Ασίας, εν μέρει με σκοπό να ελαχιστοποιηθεί η καταστρατήγηση των κυρώσεων κατά της Ρωσίας και της Λευκορωσίας· τονίζει τη σημασία της συνεχούς στενής ανταλλαγής απόψεων σχετικά με τις κυρώσεις και καλεί τις αρχές των κρατών της Κεντρικής Ασίας, ιδίως του Καζακστάν, της Κιργιζίας και του Ουζμπεκιστάν, να συνεργαστούν στενά με την ΕΕ, ιδίως με τον Απεσταλμένος της για τις Κυρώσεις, προκειμένου να εντείνουν τις προσπάθειές τους για την πρόληψη της καταστρατήγησης των κυρώσεων· καταδικάζει τη διαδικασία στρατολόγησης μεταναστών και πολιτών της Κεντρικής Ασίας από τη Ρωσία για να πολεμήσουν στην Ουκρανία και υποστηρίζει δράσεις που αποσκοπούν στον τερματισμό της· σημειώνει τις μεμονωμένες προσπάθειες των κρατών της Κεντρικής Ασίας να διασφαλίσουν ότι τα εδάφη τους δεν χρησιμοποιούνται για την παράκαμψη των κυρώσεων της ΕΕ και χαιρετίζει τα διοικητικά μέτρα του Καζακστάν και την πολιτική δέσμευση υψηλού επιπέδου στο πλαίσιο αυτό· καλεί την ΕΕ να χρησιμοποιήσει διαφοροποιημένη προσέγγιση στη στρατηγική της για την Κεντρική Ασία, η οποία θα εκτιμά τον βαθμό συνεργασίας με την ΕΕ όσον αφορά την πολιτική κυρώσεων έναντι της Ρωσίας· σημειώνει τον ρόλο που διαδραματίζουν τα ίδια τα κράτη μέλη στη διασφάλιση ότι οι εξαγωγές αγαθών που πιθανότατα θα συνεχίσουν να κατευθύνονται προς τη Ρωσία μέσω της Κεντρικής Ασίας θα υποβάλλονται στους δέοντες προληπτικούς ελέγχους·</w:t>
      </w:r>
    </w:p>
    <w:p w:rsidR="00C803E4" w:rsidRPr="00AB7ABC" w:rsidRDefault="00AB7ABC" w:rsidP="00AB7ABC">
      <w:pPr>
        <w:pStyle w:val="NormalHanging12a"/>
        <w:widowControl/>
        <w:ind w:left="570" w:hanging="570"/>
      </w:pPr>
      <w:r w:rsidRPr="00AB7ABC">
        <w:t>7.</w:t>
      </w:r>
      <w:r w:rsidRPr="00AB7ABC">
        <w:tab/>
      </w:r>
      <w:r w:rsidR="00C803E4" w:rsidRPr="00AB7ABC">
        <w:t xml:space="preserve">θεωρεί ότι η αναθεώρηση της στρατηγικής ΕΕ-Κεντρικής Ασίας είναι απαραίτητη προκειμένου να επικαιροποιηθεί υπό το πρίσμα των γεωπολιτικών γεγονότων που έχουν λάβει χώρα τα τελευταία χρόνια· επαναλαμβάνει τον καίριο ρόλο των ΕΣΕΣΣ ως πλαισίου συνεργασίας με τα κράτη της Κεντρικής Ασίας· σημειώνει με ανησυχία ότι η ΕΣΕΣΣ με την Κιργιζία, οι διαπραγματεύσεις επί της οποίας ολοκληρώθηκαν το 2019, δεν έχει υπογραφεί ακόμα· καλεί το Συμβούλιο και την Επιτροπή να προχωρήσουν γρήγορα τις διαπραγματεύσεις για μια ΕΣΕΣΣ με το Τατζικιστάν που βρίσκονται σε εξέλιξη, να επιλύσουν τα εκκρεμή ζητήματα και να υπογράψουν τις ΕΣΕΣΣ με την Κιργιζία και το Ουζμπεκιστάν χωρίς περαιτέρω καθυστέρηση, προκειμένου το Κοινοβούλιο να ασκήσει τα προνόμιά του όσον αφορά την κύρωση των συμφωνιών αυτών· τονίζει ότι η μη υπογραφή τέτοιων συμφωνιών μετά την ολοκλήρωση των διαπραγματεύσεων θέτει υπό αμφισβήτηση την αξιοπιστία της ΕΕ ως παγκόσμιου παράγοντα· </w:t>
      </w:r>
    </w:p>
    <w:p w:rsidR="00C803E4" w:rsidRPr="00AB7ABC" w:rsidRDefault="00AB7ABC" w:rsidP="00AB7ABC">
      <w:pPr>
        <w:pStyle w:val="NormalHanging12a"/>
        <w:widowControl/>
        <w:ind w:left="570" w:hanging="570"/>
      </w:pPr>
      <w:r w:rsidRPr="00AB7ABC">
        <w:t>8.</w:t>
      </w:r>
      <w:r w:rsidRPr="00AB7ABC">
        <w:tab/>
      </w:r>
      <w:r w:rsidR="00C803E4" w:rsidRPr="00AB7ABC">
        <w:t xml:space="preserve">σημειώνει ότι οι ΕΣΕΣΣ με τα κράτη της Κεντρικής Ασίας που έχουν αποτελέσει μέχρι σήμερα αντικείμενο διαπραγμάτευσης δίνουν ιδιαίτερη έμφαση στον σεβασμό των δημοκρατικών αρχών, των ανθρωπίνων δικαιωμάτων και του κράτους δικαίου· τονίζει τη σημασία της ενσωμάτωσης των ανθρωπίνων δικαιωμάτων, των δημοκρατικών αξιών, της ισότητας των φύλων, των ελεύθερων μέσων ενημέρωσης και της πράσινης μετάβασης στις αλληλεπιδράσεις με τις κυβερνήσεις της Κεντρικής Ασίας· </w:t>
      </w:r>
    </w:p>
    <w:p w:rsidR="00C803E4" w:rsidRPr="00AB7ABC" w:rsidRDefault="00C803E4" w:rsidP="00E2668E">
      <w:pPr>
        <w:pStyle w:val="Normal12a24b"/>
        <w:widowControl/>
        <w:spacing w:before="0"/>
      </w:pPr>
      <w:r w:rsidRPr="00AB7ABC">
        <w:rPr>
          <w:rStyle w:val="BoldItalic"/>
        </w:rPr>
        <w:t>Περιφερειακή συνεργασία</w:t>
      </w:r>
    </w:p>
    <w:p w:rsidR="00C803E4" w:rsidRPr="00AB7ABC" w:rsidRDefault="00AB7ABC" w:rsidP="00AB7ABC">
      <w:pPr>
        <w:pStyle w:val="NormalHanging12a"/>
        <w:widowControl/>
        <w:ind w:left="570" w:hanging="570"/>
      </w:pPr>
      <w:r w:rsidRPr="00AB7ABC">
        <w:lastRenderedPageBreak/>
        <w:t>9.</w:t>
      </w:r>
      <w:r w:rsidRPr="00AB7ABC">
        <w:tab/>
      </w:r>
      <w:r w:rsidR="00C803E4" w:rsidRPr="00AB7ABC">
        <w:t>υπογραμμίζει τις μεγάλες δυνατότητες της αμοιβαία επωφελούς συνεργασίας για τη βιώσιμη ανάπτυξη, τη συνδεσιμότητα, την ενέργεια, τις κρίσιμες πρώτες ύλες και την ασφάλεια, με την Κεντρική Ασία να αποτελεί βασική περιοχή για τη συνδεσιμότητα μεταξύ Ανατολής και Δύσης· υπενθυμίζει, στο πλαίσιο αυτό, τις σημαντικές γεωπολιτικές συνέπειες του επιθετικού πολέμου της Ρωσίας κατά της Ουκρανίας, οι οποίες έχουν επαναφέρει στο προσκήνιο τον Μεσαίο Διάδρομο όχι μόνο ως περιφερειακή οικονομική ζώνη, αλλά και ως εναλλακτική και βιώσιμη διαδρομή μεταξύ Ασίας και Ευρώπης που αποφεύγει τη διέλευση ρωσικού εδάφους· υπενθυμίζει ότι η νέα ηπειρωτική γέφυρα της Ευρασίας διέρχεται από εδάφη της Ρωσίας και της Λευκορωσίας που υπόκεινται σε κυρώσεις· τονίζει ότι είναι σημαντικό να προωθηθεί η περιφερειακή ολοκλήρωση κατά μήκος του Μεσαίου Διαδρόμου και σημειώνει ότι, προκειμένου να προσελκυσθεί η τόσο αναγκαία χρηματοδότηση για έργα υποδομών στο πλαίσιο της Global Gateway, πρέπει να εξαλειφθούν τα σημεία συμφόρησης που εντόπισε η Ευρωπαϊκή Τράπεζα Ανασυγκρότησης και Ανάπτυξης σε σχετική έρευνά της· καλεί την Επιτροπή να διερευνήσει τη δυνατότητα στήριξης της Ευρωπαϊκής Τράπεζας Επενδύσεων για επενδύσεις στην ανάπτυξη υποδομών στα κράτη της Κεντρικής Ασίας, ιδίως στον Μεσαίο Διάδρομο·</w:t>
      </w:r>
    </w:p>
    <w:p w:rsidR="00C803E4" w:rsidRPr="00AB7ABC" w:rsidRDefault="00AB7ABC" w:rsidP="00AB7ABC">
      <w:pPr>
        <w:pStyle w:val="NormalHanging12a"/>
        <w:widowControl/>
        <w:ind w:left="570" w:hanging="570"/>
      </w:pPr>
      <w:r w:rsidRPr="00AB7ABC">
        <w:t>10.</w:t>
      </w:r>
      <w:r w:rsidRPr="00AB7ABC">
        <w:tab/>
      </w:r>
      <w:r w:rsidR="00C803E4" w:rsidRPr="00AB7ABC">
        <w:t xml:space="preserve">πιστεύει ότι η πολιτική της ΕΕ απέναντι στην Κεντρική Ασία στους τομείς της ενέργειας, της συνδεσιμότητας και της διαφοροποίησης των πόρων θα πρέπει να εμπνέεται από την Ευρωπαϊκή Πράσινη Συμφωνία και να βασίζεται σε αμοιβαία επωφελείς στρατηγικές εταιρικές σχέσεις που λαμβάνουν υπόψη τις ιδιαιτερότητες κάθε κράτους της Κεντρικής Ασίας, διασφαλίζοντας την πρόσβασή τους σε σύγχρονες τεχνολογίες και ποιοτικές θέσεις εργασίας, διασφαλίζοντας παράλληλα την ασφαλή και ανταγωνιστική πρόσβαση της ΕΕ σε πρώτες ύλες και ενέργεια· εκφράζει την ανησυχία του, στο πλαίσιο αυτό, για τη δημιουργία εξάρτησης από τη Ρωσία ως αποτέλεσμα της υπογραφής της συμφωνίας φυσικού αερίου μεταξύ της Gazprom και του Ουζμπεκιστάν μέσω του Καζακστάν· </w:t>
      </w:r>
    </w:p>
    <w:p w:rsidR="00C803E4" w:rsidRPr="00AB7ABC" w:rsidRDefault="00AB7ABC" w:rsidP="00AB7ABC">
      <w:pPr>
        <w:pStyle w:val="NormalHanging12a"/>
        <w:widowControl/>
        <w:ind w:left="570" w:hanging="570"/>
      </w:pPr>
      <w:r w:rsidRPr="00AB7ABC">
        <w:t>11.</w:t>
      </w:r>
      <w:r w:rsidRPr="00AB7ABC">
        <w:tab/>
      </w:r>
      <w:r w:rsidR="00C803E4" w:rsidRPr="00AB7ABC">
        <w:t xml:space="preserve">αναγνωρίζει τον καίριο ρόλο της ΕΕ στη χρηματοδότηση των τομεακών μεταρρυθμίσεων της Κεντρικής Ασίας, στη βελτίωση της ενεργειακής της απόδοσης και στη μείωση των εκπομπών αερίων του θερμοκηπίου· επιδοκιμάζει τη δρομολόγηση του έργου για τη συνδεσιμότητα βιώσιμης ενέργειας στην Κεντρική Ασία (SECCA) το 2022 και προσβλέπει στον θετικό αντίκτυπό του όσον αφορά την ενίσχυση των εθνικών πολιτικών μετάβασης σε ένα βιώσιμο ενεργειακό σύστημα και την αύξηση των επενδύσεων, των δυνατοτήτων και της ενημέρωσης όσον αφορά τις ανανεώσιμες πηγές ενέργειας και την ενεργειακή απόδοση στην περιοχή· </w:t>
      </w:r>
    </w:p>
    <w:p w:rsidR="00C803E4" w:rsidRPr="00AB7ABC" w:rsidRDefault="00AB7ABC" w:rsidP="00AB7ABC">
      <w:pPr>
        <w:pStyle w:val="NormalHanging12a"/>
        <w:widowControl/>
        <w:ind w:left="570" w:hanging="570"/>
      </w:pPr>
      <w:r w:rsidRPr="00AB7ABC">
        <w:t>12.</w:t>
      </w:r>
      <w:r w:rsidRPr="00AB7ABC">
        <w:tab/>
      </w:r>
      <w:r w:rsidR="00C803E4" w:rsidRPr="00AB7ABC">
        <w:t xml:space="preserve">υπογραμμίζει τη σημασία ενός θετικού επενδυτικού κλίματος για την οικονομική ανάπτυξη της Κεντρικής Ασίας, καθώς και για το εμπόριο και τη συνεργασία ΕΕ-Κεντρικής Ασίας· επισημαίνει ότι ένα θετικό επενδυτικό κλίμα που οδηγεί στη δημιουργία ποιοτικών χώρων εργασίας με επαρκείς μισθούς και αξιοπρεπείς συνθήκες εργασίας εξαρτάται από σταθερούς δημοκρατικούς θεσμούς, από τον σεβασμό των ανθρωπίνων δικαιωμάτων και του κράτους δικαίου, καθώς και από την ικανότητα των επιχειρήσεων και της κοινωνίας των πολιτών να εφαρμόζουν τη δέουσα επιμέλεια· </w:t>
      </w:r>
    </w:p>
    <w:p w:rsidR="00C803E4" w:rsidRPr="00AB7ABC" w:rsidRDefault="00AB7ABC" w:rsidP="00AB7ABC">
      <w:pPr>
        <w:pStyle w:val="NormalHanging12a"/>
        <w:widowControl/>
        <w:ind w:left="570" w:hanging="570"/>
      </w:pPr>
      <w:r w:rsidRPr="00AB7ABC">
        <w:t>13.</w:t>
      </w:r>
      <w:r w:rsidRPr="00AB7ABC">
        <w:tab/>
      </w:r>
      <w:r w:rsidR="00C803E4" w:rsidRPr="00AB7ABC">
        <w:t xml:space="preserve">σημειώνει τη μακροχρόνια προσέγγιση της διατήρησης σχέσεων των κρατών της Κεντρικής Ασίας, εξαιρουμένου του Τατζικιστάν, με το Αφγανιστάν και την εξελισσόμενη πραγματιστική συνεργασία τους με τους Ταλιμπάν, την οποία ωστόσο δεν αναγνωρίζουν, μετά την κατάληψη της εξουσίας το 2021· υπογραμμίζει ότι οι χώρες στην περιοχή, ιδίως το Πακιστάν και η Κίνα, αλλά και τα κράτη της Κεντρικής </w:t>
      </w:r>
      <w:r w:rsidR="00C803E4" w:rsidRPr="00AB7ABC">
        <w:lastRenderedPageBreak/>
        <w:t>Ασίας διαδραματίζουν καίριο ρόλο στη διασφάλιση της σταθερότητας στο Αφγανιστάν μέσω της παροχής ανθρωπιστικής βοήθειας, ηλεκτρικής ενέργειας, εμπορικών ευκαιριών και κοινών έργων συνδεσιμότητας· ενθαρρύνει τον Ειδικό Απεσταλμένο της ΕΕ για το Αφγανιστάν να συνεχίσει να συνεργάζεται στενά με τους ομολόγους του στα κράτη της Κεντρικής Ασίας στο πλαίσιο του διαλόγου ΕΕ-Κεντρικής Ασίας για το Αφγανιστάν· αναγνωρίζει ότι η Κεντρική Ασία αποτελεί κρίσιμη περιοχή για τον περιορισμό του θρησκευτικού εξτρεμισμού, της τρομοκρατίας και των δικτύων διακίνησης ναρκωτικών και ότι αντιμετωπίζει αυξημένη μεταναστευτική πίεση λόγω της συνεχιζόμενης ανθρωπιστικής κρίσης στο Αφγανιστάν· επαναλαμβάνει τον αποτροπιασμό του για τη μεταχείριση των γυναικών από τους Ταλιμπάν ως κατωτέρων των πολιτών δεύτερης κατηγορίας και καλεί την Ευρωπαϊκή Υπηρεσία Εξωτερικής Δράσης και τον Ειδικό Απεσταλμένο της ΕΕ για το Αφγανιστάν να συνεργαστούν με το Τουρκμενιστάν, το Ουζμπεκιστάν και το Τατζικιστάν για την παροχή βοήθειας σε γυναίκες που προσπαθούν να δραπετεύσουν από το Αφγανιστάν·</w:t>
      </w:r>
    </w:p>
    <w:p w:rsidR="00C803E4" w:rsidRPr="00AB7ABC" w:rsidRDefault="00AB7ABC" w:rsidP="00AB7ABC">
      <w:pPr>
        <w:pStyle w:val="NormalHanging12a"/>
        <w:widowControl/>
        <w:ind w:left="570" w:hanging="570"/>
      </w:pPr>
      <w:r w:rsidRPr="00AB7ABC">
        <w:t>14.</w:t>
      </w:r>
      <w:r w:rsidRPr="00AB7ABC">
        <w:tab/>
      </w:r>
      <w:r w:rsidR="00C803E4" w:rsidRPr="00AB7ABC">
        <w:t>υπογραμμίζει τον ρόλο της ΕΕ ως σημαντικού αρωγού στην περιοχή· υπογραμμίζει ότι είναι σημαντικό να υιοθετηθεί μια ενιαία προσέγγιση ως «Ομάδα Ευρώπη», καθώς αυτό καθιστά δυνατή τη δημιουργία συνεργειών και τη μεγιστοποίηση του αντικτύπου της δράσης που αναλαμβάνεται και αναδεικνύει τα οφέλη της πολυμερούς συνεργασίας, ενώ επίσης συγκεντρώνει τα βέλτιστα εργαλεία και τους βέλτιστους εταίρους, όπως οι οργανώσεις της κοινωνίας των πολιτών, οι υπερασπιστές των ανθρωπίνων δικαιωμάτων, τα ανεξάρτητα μέσα ενημέρωσης και οι ανεξάρτητοι εμπειρογνώμονες, καθώς και ο δημόσιος και ο ιδιωτικός τομέας, για την επίτευξη του επιδιωκόμενου σκοπού· τονίζει την ανάγκη να διασφαλιστεί η προβολή της βοήθειας και των επενδύσεων της ΕΕ και ζητεί τη σύνδεση της βοήθειας και της δημοσιονομικής στήριξης της ΕΕ στα κράτη της Κεντρικής Ασίας με συγκεκριμένα σημεία αναφοράς για την πρόοδο όσον αφορά δημοκρατικές μεταρρυθμίσεις, την προστασία των ανθρωπίνων δικαιωμάτων, το κράτος δικαίου και τη βιώσιμη ανάπτυξη· τονίζει τη σημασία της συντονισμένης συνεργασίας με άλλους εταίρους και διεθνείς οργανισμούς προκειμένου να καταστούν δυνατές οι συνέργειες και να αποφευχθούν οι διπλές προσπάθειες·</w:t>
      </w:r>
    </w:p>
    <w:p w:rsidR="00C803E4" w:rsidRPr="00AB7ABC" w:rsidRDefault="00AB7ABC" w:rsidP="00AB7ABC">
      <w:pPr>
        <w:pStyle w:val="NormalHanging12a"/>
        <w:widowControl/>
        <w:ind w:left="570" w:hanging="570"/>
      </w:pPr>
      <w:r w:rsidRPr="00AB7ABC">
        <w:t>15.</w:t>
      </w:r>
      <w:r w:rsidRPr="00AB7ABC">
        <w:tab/>
      </w:r>
      <w:r w:rsidR="00C803E4" w:rsidRPr="00AB7ABC">
        <w:t>σημειώνει ότι η κλιματική αλλαγή, ο αυξανόμενος πληθυσμός και οι οικονομικές ανάγκες ασκούν αυξανόμενη πίεση στους υδάτινους πόρους στην Κεντρική Ασία· τονίζει την ανάγκη στενότερης περιφερειακής συνεργασίας επί του θέματος μεταξύ των ανάντη και κατάντη χωρών, προκειμένου να αποφευχθούν οι συγκρούσεις όσον αφορά τη διανομή και τη χρήση των υδάτινων πόρων· χαιρετίζει τις περιφερειακές πλατφόρμες, όπως το Διεθνές Ταμείο για τη διάσωση της λίμνης Αράλης, που ενθαρρύνουν τον διάλογο και τη συνεργασία μεταξύ των κρατών της Κεντρικής Ασίας· υπενθυμίζει ότι ο περιβαλλοντικός διάλογος ΕΕ-Κεντρικής Ασίας θεσπίστηκε με σκοπό να υποστηριχθεί η σταθεροποίηση της Αράλης και να προωθηθεί η καλύτερη διαχείριση των υδάτινων πόρων· ζητεί την εφαρμογή της συμφωνίας του Παρισιού για την κλιματική αλλαγή και είναι έτοιμο να παράσχει εμπειρογνωμοσύνη και συνεργασία για την επίτευξη αυτού του στόχου·</w:t>
      </w:r>
    </w:p>
    <w:p w:rsidR="00C803E4" w:rsidRPr="00AB7ABC" w:rsidRDefault="00AB7ABC" w:rsidP="00AB7ABC">
      <w:pPr>
        <w:pStyle w:val="NormalHanging12a"/>
        <w:widowControl/>
        <w:ind w:left="570" w:hanging="570"/>
      </w:pPr>
      <w:r w:rsidRPr="00AB7ABC">
        <w:t>16.</w:t>
      </w:r>
      <w:r w:rsidRPr="00AB7ABC">
        <w:tab/>
      </w:r>
      <w:r w:rsidR="00C803E4" w:rsidRPr="00AB7ABC">
        <w:t xml:space="preserve">επισημαίνει ότι η επίλυση των συγκρούσεων, συμπεριλαμβανομένων εκείνων που αφορούν τη διανομή νερού σύμφωνα με το διεθνές δίκαιο και τις σχέσεις καλής γειτονίας, καθώς και η αποφυγή πάση θυσία της χρήσης ή της απειλής βίας είναι ζωτικής σημασίας για την επίτευξη τόσο της μακροπρόθεσμης περιφερειακής σταθερότητας όσο και των Στόχων Βιώσιμης Ανάπτυξης· υπογραμμίζει τη σημασία του προσδιορισμού και της οριοθέτησης των αμφισβητούμενων παραμεθόριων περιοχών </w:t>
      </w:r>
      <w:r w:rsidR="00C803E4" w:rsidRPr="00AB7ABC">
        <w:lastRenderedPageBreak/>
        <w:t>μεταξύ του Τατζικιστάν και της Κιργιζίας για την πρόληψη περαιτέρω στρατιωτικών συγκρούσεων μεταξύ των δύο χωρών και χαιρετίζει τα μέτρα που έλαβαν αμφότερες οι πλευρές στο πλαίσιο αυτό· επαναλαμβάνει την προσφορά της ΕΕ να στηρίξει την ειρηνική διευθέτηση της σύγκρουσης μέσω τεχνικής βοήθειας και μέτρων οικοδόμησης εμπιστοσύνης· εκφράζει την ικανοποίησή του για τη διευθέτηση του ζητήματος της οριοθέτησης των συνόρων μεταξύ της Κιργιζίας και του Ουζμπεκιστάν τον Ιανουάριο του 2023· επαναλαμβάνει ότι η ΕΕ είναι προσηλωμένη στη μη διάδοση των όπλων μαζικής καταστροφής στην περιοχή·</w:t>
      </w:r>
    </w:p>
    <w:p w:rsidR="00C803E4" w:rsidRPr="00AB7ABC" w:rsidRDefault="00C803E4" w:rsidP="00E2668E">
      <w:pPr>
        <w:pStyle w:val="Normal12a24b"/>
        <w:widowControl/>
        <w:spacing w:before="0"/>
      </w:pPr>
      <w:r w:rsidRPr="00AB7ABC">
        <w:rPr>
          <w:rStyle w:val="BoldItalic"/>
        </w:rPr>
        <w:t xml:space="preserve">Δημοκρατία και ανθρώπινα δικαιώματα </w:t>
      </w:r>
    </w:p>
    <w:p w:rsidR="00C803E4" w:rsidRPr="00AB7ABC" w:rsidRDefault="00AB7ABC" w:rsidP="00AB7ABC">
      <w:pPr>
        <w:pStyle w:val="NormalHanging12a"/>
        <w:widowControl/>
        <w:ind w:left="570" w:hanging="570"/>
      </w:pPr>
      <w:r w:rsidRPr="00AB7ABC">
        <w:t>17.</w:t>
      </w:r>
      <w:r w:rsidRPr="00AB7ABC">
        <w:tab/>
      </w:r>
      <w:r w:rsidR="00C803E4" w:rsidRPr="00AB7ABC">
        <w:t>επιμένει στη σημασία του σεβασμού των ανθρωπίνων δικαιωμάτων και της συμμόρφωσης με τις διεθνείς υποχρεώσεις για τις σχέσεις της ΕΕ με την Κεντρική Ασία· παροτρύνει τα κράτη της Κεντρικής Ασίας να τηρήσουν τις υποχρεώσεις τους όσον αφορά τη δημοκρατία και τα ανθρώπινα δικαιώματα, επισημαίνοντας ότι αυτό συνάδει επίσης με τις ΣΕΣΣ και το Σύστημα Γενικευμένων Προτιμήσεων + (ΣΓΠ +)· τονίζει τη σημασία της διατήρησης τακτικών διαλόγων για τα ανθρώπινα δικαιώματα με τα κράτη της Κεντρικής Ασίας, δεδομένου ότι οι διάλογοι αυτοί αποτελούν ένα μέσο για την προώθηση του σεβασμού των ανθρωπίνων δικαιωμάτων, των θεμελιωδών ελευθεριών και της πολιτικής πολυφωνίας και ένα φόρουμ για την ανάδειξη ζητημάτων που προκαλούν ανησυχία· καλεί τις αντιπροσωπείες της ΕΕ και τις αντιπροσωπείες των κρατών μελών στην Κεντρική Ασία να συνεχίσουν να διαδραματίζουν ενεργό ρόλο στην επιτόπια παρακολούθηση της κατάστασης, να συνεργάζονται με τους υπερασπιστές των ανθρωπίνων δικαιωμάτων και να αντιδρούν σε παραβιάσεις των ανθρωπίνων δικαιωμάτων και σε διώξεις με πολιτικά κίνητρα, μεταξύ άλλων συμμετέχοντας σε δίκες και πραγματοποιώντας επισκέψεις σε πολιτικούς κρατούμενους· ενθαρρύνει τη συνεργασία με τα όργανα των Συνθηκών και τις ειδικές διαδικασίες του ΟΗΕ, καθώς και με πολυμερή φόρουμ για τα ανθρώπινα δικαιώματα, όπως το Συμβούλιο Ανθρωπίνων Δικαιωμάτων του ΟΗΕ·</w:t>
      </w:r>
    </w:p>
    <w:p w:rsidR="00C803E4" w:rsidRPr="00AB7ABC" w:rsidRDefault="00AB7ABC" w:rsidP="00AB7ABC">
      <w:pPr>
        <w:pStyle w:val="NormalHanging12a"/>
        <w:widowControl/>
        <w:ind w:left="570" w:hanging="570"/>
      </w:pPr>
      <w:r w:rsidRPr="00AB7ABC">
        <w:t>18.</w:t>
      </w:r>
      <w:r w:rsidRPr="00AB7ABC">
        <w:tab/>
      </w:r>
      <w:r w:rsidR="00C803E4" w:rsidRPr="00AB7ABC">
        <w:t>εκφράζει την ανησυχία του για την έλλειψη λογοδοσίας για σοβαρές παραβιάσεις των ανθρωπίνων δικαιωμάτων σε μεγάλη κλίμακα, συμπεριλαμβανομένης της λήψης σκληρών μέτρων από τις αρχές για τον τερματισμό των μαζικών διαμαρτυριών και των επακόλουθων αναταραχών κατά τη διάρκεια των λεγόμενων γεγονότων του «Αιματηρού Γενάρη» (Bloody January) στο Καζακστάν, καθώς και στην αυτόνομη περιφέρεια Γκόρνο-Μπαντακσάν στο Τατζικιστάν και στη Δημοκρατία του Καρακαλπακστάν στο Ουζμπεκιστάν· καλεί τις αρχές και στα πέντε κράτη της Κεντρικής Ασίας να λάβουν αποτελεσματικά μέτρα για τη δρομολόγηση ανεξάρτητων και ενδελεχών ερευνών σχετικά με όλες τις καταγγελίες για βασανιστήρια και κακομεταχείριση και άλλες σοβαρές παραβιάσεις των ανθρωπίνων δικαιωμάτων, και να αποτρέψουν τη χρήση άμετρης βίας και βασανιστηρίων από την αστυνομία και τις δυνάμεις ασφαλείας· καλεί τις κυβερνήσεις των κρατών της Κεντρικής Ασίας να προβούν σε δικαστικές μεταρρυθμίσεις με στόχο τη διασφάλιση μεγαλύτερης ανεξαρτησίας και διαφάνειας·</w:t>
      </w:r>
    </w:p>
    <w:p w:rsidR="00C803E4" w:rsidRPr="00AB7ABC" w:rsidRDefault="00AB7ABC" w:rsidP="00AB7ABC">
      <w:pPr>
        <w:pStyle w:val="NormalHanging12a"/>
        <w:widowControl/>
        <w:ind w:left="570" w:hanging="570"/>
      </w:pPr>
      <w:r w:rsidRPr="00AB7ABC">
        <w:t>19.</w:t>
      </w:r>
      <w:r w:rsidRPr="00AB7ABC">
        <w:tab/>
      </w:r>
      <w:r w:rsidR="00C803E4" w:rsidRPr="00AB7ABC">
        <w:t xml:space="preserve">υπογραμμίζει τις θεμελιώδεις δημοκρατικές ελλείψεις στην Κεντρική Ασία, όσον αφορά τη δημοκρατική διακυβέρνηση, το κράτος δικαίου και την προστασία των ανθρωπίνων δικαιωμάτων, οι οποίες εξακολουθούν να υφίστανται και επιδεινώθηκαν πρόσφατα από πολλές απόψεις· υπογραμμίζει την ανάγκη να καταστούν οι εκλογικές διαδικασίες πιο διαφανείς, ανοικτές και δίκαιες για όλους τους πολιτικούς παράγοντες· επισημαίνει τον σημαντικό ρόλο που μπορεί να διαδραματίσει η κοινωνία των πολιτών </w:t>
      </w:r>
      <w:r w:rsidR="00C803E4" w:rsidRPr="00AB7ABC">
        <w:lastRenderedPageBreak/>
        <w:t>στη στήριξη και την προώθηση των δημοκρατικών μεταρρυθμίσεων, της χρηστής διακυβέρνησης και της προστασίας των ανθρωπίνων δικαιωμάτων στην Κεντρική Ασία· εκφράζει τη λύπη του για την περιοριστική προσέγγιση που ακολουθείται στις νομοθετικές πρωτοβουλίες για τις μη κυβερνητικές οργανώσεις και τα μέσα ενημέρωσης, οι οποίες μειώνουν τον χώρο για δραστηριότητες της κοινωνίας των πολιτών· καλεί τα κράτη της Κεντρικής Ασίας να λάβουν ουσιαστικά μέτρα για την αντιμετώπιση αυτών των ελλείψεων, να εφαρμόσουν τις σχετικές συμβάσεις της Διεθνούς Οργάνωσης Εργασίας και να διασφαλίσουν τη συμμόρφωση με τις διεθνείς υποχρεώσεις τους όσον αφορά τη δημοκρατική διακυβέρνηση και την προστασία των ανθρωπίνων δικαιωμάτων, σημειώνοντας παράλληλα ότι έχουν δεσμευτεί να το πράξουν στο πλαίσιο των ΣΕΣΣ με την ΕΕ, των ΕΣΕΣΣ που αποτελούν αντικείμενο διαπραγμάτευσης και του ΣΓΠ+ της ΕΕ· σημειώνει ότι τα κράτη της Κεντρικής Ασίας έχουν νεαρούς και δυναμικούς πληθυσμούς στους οποίους θα πρέπει να δοθούν ευκαιρίες ουσιαστικής συμμετοχής στη διαμόρφωση του μέλλοντος των χωρών τους· χαιρετίζει τις δραστηριότητες του φόρουμ της κοινωνίας των πολιτών ΕΕ-Κεντρικής Ασίας και καλεί την ΕΕ να ενισχύσει τη στήριξή της προς την κοινωνία των πολιτών·</w:t>
      </w:r>
    </w:p>
    <w:p w:rsidR="00C803E4" w:rsidRPr="00AB7ABC" w:rsidRDefault="00AB7ABC" w:rsidP="00AB7ABC">
      <w:pPr>
        <w:pStyle w:val="NormalHanging12a"/>
        <w:widowControl/>
        <w:ind w:left="570" w:hanging="570"/>
      </w:pPr>
      <w:r w:rsidRPr="00AB7ABC">
        <w:t>20.</w:t>
      </w:r>
      <w:r w:rsidRPr="00AB7ABC">
        <w:tab/>
      </w:r>
      <w:r w:rsidR="00C803E4" w:rsidRPr="00AB7ABC">
        <w:t>επισημαίνει την ανάγκη να ενισχυθεί η ανθεκτικότητα της Κεντρικής Ασίας έναντι της παραπληροφόρησης μέσω της προώθησης ανεξάρτητων μέσων ενημέρωσης και περιεχομένου στις τοπικές γλώσσες, με την αύξηση του γραμματισμού στα μέσα επικοινωνίας και τη διοργάνωση στοχευμένων μαθημάτων για τοπικούς δημοσιογράφους· τονίζει την ανάγκη ενίσχυσης της ανεξαρτησίας και της ελευθερίας των μέσων ενημέρωσης, καθώς και της πολυφωνίας και της ελευθερίας έκφρασης στην Κεντρική Ασία σύμφωνα με τα υψηλότερα δημοκρατικά πρότυπα· ζητεί μεγαλύτερη διαφάνεια όσον αφορά την κυριότητα και τη χρηματοδότηση των μέσων ενημέρωσης με στόχο την ενίσχυση της ανεξαρτησίας και της πολυφωνίας των μέσων ενημέρωσης· εκφράζει τη λύπη του για το γεγονός ότι οι αρχές της Κεντρικής Ασίας εκμεταλλεύτηκαν τον αγώνα κατά της παραπληροφόρησης για να περιορίσουν τη νόμιμη άσκηση της ελευθερίας της έκφρασης, μεταξύ άλλων κατηγορώντας όσους μιλούν για διαφθορά, αδικία και κυβερνητική κατάχρηση εξουσίας για εικαζόμενη διάδοση «ψευδών» πληροφοριών, υποκίνηση «αναταραχών» και προώθηση του «εξτρεμισμού»· εκφράζει την ανησυχία του για τον αυξανόμενο αριθμό συλλήψεων δημοσιογράφων και συντακτών ιστολογίων (bloggers) και για τις απειλές κατά του κλεισίματος ανεξάρτητων μέσων ενημέρωσης· επιμένει ότι πρέπει να διασφαλίζεται ο σεβασμός των δικαιωμάτων των δημοσιογράφων, των ανεξάρτητων bloggers, των υπερασπιστών των ανθρωπίνων δικαιωμάτων και των πολιτικών και περιβαλλοντικών ακτιβιστών, να διασφαλίζεται η προστασία τους από παρενοχλήσεις, πιέσεις και απειλές, να διερευνώνται τυχόν επιθέσεις εναντίον τους και να διασφαλίζεται ότι όλοι όσοι κρατούνται και έχουν φυλακιστεί άδικα απελευθερώνονται αμέσως και άνευ όρων· καταδικάζει τις πολυάριθμες πρόσφατες κυβερνητικές πρωτοβουλίες για το κλείσιμο ανεξάρτητων υπηρεσιών μέσων ενημέρωσης και την παρεμπόδιση της πρόσβασης στις εγκαταστάσεις τους στο Τατζικιστάν και την Κιργιζία, καθώς και το νομοσχέδιο για τα μέσα ενημέρωσης που εξετάζεται επί του παρόντος στην Κιργιζία και το Καζακστάν, το οποίο απειλεί να αυξήσει τον κρατικό έλεγχο των επιχειρήσεων των μέσων ενημέρωσης·</w:t>
      </w:r>
    </w:p>
    <w:p w:rsidR="00C803E4" w:rsidRPr="00AB7ABC" w:rsidRDefault="00AB7ABC" w:rsidP="00AB7ABC">
      <w:pPr>
        <w:pStyle w:val="NormalHanging12a"/>
        <w:widowControl/>
        <w:ind w:left="570" w:hanging="570"/>
      </w:pPr>
      <w:r w:rsidRPr="00AB7ABC">
        <w:t>21.</w:t>
      </w:r>
      <w:r w:rsidRPr="00AB7ABC">
        <w:tab/>
      </w:r>
      <w:r w:rsidR="00C803E4" w:rsidRPr="00AB7ABC">
        <w:t xml:space="preserve">καλεί τις αρχές της Κεντρικής Ασίας να απελευθερώσουν όλους τους πολιτικούς κρατουμένους· καλεί συγκεκριμένα τις αρχές του Καζακστάν να απελευθερώσουν: την Aigerim Tleuzhan, τον Marat Zhylanbayev, τον Bekizhan Mendygaziyev, τον Timur Danebayev και τον Kairat Klyshev· καλεί τις αρχές της Κιργιζίας να απελευθερώσουν: τον Azimbek Beknazarov, τον Aibek Buzurmankulov, τον Aidanbek Akmatov, τον </w:t>
      </w:r>
      <w:r w:rsidR="00C803E4" w:rsidRPr="00AB7ABC">
        <w:lastRenderedPageBreak/>
        <w:t>Temir Makhmudov και τον Marat Bayazov· καλεί τις αρχές του Ουζμπεκιστάν να απελευθερώσουν: τον Dauletmurat Tazhimuratov, τον Allabai Tokymbetov, τον Nurlan Naiypov και τον Amirbek Adilbekov· καλεί τις αρχές του Τατζικιστάν να απελευθερώσουν: τον Faromuz Irgashov, την Ulfatkhonim Mamadshoeva, τον Khursand Mamadshoev και τον Khushruz Djumaev· καλεί τις αρχές του Τουρκμενιστάν να απελευθερώσουν: τον Omruzak Omarkuliev, τον Murat Dushemov, τον Murat Ovezov, τον Mansur Mingelov και τον Nurgeldy Khalykov·</w:t>
      </w:r>
    </w:p>
    <w:p w:rsidR="00C803E4" w:rsidRPr="00AB7ABC" w:rsidRDefault="00AB7ABC" w:rsidP="00AB7ABC">
      <w:pPr>
        <w:pStyle w:val="NormalHanging12a"/>
        <w:widowControl/>
        <w:ind w:left="570" w:hanging="570"/>
      </w:pPr>
      <w:r w:rsidRPr="00AB7ABC">
        <w:t>22.</w:t>
      </w:r>
      <w:r w:rsidRPr="00AB7ABC">
        <w:tab/>
      </w:r>
      <w:r w:rsidR="00C803E4" w:rsidRPr="00AB7ABC">
        <w:t>εκφράζει την ανησυχία του για το γεγονός ότι, παρόλο που η ισότητα των φύλων εικάζεται ότι προστατεύεται από τον νόμο σε όλες τις χώρες, η έμφυλη βία, η εξ οικείων βία, οι γάμοι παιδιών, οι διακρίσεις και η παρενόχληση εις βάρος εθνοτικών και θρησκευτικών μειονοτήτων και ατόμων ΛΟΑΤΚΙ εξακολουθούν να είναι ευρέως διαδεδομένες στην Κεντρική Ασία· παροτρύνει τις κυβερνήσεις της Κεντρικής Ασίας να αποτρέψουν αυτές τις παραβιάσεις των ανθρωπίνων δικαιωμάτων μέσω κατάλληλων νόμων, εκπαιδευτικών εκστρατειών και μέτρων, συμπεριλαμβανομένης της αύξησης της ευαισθητοποίησης και των προσόντων των δημόσιων υπαλλήλων, ιδίως των αστυνομικών, της ενίσχυσης της ικανότητας των οργανώσεων της κοινωνίας των πολιτών να υποστηρίζουν νομοθετικές αλλαγές, της βελτίωσης των υπηρεσιών υποστήριξης πρώτης γραμμής για τους επιζώντες και της ευαισθητοποίησης για την καταπολέμηση των υφιστάμενων στερεοτύπων και την προώθηση της ισότητας στην κοινωνία· εκφράζει την ανησυχία του για το γεγονός ότι εξακολουθεί να ισχύει η ποινικοποίηση των ΛΟΑΤΚΙ ατόμων, ότι στις περισσότερες χώρες δεν έχει θεσπιστεί βασική νομοθεσία κατά των διακρίσεων, ότι χρησιμοποιούνται διορθωτικοί βιασμοί κατά λεσβιών και ότι δεν υπάρχουν ασφαλείς χώροι για τη συγκέντρωση των ΛΟΑΤΚΙ ατόμων, καθώς συνεχίζονται οι επιδρομές σε μπαρ και κοινωνικούς χώρους και η αστυνομική βία είναι συχνό φαινόμενο· τονίζει ότι οποιαδήποτε στρατηγική της ΕΕ για την Κεντρική Ασία πρέπει να συνάδει με το τρίτο σχέδιο δράσης της ΕΕ για θέματα φύλου·</w:t>
      </w:r>
    </w:p>
    <w:p w:rsidR="00C803E4" w:rsidRPr="00AB7ABC" w:rsidRDefault="00AB7ABC" w:rsidP="00AB7ABC">
      <w:pPr>
        <w:pStyle w:val="NormalHanging12a"/>
        <w:widowControl/>
        <w:ind w:left="570" w:hanging="570"/>
      </w:pPr>
      <w:r w:rsidRPr="00AB7ABC">
        <w:t>23.</w:t>
      </w:r>
      <w:r w:rsidRPr="00AB7ABC">
        <w:tab/>
      </w:r>
      <w:r w:rsidR="00C803E4" w:rsidRPr="00AB7ABC">
        <w:t>επαναλαμβάνει τις ανησυχίες του για την ανεξέλεγκτη διαφθορά και την κλεπτοκρατία στην Κεντρική Ασία, οι οποίες διαβρώνουν την εμπιστοσύνη στην κυβέρνηση, τροφοδοτούν την ανισότητα, στερούν από τους πολίτες δημόσιες υπηρεσίες και επιβραδύνουν την οικονομική ανάπτυξη· καλεί τις κυβερνήσεις της Κεντρικής Ασίας να αναλάβουν δράση πέρα από την εκτεταμένη ρητορική για την καταπολέμηση της διαφθοράς και να δεσμευτούν επιτέλους για την καταπολέμηση της διαφθοράς και της κλεπτοκρατίας και να υιοθετήσουν εθνικές στρατηγικές που θα εστιάζουν σε μια ολοκληρωμένη προσέγγιση για την πρόληψη και την καταστολή της διαφθοράς, καθώς και να αυξήσουν τη διαφάνεια και την πρόσβαση σε πληροφορίες, και να περιορίσουν την ιδιωτική επιρροή·</w:t>
      </w:r>
    </w:p>
    <w:p w:rsidR="00C803E4" w:rsidRPr="00AB7ABC" w:rsidRDefault="00AB7ABC" w:rsidP="00AB7ABC">
      <w:pPr>
        <w:pStyle w:val="NormalHanging12a"/>
        <w:widowControl/>
        <w:ind w:left="570" w:hanging="570"/>
      </w:pPr>
      <w:r w:rsidRPr="00AB7ABC">
        <w:t>24.</w:t>
      </w:r>
      <w:r w:rsidRPr="00AB7ABC">
        <w:tab/>
      </w:r>
      <w:r w:rsidR="00C803E4" w:rsidRPr="00AB7ABC">
        <w:t>υπογραμμίζει ότι η ΕΕ θα πρέπει να αξιοποιήσει τη θετική της εικόνα στην Κεντρική Ασία συμμετέχοντας πιο ενεργά στην πολιτιστική και δημόσια διπλωματία· υποστηρίζει την ενίσχυση των δεσμών και την αύξηση των ευκαιριών συνεργασίας μεταξύ των θεσμικών οργάνων της Ευρώπης και της Κεντρικής Ασίας, την προώθηση των επαφών και της κινητικότητας μεταξύ των λαών, την παροχή ευκαιριών στην εκπαίδευση και την επιστήμη, όπως οι ανταλλαγές φοιτητών σε ακαδημαϊκό επίπεδο μέσω των προγραμμάτων Erasmus+ και «Ορίζων 2020» και την αύξηση του βιώσιμου τουρισμού·</w:t>
      </w:r>
    </w:p>
    <w:p w:rsidR="00C803E4" w:rsidRPr="00AB7ABC" w:rsidRDefault="00AB7ABC" w:rsidP="00AB7ABC">
      <w:pPr>
        <w:pStyle w:val="NormalHanging12a"/>
        <w:widowControl/>
        <w:ind w:left="570" w:hanging="570"/>
      </w:pPr>
      <w:r w:rsidRPr="00AB7ABC">
        <w:t>25.</w:t>
      </w:r>
      <w:r w:rsidRPr="00AB7ABC">
        <w:tab/>
      </w:r>
      <w:r w:rsidR="00C803E4" w:rsidRPr="00AB7ABC">
        <w:t xml:space="preserve">σημειώνει την προθυμία των κρατών της Κεντρικής Ασίας να ξεκινήσουν διάλογο για την ελευθέρωση του καθεστώτος θεωρήσεων με την ΕΕ και καλεί την Επιτροπή να </w:t>
      </w:r>
      <w:r w:rsidR="00C803E4" w:rsidRPr="00AB7ABC">
        <w:lastRenderedPageBreak/>
        <w:t>εντείνει τις διαβουλεύσεις για την ανάπτυξη στοχευμένων και ολοκληρωμένων χαρτών πορείας για τις μεταρρυθμίσεις ώστε τα κράτη της Κεντρικής Ασίας να προετοιμάσουν το έδαφος για συμφωνίες διευκόλυνσης θεωρήσεων και επανεισδοχής·</w:t>
      </w:r>
    </w:p>
    <w:p w:rsidR="00C803E4" w:rsidRPr="00AB7ABC" w:rsidRDefault="00C803E4" w:rsidP="00E2668E">
      <w:pPr>
        <w:pStyle w:val="NormalHanging12a"/>
        <w:widowControl/>
        <w:ind w:left="0" w:firstLine="0"/>
        <w:rPr>
          <w:b/>
          <w:i/>
        </w:rPr>
      </w:pPr>
      <w:r w:rsidRPr="00AB7ABC">
        <w:rPr>
          <w:b/>
          <w:i/>
        </w:rPr>
        <w:t>Διμερής συνεργασία</w:t>
      </w:r>
    </w:p>
    <w:p w:rsidR="00C803E4" w:rsidRPr="00AB7ABC" w:rsidRDefault="00AB7ABC" w:rsidP="00AB7ABC">
      <w:pPr>
        <w:pStyle w:val="NormalHanging12a"/>
        <w:widowControl/>
        <w:ind w:left="570" w:hanging="570"/>
      </w:pPr>
      <w:r w:rsidRPr="00AB7ABC">
        <w:t>26.</w:t>
      </w:r>
      <w:r w:rsidRPr="00AB7ABC">
        <w:tab/>
      </w:r>
      <w:r w:rsidR="00C803E4" w:rsidRPr="00AB7ABC">
        <w:t>σημειώνει ότι το Καζακστάν είναι το πρώτο κράτος της Κεντρικής Ασίας με επικυρωμένη ΕΣΕΣΣ, η οποία παρέχει στέρεα θεμέλια για την επέκταση της συνεργασίας σε βασικούς τομείς αμοιβαίου ενδιαφέροντος, όπως η συνδεσιμότητα, η ενεργειακή απόδοση, η πράσινη οικονομία και η ψηφιοποίηση· εκφράζει την ικανοποίησή του για την υπογραφή του μνημονίου συνεννόησης μεταξύ της Δημοκρατίας του Καζακστάν και της ΕΕ σχετικά με μια στρατηγική εταιρική σχέση για αξιακές αλυσίδες βιώσιμων πρώτων υλών, συσσωρευτών και ανανεώσιμου υδρογόνου· καλεί τις αρχές του Καζακστάν να συνεχίσουν να εφαρμόζουν πολιτικές και οικονομικές μεταρρυθμίσεις, οι οποίες θα πρέπει να ενισχύουν τη δημοκρατία, το κράτος δικαίου και τη χρηστή διακυβέρνηση· υπογραμμίζει ότι η υλοποίηση του οράματος ενός «Αμερόληπτου και Δίκαιου Καζακστάν» (Just and Fair Kazakhstan) πρέπει να διασφαλίζει τον σεβασμό των ανθρωπίνων δικαιωμάτων και των ελευθεριών της έκφρασης, του συνεταιρίζεσθαι και του συνέρχεσθαι, και να βελτιώνει το εκλογικό πλαίσιο σύμφωνα με τις συστάσεις του Γραφείου Δημοκρατικών Θεσμών και Ανθρωπίνων Δικαιωμάτων του ΟΑΣΕ· καλεί τις αρχές του Καζακστάν να ολοκληρώσουν την έρευνα για τα γεγονότα του Ιανουαρίου του 2022, να δημοσιεύσουν τα πορίσματά τους και να εξασφαλίσουν την απονομή δικαιοσύνης για τα θύματα βασανιστηρίων· σημειώνει τα δυνητικά οφέλη των αυξημένων ανταλλαγών μεταξύ των λαών με το Καζακστάν μέσω μιας συμφωνίας διευκόλυνσης της έκδοσης θεωρήσεων, οι διαβουλεύσεις για την οποία ξεκίνησαν τον Μάιο του 2023·</w:t>
      </w:r>
    </w:p>
    <w:p w:rsidR="00C803E4" w:rsidRPr="00AB7ABC" w:rsidRDefault="00AB7ABC" w:rsidP="00AB7ABC">
      <w:pPr>
        <w:pStyle w:val="NormalHanging12a"/>
        <w:widowControl/>
        <w:ind w:left="570" w:hanging="570"/>
      </w:pPr>
      <w:r w:rsidRPr="00AB7ABC">
        <w:t>27.</w:t>
      </w:r>
      <w:r w:rsidRPr="00AB7ABC">
        <w:tab/>
      </w:r>
      <w:r w:rsidR="00C803E4" w:rsidRPr="00AB7ABC">
        <w:t>υπογραμμίζει ότι η επικείμενη υπογραφή της ΕΣΕΣΣ και η εν εξελίξει εφαρμογή του ΣΓΠ + δίνουν περαιτέρω έμφαση στην ανάγκη να διασφαλιστεί ο σεβασμός των ανθρωπίνων δικαιωμάτων και των θεμελιωδών ελευθεριών στην Κιργιζία σύμφωνα με τις διεθνείς δεσμεύσεις της· παρατηρεί με ανησυχία την επιδείνωση της κατάστασης των δημοκρατικών προτύπων και των ανθρωπίνων δικαιωμάτων τα τελευταία χρόνια, δεδομένου ότι η Κιργιζία θεωρείται η πιο δημοκρατική χώρα στην περιοχή με δραστήρια κοινωνία των πολιτών και ελεύθερα μέσα ενημέρωσης· εκφράζει την ανησυχία του για τις διώξεις της αντιπολίτευσης, μεταξύ άλλων εκπροσώπων του σοσιαλδημοκρατικού κόμματος, και για τον αρνητικό αντίκτυπο των νομοθετικών πρωτοβουλιών που στοχοποιούν τις δραστηριότητες των ανεξάρτητων μέσων ενημέρωσης και της κοινωνίας των πολιτών, ιδίως του νόμου για την «ψευδή πληροφόρηση» και των νομοσχεδίων για τους «ξένους εκπροσώπους», τα «μέσα μαζικής ενημέρωσης» και την «προστασία των παιδιών από επιβλαβείς πληροφορίες», καθώς και για τον αυξανόμενο αριθμό υποθέσεων κατά υπερασπιστών των ανθρωπίνων δικαιωμάτων, εργαζομένων στα μέσα ενημέρωσης και δημοσιογράφων, καθώς και μέσων επικοινωνίας· καλεί την ΕΕ να συνεχίσει να στηρίζει την κοινωνία των πολιτών και τα ανεξάρτητα μέσα ενημέρωσης·</w:t>
      </w:r>
    </w:p>
    <w:p w:rsidR="00C803E4" w:rsidRPr="00AB7ABC" w:rsidRDefault="00AB7ABC" w:rsidP="00AB7ABC">
      <w:pPr>
        <w:pStyle w:val="NormalHanging12a"/>
        <w:widowControl/>
        <w:ind w:left="570" w:hanging="570"/>
      </w:pPr>
      <w:r w:rsidRPr="00AB7ABC">
        <w:t>28.</w:t>
      </w:r>
      <w:r w:rsidRPr="00AB7ABC">
        <w:tab/>
      </w:r>
      <w:r w:rsidR="00C803E4" w:rsidRPr="00AB7ABC">
        <w:t xml:space="preserve">σημειώνει ότι η έναρξη των διαπραγματεύσεων για τη συμφωνία ΕΣΕΣΣ με το Τατζικιστάν αποτελεί ευκαιρία για τη διεύρυνση του πεδίου της διμερούς συνεργασίας και των ανταλλαγών· υπογραμμίζει την ανάγκη για συνεχή στενή συνεργασία σε θέματα ασφάλειας, καθώς το Αφγανιστάν εξακολουθεί να αποτελεί πηγή αστάθειας και ανησυχιών στον τομέα της ασφάλειας λόγω της σκληρής εξουσίας που ασκούν οι Ταλιμπάν και των συνεχιζόμενων ανθρωπιστικών κρίσεων στη χώρα· επαναλαμβάνει </w:t>
      </w:r>
      <w:r w:rsidR="00C803E4" w:rsidRPr="00AB7ABC">
        <w:lastRenderedPageBreak/>
        <w:t>ότι η νόμιμη καταπολέμηση της τρομοκρατίας και του βίαιου εξτρεμισμού δεν πρέπει να χρησιμοποιείται ως πρόσχημα για την καταστολή της δραστηριότητας της αντιπολίτευσης, την παρεμπόδιση της ελευθερίας της έκφρασης ή την περιστολή της ανεξαρτησίας της δικαστικής εξουσίας· εκφράζει την ικανοποίησή του για το ενδιαφέρον του Τατζικιστάν να προσχωρήσει στο ΣΓΠ +, γεγονός που μπορεί να στηρίξει τη βιώσιμη οικονομική ανάπτυξη και να τονώσει το εμπόριο, και απαιτεί την αποτελεσματική εφαρμογή των διεθνών προτύπων για τα ανθρώπινα και εργασιακά δικαιώματα· καλεί το Τατζικιστάν να βελτιώσει την προστασία των ανθρωπίνων δικαιωμάτων και των θεμελιωδών ελευθεριών, ιδίως της ελευθερίας της έκφρασης, και να σταματήσει τον εκφοβισμό και τη δίωξη εργαζομένων στα μέσα ενημέρωσης, υπερασπιστών των ανθρωπίνων δικαιωμάτων, ανεξάρτητων δικηγόρων και της κοινωνίας των πολιτών, καθώς και την καταπίεση της παμιρικής μειονότητας στην αυτόνομη περιφέρεια Γκόρνο-Μπαντακσάν·</w:t>
      </w:r>
    </w:p>
    <w:p w:rsidR="00C803E4" w:rsidRPr="00AB7ABC" w:rsidRDefault="00AB7ABC" w:rsidP="00AB7ABC">
      <w:pPr>
        <w:pStyle w:val="NormalHanging12a"/>
        <w:widowControl/>
        <w:ind w:left="570" w:hanging="570"/>
        <w:rPr>
          <w:u w:val="single"/>
        </w:rPr>
      </w:pPr>
      <w:r w:rsidRPr="00AB7ABC">
        <w:t>29.</w:t>
      </w:r>
      <w:r w:rsidRPr="00AB7ABC">
        <w:tab/>
      </w:r>
      <w:r w:rsidR="00C803E4" w:rsidRPr="00AB7ABC">
        <w:t>σημειώνει ότι το Τουρκμενιστάν παραμένει το μόνο κράτος της Κεντρικής Ασίας χωρίς ΣΕΣΣ με την ΕΕ, γεγονός που περιορίζει το πεδίο διμερούς δέσμευσης· τονίζει ότι το Τουρκμενιστάν πρέπει να βελτιώσει τις δεινές επιδόσεις του όσον αφορά τη δημοκρατία και τα ανθρώπινα δικαιώματα, προκειμένου το Κοινοβούλιο να επανεξετάσει τη θέση του και να κυρώσει τη ΣΕΣΣ· παροτρύνει την κυβέρνηση του Τουρκμενιστάν να αποποινικοποιήσει τις συναινετικές σεξουαλικές σχέσεις μεταξύ ανδρών· σημειώνει ότι είναι προς το συμφέρον του Τουρκμενιστάν να αποκτήσει πιο ανοικτό πνεύμα για να αποφύγει να είναι ο ακραίος παράγοντας στην περιοχή με περιορισμένες επιλογές συνεργασίας· αναγνωρίζει τις δυνατότητες της αμοιβαία επωφελούς συνεργασίας σε τομείς όπως η ενέργεια, η συνδεσιμότητα και το εμπόριο, και χαιρετίζει το ενδιαφέρον που εξέφρασε το Τουρκμενιστάν για τον εφοδιασμό της Ευρώπης με φυσικό αέριο με την κατασκευή αγωγού φυσικού αερίου μέσω της Κασπίας·</w:t>
      </w:r>
    </w:p>
    <w:p w:rsidR="00C803E4" w:rsidRPr="00AB7ABC" w:rsidRDefault="00AB7ABC" w:rsidP="00AB7ABC">
      <w:pPr>
        <w:pStyle w:val="NormalHanging12a"/>
        <w:widowControl/>
        <w:ind w:left="570" w:hanging="570"/>
        <w:rPr>
          <w:u w:val="single"/>
        </w:rPr>
      </w:pPr>
      <w:r w:rsidRPr="00AB7ABC">
        <w:t>30.</w:t>
      </w:r>
      <w:r w:rsidRPr="00AB7ABC">
        <w:tab/>
      </w:r>
      <w:r w:rsidR="00C803E4" w:rsidRPr="00AB7ABC">
        <w:t xml:space="preserve">σημειώνει τις μεταρρυθμίσεις που ανακοινώθηκαν στο Ουζμπεκιστάν με στόχο την επίτευξη πραγματικής αλλαγής στη χώρα όσον αφορά την κοινωνικοοικονομική ανάπτυξη, την αποτελεσματική διοίκηση, ένα πιο ανεξάρτητο δικαστικό σύστημα και τον σεβασμό των ανθρωπίνων δικαιωμάτων και των θεμελιωδών ελευθεριών· τονίζει ότι η συνταγματική μεταρρύθμιση αποτελεί ευκαιρία για την ενίσχυση του κράτους δικαίου και τη δημιουργία στέρεης νομικής βάσης για τις μεταρρυθμίσεις· επαναλαμβάνει, ωστόσο, τη βαθιά του ανησυχία για τις κακές επιδόσεις του Ουζμπεκιστάν όσον αφορά τη δημοκρατία, την ελευθερία των μέσων ενημέρωσης, τα ανθρώπινα δικαιώματα και το κράτος δικαίου, συμπεριλαμβανομένης της βίαιης καταστολής της διαμαρτυρίας του Καρακαλπακστάν, των περιορισμών της ελευθερίας του συνεταιρίζεσθαι τόσο για τις μη κυβερνητικές οργανώσεις όσο και για τα πολιτικά κόμματα, καθώς και της δίωξης και των απειλών κατά δημοσιογράφων, ανεξάρτητων bloggers, παραγωγών περιεχομένου και υπερασπιστών των ανθρωπίνων δικαιωμάτων· υπενθυμίζει στις αρχές τη σημασία του σεβασμού της ελευθερίας της έκφρασης, τόσο εντός όσο και εκτός διαδικτύου, της ελευθερίας του συνέρχεσθαι, της ελευθερίας του συνεταιρίζεσθαι, και της ανεξαρτησίας των μέσων ενημέρωσης· χαιρετίζει ορισμένες αξιοσημείωτες βελτιώσεις στα δικαιώματα των γυναικών στο Ουζμπεκιστάν· παροτρύνει την κυβέρνηση του Ουζμπεκιστάν να αποποινικοποιήσει τις συναινετικές σεξουαλικές σχέσεις μεταξύ ανδρών· χαιρετίζει την ολοκλήρωση των διαπραγματεύσεων για την ΕΣΕΣΣ ΕΕ-Ουζμπεκιστάν και επαναλαμβάνει την έκκλησή του για ταχεία ολοκλήρωση των αναγκαίων νομικών και τεχνικών διαδικασιών για την υπογραφή της ΕΣΕΣΣ· χαιρετίζει τον ηγετικό ρόλο του Ουζμπεκιστάν στην προώθηση </w:t>
      </w:r>
      <w:r w:rsidR="00C803E4" w:rsidRPr="00AB7ABC">
        <w:lastRenderedPageBreak/>
        <w:t xml:space="preserve">της περιφερειακής συνεργασίας σε διάφορους τομείς, συμπεριλαμβανομένης της συνδεσιμότητας και της χρήσης των υδάτινων πόρων· </w:t>
      </w:r>
    </w:p>
    <w:p w:rsidR="00C803E4" w:rsidRPr="00AB7ABC" w:rsidRDefault="00C803E4" w:rsidP="00E2668E">
      <w:pPr>
        <w:pStyle w:val="NormalCenter12a"/>
        <w:widowControl/>
      </w:pPr>
      <w:r w:rsidRPr="00AB7ABC">
        <w:t>°</w:t>
      </w:r>
    </w:p>
    <w:p w:rsidR="00C803E4" w:rsidRPr="00AB7ABC" w:rsidRDefault="00C803E4" w:rsidP="00E2668E">
      <w:pPr>
        <w:pStyle w:val="NormalCenter12a"/>
        <w:widowControl/>
      </w:pPr>
      <w:r w:rsidRPr="00AB7ABC">
        <w:t>°</w:t>
      </w:r>
      <w:r w:rsidRPr="00AB7ABC">
        <w:tab/>
        <w:t>°</w:t>
      </w:r>
    </w:p>
    <w:p w:rsidR="00C803E4" w:rsidRPr="00AB7ABC" w:rsidRDefault="00AB7ABC" w:rsidP="00AB7ABC">
      <w:pPr>
        <w:pStyle w:val="NormalHanging12a"/>
        <w:widowControl/>
        <w:ind w:left="570" w:hanging="570"/>
      </w:pPr>
      <w:r w:rsidRPr="00AB7ABC">
        <w:t>31.</w:t>
      </w:r>
      <w:r w:rsidRPr="00AB7ABC">
        <w:tab/>
      </w:r>
      <w:r w:rsidR="00C803E4" w:rsidRPr="00AB7ABC">
        <w:t>αναθέτει στην Πρόεδρό του να διαβιβάσει το παρόν ψήφισμα στο Συμβούλιο, στην Επιτροπή και τον Αντιπρόεδρο της Επιτροπής/Ύπατο Εκπρόσωπο της Ένωσης για Θέματα Εξωτερικής Πολιτικής και Πολιτικής Ασφαλείας, και στους προέδρους, τις κυβερνήσεις και τα κοινοβούλια του Καζακστάν, της Κιργιζίας, του Τατζικιστάν, του Τουρκμενιστάν και του Ουζμπεκιστάν.</w:t>
      </w:r>
    </w:p>
    <w:sectPr w:rsidR="00C803E4" w:rsidRPr="00AB7ABC" w:rsidSect="00D769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389" w:rsidRPr="00D76992" w:rsidRDefault="00EA6389">
      <w:r w:rsidRPr="00D76992">
        <w:separator/>
      </w:r>
    </w:p>
  </w:endnote>
  <w:endnote w:type="continuationSeparator" w:id="0">
    <w:p w:rsidR="00EA6389" w:rsidRPr="00D76992" w:rsidRDefault="00EA6389">
      <w:r w:rsidRPr="00D76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389" w:rsidRPr="00D76992" w:rsidRDefault="00EA6389">
      <w:r w:rsidRPr="00D76992">
        <w:separator/>
      </w:r>
    </w:p>
  </w:footnote>
  <w:footnote w:type="continuationSeparator" w:id="0">
    <w:p w:rsidR="00EA6389" w:rsidRPr="00D76992" w:rsidRDefault="00EA6389">
      <w:r w:rsidRPr="00D76992">
        <w:continuationSeparator/>
      </w:r>
    </w:p>
  </w:footnote>
  <w:footnote w:id="1">
    <w:p w:rsidR="00C803E4" w:rsidRPr="00D76992" w:rsidRDefault="00C803E4" w:rsidP="00E2668E">
      <w:pPr>
        <w:pStyle w:val="FootnoteText"/>
        <w:spacing w:line="240" w:lineRule="auto"/>
        <w:ind w:left="567" w:hanging="567"/>
        <w:rPr>
          <w:sz w:val="24"/>
          <w:lang w:val="el-GR"/>
        </w:rPr>
      </w:pPr>
      <w:r w:rsidRPr="00D76992">
        <w:rPr>
          <w:rStyle w:val="FootnoteReference"/>
          <w:sz w:val="24"/>
          <w:lang w:val="el-GR"/>
        </w:rPr>
        <w:footnoteRef/>
      </w:r>
      <w:r w:rsidR="00D76992" w:rsidRPr="00D76992">
        <w:rPr>
          <w:sz w:val="24"/>
          <w:lang w:val="el-GR"/>
        </w:rPr>
        <w:t xml:space="preserve"> </w:t>
      </w:r>
      <w:r w:rsidR="00D76992" w:rsidRPr="00D76992">
        <w:rPr>
          <w:sz w:val="24"/>
          <w:lang w:val="el-GR"/>
        </w:rPr>
        <w:tab/>
      </w:r>
      <w:r w:rsidRPr="00E2668E">
        <w:rPr>
          <w:sz w:val="24"/>
          <w:lang w:val="el-GR"/>
        </w:rPr>
        <w:t>ΕΕ L 29 της 4.2.2016, σ. 3</w:t>
      </w:r>
      <w:r w:rsidRPr="00D76992">
        <w:rPr>
          <w:sz w:val="24"/>
          <w:lang w:val="el-GR"/>
        </w:rPr>
        <w:t>.</w:t>
      </w:r>
    </w:p>
  </w:footnote>
  <w:footnote w:id="2">
    <w:p w:rsidR="00C803E4" w:rsidRPr="00D76992" w:rsidRDefault="00C803E4" w:rsidP="00E2668E">
      <w:pPr>
        <w:pStyle w:val="FootnoteText"/>
        <w:spacing w:line="240" w:lineRule="auto"/>
        <w:ind w:left="567" w:hanging="567"/>
        <w:rPr>
          <w:sz w:val="24"/>
          <w:lang w:val="el-GR"/>
        </w:rPr>
      </w:pPr>
      <w:r w:rsidRPr="00D76992">
        <w:rPr>
          <w:rStyle w:val="FootnoteReference"/>
          <w:sz w:val="24"/>
          <w:lang w:val="el-GR"/>
        </w:rPr>
        <w:footnoteRef/>
      </w:r>
      <w:r w:rsidR="00D76992" w:rsidRPr="00D76992">
        <w:rPr>
          <w:sz w:val="24"/>
          <w:lang w:val="el-GR"/>
        </w:rPr>
        <w:t xml:space="preserve"> </w:t>
      </w:r>
      <w:r w:rsidR="00D76992" w:rsidRPr="00D76992">
        <w:rPr>
          <w:sz w:val="24"/>
          <w:lang w:val="el-GR"/>
        </w:rPr>
        <w:tab/>
      </w:r>
      <w:r w:rsidRPr="00E2668E">
        <w:rPr>
          <w:sz w:val="24"/>
          <w:lang w:val="el-GR"/>
        </w:rPr>
        <w:t>EE L 196 της 28.7.1999, σ. 48</w:t>
      </w:r>
      <w:r w:rsidRPr="00D76992">
        <w:rPr>
          <w:sz w:val="24"/>
          <w:lang w:val="el-GR"/>
        </w:rPr>
        <w:t>.</w:t>
      </w:r>
    </w:p>
  </w:footnote>
  <w:footnote w:id="3">
    <w:p w:rsidR="00C803E4" w:rsidRPr="00D76992" w:rsidRDefault="00C803E4" w:rsidP="00E2668E">
      <w:pPr>
        <w:pStyle w:val="FootnoteText"/>
        <w:spacing w:line="240" w:lineRule="auto"/>
        <w:ind w:left="567" w:hanging="567"/>
        <w:rPr>
          <w:sz w:val="24"/>
          <w:lang w:val="el-GR"/>
        </w:rPr>
      </w:pPr>
      <w:r w:rsidRPr="00D76992">
        <w:rPr>
          <w:rStyle w:val="FootnoteReference"/>
          <w:sz w:val="24"/>
          <w:lang w:val="el-GR"/>
        </w:rPr>
        <w:footnoteRef/>
      </w:r>
      <w:r w:rsidR="00D76992" w:rsidRPr="00D76992">
        <w:rPr>
          <w:sz w:val="24"/>
          <w:lang w:val="el-GR"/>
        </w:rPr>
        <w:t xml:space="preserve"> </w:t>
      </w:r>
      <w:r w:rsidR="00D76992" w:rsidRPr="00D76992">
        <w:rPr>
          <w:sz w:val="24"/>
          <w:lang w:val="el-GR"/>
        </w:rPr>
        <w:tab/>
      </w:r>
      <w:r w:rsidRPr="00E2668E">
        <w:rPr>
          <w:sz w:val="24"/>
          <w:shd w:val="clear" w:color="auto" w:fill="FFFFFF"/>
          <w:lang w:val="el-GR"/>
        </w:rPr>
        <w:t>ΕΕ L 350 της 29.12.2009, σ. 3</w:t>
      </w:r>
      <w:r w:rsidRPr="00D76992">
        <w:rPr>
          <w:sz w:val="24"/>
          <w:lang w:val="el-GR"/>
        </w:rPr>
        <w:t>.</w:t>
      </w:r>
    </w:p>
  </w:footnote>
  <w:footnote w:id="4">
    <w:p w:rsidR="00C803E4" w:rsidRPr="00E2668E" w:rsidRDefault="00C803E4" w:rsidP="00E2668E">
      <w:pPr>
        <w:pStyle w:val="FootnoteText"/>
        <w:spacing w:line="240" w:lineRule="auto"/>
        <w:ind w:left="567" w:hanging="567"/>
        <w:rPr>
          <w:sz w:val="24"/>
          <w:u w:val="single" w:color="0000FF"/>
          <w:lang w:val="el-GR"/>
        </w:rPr>
      </w:pPr>
      <w:r w:rsidRPr="00D76992">
        <w:rPr>
          <w:rStyle w:val="FootnoteReference"/>
          <w:sz w:val="24"/>
          <w:lang w:val="el-GR"/>
        </w:rPr>
        <w:footnoteRef/>
      </w:r>
      <w:r w:rsidR="00D76992" w:rsidRPr="00D76992">
        <w:rPr>
          <w:sz w:val="24"/>
          <w:lang w:val="el-GR"/>
        </w:rPr>
        <w:t xml:space="preserve"> </w:t>
      </w:r>
      <w:r w:rsidR="00D76992" w:rsidRPr="00D76992">
        <w:rPr>
          <w:sz w:val="24"/>
          <w:lang w:val="el-GR"/>
        </w:rPr>
        <w:tab/>
      </w:r>
      <w:r w:rsidRPr="00E2668E">
        <w:rPr>
          <w:sz w:val="24"/>
          <w:lang w:val="el-GR"/>
        </w:rPr>
        <w:t>EE L 229 της 31.8.1999, σ. 3</w:t>
      </w:r>
      <w:r w:rsidRPr="00D76992">
        <w:rPr>
          <w:sz w:val="24"/>
          <w:lang w:val="el-GR"/>
        </w:rPr>
        <w:t>.</w:t>
      </w:r>
    </w:p>
  </w:footnote>
  <w:footnote w:id="5">
    <w:p w:rsidR="00C803E4" w:rsidRPr="00D76992" w:rsidRDefault="00C803E4" w:rsidP="00E2668E">
      <w:pPr>
        <w:pStyle w:val="FootnoteText"/>
        <w:spacing w:line="240" w:lineRule="auto"/>
        <w:ind w:left="567" w:hanging="567"/>
        <w:rPr>
          <w:sz w:val="24"/>
          <w:lang w:val="el-GR"/>
        </w:rPr>
      </w:pPr>
      <w:r w:rsidRPr="00D76992">
        <w:rPr>
          <w:rStyle w:val="FootnoteReference"/>
          <w:sz w:val="24"/>
          <w:lang w:val="el-GR"/>
        </w:rPr>
        <w:footnoteRef/>
      </w:r>
      <w:r w:rsidR="00D76992" w:rsidRPr="00D76992">
        <w:rPr>
          <w:sz w:val="24"/>
          <w:lang w:val="el-GR"/>
        </w:rPr>
        <w:t xml:space="preserve"> </w:t>
      </w:r>
      <w:r w:rsidR="00D76992" w:rsidRPr="00D76992">
        <w:rPr>
          <w:sz w:val="24"/>
          <w:lang w:val="el-GR"/>
        </w:rPr>
        <w:tab/>
      </w:r>
      <w:r w:rsidRPr="00E2668E">
        <w:rPr>
          <w:sz w:val="24"/>
          <w:lang w:val="el-GR"/>
        </w:rPr>
        <w:t>ΕΕ C 404 της 6.10.2021, σ. 202</w:t>
      </w:r>
      <w:r w:rsidRPr="00D7699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9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DC1C78"/>
    <w:multiLevelType w:val="hybridMultilevel"/>
    <w:tmpl w:val="CC3EE2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EF44FB2"/>
    <w:multiLevelType w:val="hybridMultilevel"/>
    <w:tmpl w:val="2A64B324"/>
    <w:lvl w:ilvl="0" w:tplc="3EB406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EL"/>
    <w:docVar w:name="dvnumam" w:val="0"/>
    <w:docVar w:name="dvpe" w:val="752.889"/>
    <w:docVar w:name="dvrapporteur" w:val="Εισηγητής: "/>
    <w:docVar w:name="dvtitre" w:val="Ψήφισμα του Ευρωπαϊκού Κοινοβουλίου σχετικά με τη στρατηγική της ΕΕ για την Κεντρική Ασία(2023/2106(INI))"/>
  </w:docVars>
  <w:rsids>
    <w:rsidRoot w:val="00EA638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AA8"/>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C92"/>
    <w:rsid w:val="00865F67"/>
    <w:rsid w:val="00881A7B"/>
    <w:rsid w:val="008840E5"/>
    <w:rsid w:val="00887B3E"/>
    <w:rsid w:val="008C2AC6"/>
    <w:rsid w:val="00930C23"/>
    <w:rsid w:val="0093193B"/>
    <w:rsid w:val="009509D8"/>
    <w:rsid w:val="00950B64"/>
    <w:rsid w:val="00981893"/>
    <w:rsid w:val="00A1687D"/>
    <w:rsid w:val="00A23233"/>
    <w:rsid w:val="00A43E52"/>
    <w:rsid w:val="00A4678D"/>
    <w:rsid w:val="00A778C7"/>
    <w:rsid w:val="00AB441E"/>
    <w:rsid w:val="00AB6293"/>
    <w:rsid w:val="00AB7ABC"/>
    <w:rsid w:val="00AE0928"/>
    <w:rsid w:val="00AF3B82"/>
    <w:rsid w:val="00B12E95"/>
    <w:rsid w:val="00B22876"/>
    <w:rsid w:val="00B558F0"/>
    <w:rsid w:val="00BD48FE"/>
    <w:rsid w:val="00BD7BD8"/>
    <w:rsid w:val="00BE6ADC"/>
    <w:rsid w:val="00C05BFE"/>
    <w:rsid w:val="00C23CD4"/>
    <w:rsid w:val="00C61C0C"/>
    <w:rsid w:val="00C803E4"/>
    <w:rsid w:val="00C941CB"/>
    <w:rsid w:val="00CC2357"/>
    <w:rsid w:val="00CF071A"/>
    <w:rsid w:val="00D058B8"/>
    <w:rsid w:val="00D56C11"/>
    <w:rsid w:val="00D76992"/>
    <w:rsid w:val="00D834A0"/>
    <w:rsid w:val="00D872DF"/>
    <w:rsid w:val="00D91E21"/>
    <w:rsid w:val="00DA7FCD"/>
    <w:rsid w:val="00E2668E"/>
    <w:rsid w:val="00E365E1"/>
    <w:rsid w:val="00E820A4"/>
    <w:rsid w:val="00EA63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C2341"/>
  <w15:chartTrackingRefBased/>
  <w15:docId w15:val="{83D0BBE7-1106-4729-986B-7E9269B0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803E4"/>
    <w:rPr>
      <w:b/>
    </w:rPr>
  </w:style>
  <w:style w:type="paragraph" w:customStyle="1" w:styleId="NormalHanging12a">
    <w:name w:val="NormalHanging12a"/>
    <w:basedOn w:val="Normal"/>
    <w:link w:val="NormalHanging12aChar"/>
    <w:rsid w:val="00C803E4"/>
    <w:pPr>
      <w:spacing w:after="240"/>
      <w:ind w:left="567" w:hanging="567"/>
    </w:pPr>
  </w:style>
  <w:style w:type="paragraph" w:customStyle="1" w:styleId="EPComma">
    <w:name w:val="EPComma"/>
    <w:basedOn w:val="Normal"/>
    <w:rsid w:val="00C803E4"/>
    <w:pPr>
      <w:spacing w:before="480" w:after="240"/>
    </w:pPr>
  </w:style>
  <w:style w:type="character" w:styleId="Hyperlink">
    <w:name w:val="Hyperlink"/>
    <w:basedOn w:val="DefaultParagraphFont"/>
    <w:unhideWhenUsed/>
    <w:rsid w:val="00C803E4"/>
    <w:rPr>
      <w:color w:val="0563C1" w:themeColor="hyperlink"/>
      <w:u w:val="single"/>
    </w:rPr>
  </w:style>
  <w:style w:type="character" w:customStyle="1" w:styleId="BoldItalic">
    <w:name w:val="BoldItalic"/>
    <w:uiPriority w:val="1"/>
    <w:rsid w:val="00C803E4"/>
    <w:rPr>
      <w:b/>
      <w:bCs w:val="0"/>
      <w:i/>
      <w:iCs w:val="0"/>
      <w:strike w:val="0"/>
      <w:dstrike w:val="0"/>
      <w:u w:val="none"/>
      <w:effect w:val="none"/>
    </w:rPr>
  </w:style>
  <w:style w:type="paragraph" w:customStyle="1" w:styleId="Normal12a24b">
    <w:name w:val="Normal12a24b"/>
    <w:basedOn w:val="Normal"/>
    <w:rsid w:val="00C803E4"/>
    <w:pPr>
      <w:snapToGrid w:val="0"/>
      <w:spacing w:before="360" w:after="240"/>
    </w:pPr>
    <w:rPr>
      <w:lang w:eastAsia="en-US"/>
    </w:rPr>
  </w:style>
  <w:style w:type="paragraph" w:customStyle="1" w:styleId="NormalCenter12a">
    <w:name w:val="NormalCenter12a"/>
    <w:basedOn w:val="Normal"/>
    <w:rsid w:val="00C803E4"/>
    <w:pPr>
      <w:spacing w:after="240"/>
      <w:jc w:val="center"/>
    </w:pPr>
  </w:style>
  <w:style w:type="character" w:customStyle="1" w:styleId="NormalHanging12aChar">
    <w:name w:val="NormalHanging12a Char"/>
    <w:basedOn w:val="DefaultParagraphFont"/>
    <w:link w:val="NormalHanging12a"/>
    <w:rsid w:val="00C803E4"/>
    <w:rPr>
      <w:sz w:val="24"/>
      <w:lang w:val="el-GR"/>
    </w:rPr>
  </w:style>
  <w:style w:type="paragraph" w:styleId="BalloonText">
    <w:name w:val="Balloon Text"/>
    <w:basedOn w:val="Normal"/>
    <w:link w:val="BalloonTextChar"/>
    <w:rsid w:val="00E2668E"/>
    <w:rPr>
      <w:rFonts w:ascii="Segoe UI" w:hAnsi="Segoe UI" w:cs="Segoe UI"/>
      <w:sz w:val="18"/>
      <w:szCs w:val="18"/>
    </w:rPr>
  </w:style>
  <w:style w:type="character" w:customStyle="1" w:styleId="BalloonTextChar">
    <w:name w:val="Balloon Text Char"/>
    <w:basedOn w:val="DefaultParagraphFont"/>
    <w:link w:val="BalloonText"/>
    <w:rsid w:val="00E2668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90A3B-1A12-456B-97DA-76F6D0B7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6519</Words>
  <Characters>39283</Characters>
  <Application>Microsoft Office Word</Application>
  <DocSecurity>0</DocSecurity>
  <Lines>689</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2024-02-14T14:52:00Z</dcterms:created>
  <dcterms:modified xsi:type="dcterms:W3CDTF">2024-02-14T14:52:00Z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A9-0407/2023</vt:lpwstr>
  </property>
  <property fmtid="{D5CDD505-2E9C-101B-9397-08002B2CF9AE}" pid="4" name="&lt;Type&gt;">
    <vt:lpwstr>RR</vt:lpwstr>
  </property>
</Properties>
</file>