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549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5491" w:rsidRDefault="00D62B4B" w:rsidP="0010095E">
            <w:pPr>
              <w:pStyle w:val="EPName"/>
            </w:pPr>
            <w:r w:rsidRPr="00105491">
              <w:t>Europski parlament</w:t>
            </w:r>
          </w:p>
          <w:p w:rsidR="00751A4A" w:rsidRPr="0010549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549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05491" w:rsidRDefault="00187494" w:rsidP="0010095E">
            <w:pPr>
              <w:pStyle w:val="EPLogo"/>
            </w:pPr>
            <w:r w:rsidRPr="0010549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5491" w:rsidRDefault="00D058B8" w:rsidP="004C5D52">
      <w:pPr>
        <w:pStyle w:val="LineTop"/>
      </w:pPr>
    </w:p>
    <w:p w:rsidR="00680577" w:rsidRPr="00105491" w:rsidRDefault="00D62B4B" w:rsidP="00680577">
      <w:pPr>
        <w:pStyle w:val="EPBodyTA1"/>
      </w:pPr>
      <w:r w:rsidRPr="00105491">
        <w:t>USVOJENI TEKSTOVI</w:t>
      </w:r>
    </w:p>
    <w:p w:rsidR="00D058B8" w:rsidRPr="00105491" w:rsidRDefault="00D058B8" w:rsidP="00D058B8">
      <w:pPr>
        <w:pStyle w:val="LineBottom"/>
      </w:pPr>
    </w:p>
    <w:p w:rsidR="00D62B4B" w:rsidRPr="00105491" w:rsidRDefault="00D62B4B" w:rsidP="00D62B4B">
      <w:pPr>
        <w:pStyle w:val="ATHeading1"/>
      </w:pPr>
      <w:bookmarkStart w:id="0" w:name="TANumber"/>
      <w:r w:rsidRPr="00105491">
        <w:t>P9_TA(2024)00</w:t>
      </w:r>
      <w:r w:rsidR="00105491" w:rsidRPr="00105491">
        <w:t>27</w:t>
      </w:r>
      <w:bookmarkEnd w:id="0"/>
    </w:p>
    <w:p w:rsidR="00D62B4B" w:rsidRPr="00105491" w:rsidRDefault="00D76ADC" w:rsidP="00D62B4B">
      <w:pPr>
        <w:pStyle w:val="ATHeading2"/>
      </w:pPr>
      <w:bookmarkStart w:id="1" w:name="title"/>
      <w:r w:rsidRPr="00105491">
        <w:t>Strategija EU-a za srednju Aziju</w:t>
      </w:r>
      <w:bookmarkEnd w:id="1"/>
    </w:p>
    <w:p w:rsidR="00D62B4B" w:rsidRPr="00105491" w:rsidRDefault="00D62B4B" w:rsidP="00D62B4B">
      <w:pPr>
        <w:rPr>
          <w:i/>
          <w:vanish/>
        </w:rPr>
      </w:pPr>
      <w:r w:rsidRPr="00105491">
        <w:rPr>
          <w:i/>
        </w:rPr>
        <w:fldChar w:fldCharType="begin"/>
      </w:r>
      <w:r w:rsidRPr="00105491">
        <w:rPr>
          <w:i/>
        </w:rPr>
        <w:instrText xml:space="preserve"> TC"(</w:instrText>
      </w:r>
      <w:bookmarkStart w:id="2" w:name="DocNumber"/>
      <w:r w:rsidRPr="00105491">
        <w:rPr>
          <w:i/>
        </w:rPr>
        <w:instrText>A9-0407/2023</w:instrText>
      </w:r>
      <w:bookmarkEnd w:id="2"/>
      <w:r w:rsidRPr="00105491">
        <w:rPr>
          <w:i/>
        </w:rPr>
        <w:instrText xml:space="preserve"> - Izvjestitelj: Karsten Lucke)"\l3 \n&gt; \* MERGEFORMAT </w:instrText>
      </w:r>
      <w:r w:rsidRPr="00105491">
        <w:rPr>
          <w:i/>
        </w:rPr>
        <w:fldChar w:fldCharType="end"/>
      </w:r>
    </w:p>
    <w:p w:rsidR="00D62B4B" w:rsidRPr="00105491" w:rsidRDefault="00D62B4B" w:rsidP="00D62B4B">
      <w:pPr>
        <w:rPr>
          <w:vanish/>
        </w:rPr>
      </w:pPr>
      <w:bookmarkStart w:id="3" w:name="Commission"/>
      <w:r w:rsidRPr="00105491">
        <w:rPr>
          <w:vanish/>
        </w:rPr>
        <w:t>Odbor za vanjske poslove</w:t>
      </w:r>
      <w:bookmarkEnd w:id="3"/>
    </w:p>
    <w:p w:rsidR="00D62B4B" w:rsidRPr="00105491" w:rsidRDefault="00D62B4B" w:rsidP="00D62B4B">
      <w:pPr>
        <w:rPr>
          <w:vanish/>
        </w:rPr>
      </w:pPr>
      <w:bookmarkStart w:id="4" w:name="PE"/>
      <w:r w:rsidRPr="00105491">
        <w:rPr>
          <w:vanish/>
        </w:rPr>
        <w:t>PE752.889</w:t>
      </w:r>
      <w:bookmarkEnd w:id="4"/>
    </w:p>
    <w:p w:rsidR="00D62B4B" w:rsidRPr="00105491" w:rsidRDefault="00D62B4B" w:rsidP="00D62B4B">
      <w:pPr>
        <w:pStyle w:val="ATHeading3"/>
      </w:pPr>
      <w:bookmarkStart w:id="5" w:name="Sujet"/>
      <w:r w:rsidRPr="00105491">
        <w:t>Rezolucija Europskog parlamenta od</w:t>
      </w:r>
      <w:r w:rsidR="003578FF" w:rsidRPr="00105491">
        <w:t xml:space="preserve"> 17.</w:t>
      </w:r>
      <w:r w:rsidRPr="00105491">
        <w:t xml:space="preserve"> </w:t>
      </w:r>
      <w:r w:rsidR="000F6569" w:rsidRPr="00105491">
        <w:t>siječnja</w:t>
      </w:r>
      <w:r w:rsidRPr="00105491">
        <w:t xml:space="preserve"> 2024. o strategiji EU-a za srednju Aziju</w:t>
      </w:r>
      <w:bookmarkEnd w:id="5"/>
      <w:r w:rsidRPr="00105491">
        <w:t xml:space="preserve"> </w:t>
      </w:r>
      <w:bookmarkStart w:id="6" w:name="References"/>
      <w:r w:rsidRPr="00105491">
        <w:t>(2023/2106(INI))</w:t>
      </w:r>
      <w:bookmarkEnd w:id="6"/>
    </w:p>
    <w:p w:rsidR="00927869" w:rsidRPr="00105491" w:rsidRDefault="00927869" w:rsidP="00927869">
      <w:pPr>
        <w:pStyle w:val="EPComma"/>
      </w:pPr>
      <w:bookmarkStart w:id="7" w:name="TextBodyBegin"/>
      <w:bookmarkEnd w:id="7"/>
      <w:r w:rsidRPr="00105491">
        <w:rPr>
          <w:i/>
        </w:rPr>
        <w:t>Europski parlament</w:t>
      </w:r>
      <w:r w:rsidRPr="00105491">
        <w:t>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zajedničku komunikaciju Komisije i Visokog predstavnika Unije za vanjske poslove i sigurnosnu politiku od 15. svibnja 2019. naslovljenu „EU i srednja Azija: nove mogućnosti za snažnije partnerstvo” (JOIN(2019)0009),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zaključke Vijeća o novoj strategiji za središnju Aziju od 17. lipnja 2019.,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zajedničku komunikaciju Komisije i Visoke predstavnice Unije za vanjske poslove i sigurnosnu politiku od 19. rujna 2018. po naslovom „Povezivanje Europe i Azije – temelji za strategiju EU-a” (JOIN(2018)0031),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 xml:space="preserve">uzimajući u obzir zajedničku komunikaciju Komisije i Visokog predstavnika Unije za vanjske poslove i sigurnosnu politiku od 1. prosinca 2021. naslovljenu „Global </w:t>
      </w:r>
      <w:proofErr w:type="spellStart"/>
      <w:r w:rsidRPr="00105491">
        <w:t>Gateway</w:t>
      </w:r>
      <w:proofErr w:type="spellEnd"/>
      <w:r w:rsidRPr="00105491">
        <w:t>” (JOIN(2021)0030),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 xml:space="preserve">uzimajući u obzir ishode 18. sastanka ministara vanjskih poslova EU-a i srednje Azije održanog 17. studenoga 2022. u </w:t>
      </w:r>
      <w:proofErr w:type="spellStart"/>
      <w:r w:rsidRPr="00105491">
        <w:t>Samarkandu</w:t>
      </w:r>
      <w:proofErr w:type="spellEnd"/>
      <w:r w:rsidRPr="00105491">
        <w:t>, koji je bio usmjeren na pronalaženje rješenja za zajedničke izazove,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 xml:space="preserve">uzimajući u obzir zajedničko priopćenje za medije šefova država srednje Azije i predsjednika Europskog vijeća objavljeno nakon drugog regionalnog sastanka na visokoj razini održanog u </w:t>
      </w:r>
      <w:proofErr w:type="spellStart"/>
      <w:r w:rsidRPr="00105491">
        <w:t>Čolpon-Ati</w:t>
      </w:r>
      <w:proofErr w:type="spellEnd"/>
      <w:r w:rsidRPr="00105491">
        <w:t xml:space="preserve"> 2. lipnja 2023.,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Sporazum o pojačanom partnerstvu i suradnji između Europske unije i njezinih država članica, s jedne strane, i Republike Kazahstana, s druge strane</w:t>
      </w:r>
      <w:r w:rsidRPr="00105491">
        <w:rPr>
          <w:rStyle w:val="FootnoteReference"/>
        </w:rPr>
        <w:footnoteReference w:id="1"/>
      </w:r>
      <w:r w:rsidRPr="00105491">
        <w:t>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 xml:space="preserve">uzimajući u obzir Sporazum o partnerstvu i suradnji o uspostavi partnerstva između Europskih zajednica i njihovih država članica, s jedne strane, i Kirgiske Republike, s </w:t>
      </w:r>
      <w:r w:rsidRPr="00105491">
        <w:lastRenderedPageBreak/>
        <w:t>druge strane</w:t>
      </w:r>
      <w:r w:rsidRPr="00105491">
        <w:rPr>
          <w:rStyle w:val="FootnoteReference"/>
        </w:rPr>
        <w:footnoteReference w:id="2"/>
      </w:r>
      <w:r w:rsidRPr="00105491">
        <w:t>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Komisijin Prijedlog odluke Vijeća od 13. lipnja 2022. o sklapanju, u ime Europske unije, Sporazuma o pojačanom partnerstvu i suradnji između Europske unije, s jedne strane, i Kirgiske Republike, s druge strane (COM(2022)0277),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Sporazum o partnerstvu i suradnji o uspostavi partnerstva između Europskih zajednica i njihovih država članica, s jedne strane, te Republike Tadžikistana s druge strane</w:t>
      </w:r>
      <w:r w:rsidRPr="00105491">
        <w:rPr>
          <w:rStyle w:val="FootnoteReference"/>
        </w:rPr>
        <w:footnoteReference w:id="3"/>
      </w:r>
      <w:r w:rsidRPr="00105491">
        <w:t>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Sporazum o partnerstvu i suradnji kojim se uspostavlja partnerstvo između Europskih zajednica i njihovih država članica, s jedne strane, i Republike Uzbekistana, s druge strane</w:t>
      </w:r>
      <w:r w:rsidRPr="00105491">
        <w:rPr>
          <w:rStyle w:val="FootnoteReference"/>
        </w:rPr>
        <w:footnoteReference w:id="4"/>
      </w:r>
      <w:r w:rsidRPr="00105491">
        <w:t>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 xml:space="preserve">uzimajući u obzir ishode Konferencije EU-a i srednje Azije o </w:t>
      </w:r>
      <w:proofErr w:type="spellStart"/>
      <w:r w:rsidRPr="00105491">
        <w:t>povezivosti</w:t>
      </w:r>
      <w:proofErr w:type="spellEnd"/>
      <w:r w:rsidRPr="00105491">
        <w:t xml:space="preserve"> održane 18. studenoga 2022., drugog gospodarskog foruma EU-a i srednje Azije održanog 18. i 19. svibnja 2023., četvrtog Foruma civilnog društva EU-a i srednje Azije održanog 10. ožujka 2023. i sedme konferencije na visokoj razini EU-a i srednje Azije o okolišu i vodnim resursima održane 23. i 24. veljače 2023.,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studiju koju je financirao EU naslovljenu „Održive prometne veze između Europe i srednje Azije”, koju je provela Europska banka za obnovu i razvoj i koja je objavljena 30. lipnja 2023.,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Memorandum o razumijevanju između EU-a i Kazahstana o strateškom partnerstvu u području sirovina, baterija i vodika iz obnovljivih izvora, potpisan 7. studenoga 2022.,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ishode dijaloga o ljudskim pravima sa srednjoazijskim državama,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Zajednički plan za produbljivanje veza između EU-a i srednje Azije, koji je podržan na 19. ministarskom sastanku EU-a i srednje Azije održanom 23. listopada 2023.,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zajedničku izjavu čelnika država srednje Azije i njemačkog saveznog kancelara nakon njihova sastanka na vrhu održanog 29. rujna 2023. u Berlinu,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svoje prethodne rezolucije o Kazahstanu, Kirgistanu, Tadžikistanu, Turkmenistanu i Uzbekistanu,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Akcijski plan EU-a za rodnu ravnopravnost III za razdoblje 2021. – 2025.,</w:t>
      </w:r>
    </w:p>
    <w:p w:rsidR="00927869" w:rsidRPr="00105491" w:rsidRDefault="00927869" w:rsidP="00927869">
      <w:pPr>
        <w:pStyle w:val="NormalHanging12a"/>
      </w:pPr>
      <w:r w:rsidRPr="00105491">
        <w:rPr>
          <w:b/>
          <w:i/>
        </w:rPr>
        <w:t>–</w:t>
      </w:r>
      <w:r w:rsidRPr="00105491">
        <w:rPr>
          <w:b/>
          <w:i/>
        </w:rPr>
        <w:tab/>
      </w:r>
      <w:r w:rsidRPr="00105491">
        <w:t>uzimajući u obzir svoju Rezoluciju od 23. listopada 2020. o rodnoj ravnopravnosti u vanjskoj i sigurnosnoj politici EU-a</w:t>
      </w:r>
      <w:r w:rsidRPr="00105491">
        <w:rPr>
          <w:vertAlign w:val="superscript"/>
        </w:rPr>
        <w:footnoteReference w:id="5"/>
      </w:r>
      <w:r w:rsidRPr="00105491">
        <w:t>,</w:t>
      </w:r>
    </w:p>
    <w:p w:rsidR="00927869" w:rsidRPr="00105491" w:rsidRDefault="00927869" w:rsidP="00927869">
      <w:pPr>
        <w:pStyle w:val="NormalHanging12a"/>
      </w:pPr>
      <w:r w:rsidRPr="00105491">
        <w:lastRenderedPageBreak/>
        <w:t>–</w:t>
      </w:r>
      <w:r w:rsidRPr="00105491">
        <w:tab/>
        <w:t>uzimajući u obzir članak 54. Poslovnika,</w:t>
      </w:r>
    </w:p>
    <w:p w:rsidR="00927869" w:rsidRPr="00105491" w:rsidRDefault="00927869" w:rsidP="00927869">
      <w:pPr>
        <w:pStyle w:val="NormalHanging12a"/>
      </w:pPr>
      <w:r w:rsidRPr="00105491">
        <w:t>–</w:t>
      </w:r>
      <w:r w:rsidRPr="00105491">
        <w:tab/>
        <w:t>uzimajući u obzir izvješće Odbora za vanjske poslove (A9</w:t>
      </w:r>
      <w:r w:rsidRPr="00105491">
        <w:noBreakHyphen/>
        <w:t>0407/2023),</w:t>
      </w:r>
    </w:p>
    <w:p w:rsidR="00927869" w:rsidRPr="00105491" w:rsidRDefault="00927869" w:rsidP="00927869">
      <w:pPr>
        <w:pStyle w:val="NormalHanging12a"/>
      </w:pPr>
      <w:r w:rsidRPr="00105491">
        <w:t>A.</w:t>
      </w:r>
      <w:r w:rsidRPr="00105491">
        <w:tab/>
        <w:t xml:space="preserve">budući da su od donošenja strategije EU-a o srednjoj Aziji 2019. na regiju utjecali znatni vanjski čimbenici, kao što su nezakonita ruska ratna agresija na Ukrajinu, talibansko preuzimanje vlasti u Afganistanu i sve odlučnija vanjska politika Kine, kao i unutarnja nestabilnost, posebno nasilni nemiri u Kazahstanu u siječnju 2022., nasilna represija nakon prosvjeda </w:t>
      </w:r>
      <w:proofErr w:type="spellStart"/>
      <w:r w:rsidRPr="00105491">
        <w:t>pamirskih</w:t>
      </w:r>
      <w:proofErr w:type="spellEnd"/>
      <w:r w:rsidRPr="00105491">
        <w:t xml:space="preserve"> naroda u autonomnoj oblasti Gorski </w:t>
      </w:r>
      <w:proofErr w:type="spellStart"/>
      <w:r w:rsidRPr="00105491">
        <w:t>Badahšan</w:t>
      </w:r>
      <w:proofErr w:type="spellEnd"/>
      <w:r w:rsidRPr="00105491">
        <w:t xml:space="preserve"> u Tadžikistanu u studenome 2021. i svibnju 2022. te u Republici </w:t>
      </w:r>
      <w:proofErr w:type="spellStart"/>
      <w:r w:rsidRPr="00105491">
        <w:t>Karakalpakstanu</w:t>
      </w:r>
      <w:proofErr w:type="spellEnd"/>
      <w:r w:rsidRPr="00105491">
        <w:t xml:space="preserve"> u Uzbekistanu u srpnju 2022. i opetovani sukobi na granici između Kirgistana i Tadžikistana;</w:t>
      </w:r>
    </w:p>
    <w:p w:rsidR="00927869" w:rsidRPr="00105491" w:rsidRDefault="00927869" w:rsidP="00927869">
      <w:pPr>
        <w:pStyle w:val="NormalHanging12a"/>
      </w:pPr>
      <w:r w:rsidRPr="00105491">
        <w:t>B.</w:t>
      </w:r>
      <w:r w:rsidRPr="00105491">
        <w:tab/>
        <w:t xml:space="preserve">budući da je srednja Azija regija od strateškog interesa za EU u pogledu sigurnosti i </w:t>
      </w:r>
      <w:proofErr w:type="spellStart"/>
      <w:r w:rsidRPr="00105491">
        <w:t>povezivosti</w:t>
      </w:r>
      <w:proofErr w:type="spellEnd"/>
      <w:r w:rsidRPr="00105491">
        <w:t>, kao i energetske diversifikacije i diversifikacije resursa, rješavanja sukoba i obrane multilateralnog međunarodnog poretka utemeljenog na pravilima, koji se dovode u pitanje ruskim napadom na naše vrijednosti, pogoršanjem globalne krize opskrbe hranom, agresijom i zlodjelima, širenjem dezinformacija, korupcijom koja se koristi kao oružje i uplitanjem u izbore;</w:t>
      </w:r>
    </w:p>
    <w:p w:rsidR="00927869" w:rsidRPr="00105491" w:rsidRDefault="00927869" w:rsidP="00927869">
      <w:pPr>
        <w:pStyle w:val="NormalHanging12a"/>
      </w:pPr>
      <w:r w:rsidRPr="00105491">
        <w:t>C.</w:t>
      </w:r>
      <w:r w:rsidRPr="00105491">
        <w:tab/>
        <w:t>budući da nijedna od srednjoazijskih država ne podržava rusku invaziju na Ukrajinu i ne priznaje ukrajinske regije koje je Rusija pripojila kao dijelove Ruske Federacije;</w:t>
      </w:r>
    </w:p>
    <w:p w:rsidR="00927869" w:rsidRPr="00105491" w:rsidRDefault="00927869" w:rsidP="00927869">
      <w:pPr>
        <w:pStyle w:val="NormalHanging12a"/>
      </w:pPr>
      <w:r w:rsidRPr="00105491">
        <w:t>D.</w:t>
      </w:r>
      <w:r w:rsidRPr="00105491">
        <w:tab/>
        <w:t>budući da je 28. ožujka 2023. posebni izaslanik EU-a za sankcije pozvao zemlje u regiji da izbjegnu pružanje pomoći Moskvi u pokušajima izbjegavanja sankcija nametnutih Rusiji zbog njezine ratne agresije na Ukrajinu;</w:t>
      </w:r>
    </w:p>
    <w:p w:rsidR="00927869" w:rsidRPr="00105491" w:rsidRDefault="00927869" w:rsidP="00927869">
      <w:pPr>
        <w:pStyle w:val="NormalHanging12a"/>
      </w:pPr>
      <w:r w:rsidRPr="00105491">
        <w:t>E.</w:t>
      </w:r>
      <w:r w:rsidRPr="00105491">
        <w:tab/>
        <w:t>budući da ruski dužnosnici i propagandisti i dalje koriste agresivnu retoriku protiv nekih srednjoazijskih država, posebno protiv Kazahstana, čime dovode u pitanje njegovu teritorijalnu cjelovitost i nacionalni identitet;</w:t>
      </w:r>
    </w:p>
    <w:p w:rsidR="00927869" w:rsidRPr="00105491" w:rsidRDefault="00927869" w:rsidP="00927869">
      <w:pPr>
        <w:pStyle w:val="NormalHanging12a"/>
      </w:pPr>
      <w:r w:rsidRPr="00105491">
        <w:t>F.</w:t>
      </w:r>
      <w:r w:rsidRPr="00105491">
        <w:tab/>
        <w:t>budući da okolnosti kao što su izolacija Rusije zbog njezine ratne agresije na Ukrajinu, jačanje trgovinskih putova kroz srednju Aziju koji zaobilaze Rusiju, planirano proširenje EU-a u istočnoj Europi i sve veći utjecaj Kine u regiji zahtijevaju potpuno preispitivanje strategije EU-a za srednju Aziju i aktivniju prisutnost demokratskog EU-a u regiji kao alternative etabliranim autokratskim akterima;</w:t>
      </w:r>
    </w:p>
    <w:p w:rsidR="00927869" w:rsidRPr="00105491" w:rsidRDefault="00927869" w:rsidP="00927869">
      <w:pPr>
        <w:pStyle w:val="NormalHanging12a"/>
      </w:pPr>
      <w:r w:rsidRPr="00105491">
        <w:t>G.</w:t>
      </w:r>
      <w:r w:rsidRPr="00105491">
        <w:tab/>
        <w:t xml:space="preserve">budući da je potrebno osigurati povezanost između Europe i Azije na način da se izbjegne prelaženje preko ruskog teritorija; budući da EU ima velik interes za uvođenje učinkovitih trgovinskih i energetskih koridora između Europe i Azije, što je vidljivo iz konferencije o povezanosti između Europske unije i srednje Azije koja je održana u </w:t>
      </w:r>
      <w:proofErr w:type="spellStart"/>
      <w:r w:rsidRPr="00105491">
        <w:t>Samarkandu</w:t>
      </w:r>
      <w:proofErr w:type="spellEnd"/>
      <w:r w:rsidRPr="00105491">
        <w:t xml:space="preserve"> 18. studenoga 2022.;</w:t>
      </w:r>
    </w:p>
    <w:p w:rsidR="00927869" w:rsidRPr="00105491" w:rsidRDefault="00927869" w:rsidP="00927869">
      <w:pPr>
        <w:pStyle w:val="NormalHanging12a"/>
      </w:pPr>
      <w:r w:rsidRPr="00105491">
        <w:t>H.</w:t>
      </w:r>
      <w:r w:rsidRPr="00105491">
        <w:tab/>
        <w:t xml:space="preserve">budući da je svih pet srednjoazijskih država ratificiralo Pariški sporazum; budući da su one posebno osjetljive na posljedice klimatskih promjena; budući da su loše upravljanje vodom i onečišćenje velikih rijeka za navodnjavanje polja pamuka doveli do neučinkovitog korištenja i iskorištavanja vodnih resursa u regiji; budući da se ledenjaci u srednjoj Aziji i dalje brzo smanjuju, pogoršavajući jednu od najtežih kriza opskrbe vodom na Zemlji i izlažući ranjivo stanovništvo tog područja katastrofalnim zdravstvenim, ekološkim i socijalnim problemima; budući da su česti sukobi zbog vode i politička nestabilnost ograničili mogućnost jedinstvenog planiranja i učinkovitog </w:t>
      </w:r>
      <w:r w:rsidRPr="00105491">
        <w:lastRenderedPageBreak/>
        <w:t xml:space="preserve">usmjeravanja prekograničnih rijeka; budući da geopolitičke promjene u široj regiji predstavljaju priliku za smisleniju regionalnu suradnju; budući da se takva regionalna suradnja pokazala učinkovitom u kontekstu diplomacije u području voda i rješavanja graničnih sporova te će biti još važnija za rješavanje sve većih prekograničnih prijetnji koje predstavljaju klimatske promjene; </w:t>
      </w:r>
    </w:p>
    <w:p w:rsidR="00927869" w:rsidRPr="00105491" w:rsidRDefault="00927869" w:rsidP="00927869">
      <w:pPr>
        <w:pStyle w:val="NormalHanging12a"/>
      </w:pPr>
      <w:r w:rsidRPr="00105491">
        <w:t>I.</w:t>
      </w:r>
      <w:r w:rsidRPr="00105491">
        <w:tab/>
        <w:t xml:space="preserve">budući da su sporazumi o pojačanom partnerstvu i suradnji sporazumi nove generacije koji su temelj suradnje EU-a sa srednjom Azijom; budući da je Kazahstan prva srednjoazijska država koja je 2015. potpisala Sporazum o pojačanom partnerstvu i suradnji, koji je stupio na snagu 1. ožujka 2020., nakon što su ga ratificirale sve države članice, i koji bi trebalo periodično preispitivati; budući da su pregovori o Sporazumu o pojačanom partnerstvu i suradnji između EU-a i Kirgistana zaključeni 6. srpnja 2019., ali sporazum još nije potpisan zbog pravnog spora između Vijeća i Komisije; budući da su pregovori o Sporazumu o pojačanom partnerstvu i suradnji između EU-a i Uzbekistana zaključeni 6. srpnja 2022.; budući da su početkom 2023. EU i Tadžikistan započeli pregovore o Sporazumu o pojačanom partnerstvu i suradnji; budući da je 1998. potpisan Sporazum o partnerstvu i suradnji s Turkmenistanom, ali Parlament nije dao suglasnost za ratifikaciju sporazuma zbog svoje duboke zabrinutosti zbog kratkoročnih mjerila za napredak Turkmenistana u području ljudskih prava i temeljnih sloboda; </w:t>
      </w:r>
    </w:p>
    <w:p w:rsidR="00927869" w:rsidRPr="00105491" w:rsidRDefault="00927869" w:rsidP="00927869">
      <w:pPr>
        <w:pStyle w:val="NormalHanging12a"/>
        <w:rPr>
          <w:bCs/>
        </w:rPr>
      </w:pPr>
      <w:r w:rsidRPr="00105491">
        <w:t>J.</w:t>
      </w:r>
      <w:r w:rsidRPr="00105491">
        <w:tab/>
        <w:t xml:space="preserve">budući da je prvi sastanak čelnika EU-a i srednje Azije održan u Astani 27. listopada 2022., nakon čega je 2. lipnja 2023. u </w:t>
      </w:r>
      <w:proofErr w:type="spellStart"/>
      <w:r w:rsidRPr="00105491">
        <w:t>Čolpon-Ati</w:t>
      </w:r>
      <w:proofErr w:type="spellEnd"/>
      <w:r w:rsidRPr="00105491">
        <w:t xml:space="preserve"> uslijedio drugi takav sastanak; budući da je sastanak na vrhu čelnika planiran za 2024.; budući da ti sastanci predstavljaju daljnju institucionalizaciju odnosa između EU-a i srednje Azije i dopunjuju rad postojećih regionalnih dijaloga i platformi;</w:t>
      </w:r>
    </w:p>
    <w:p w:rsidR="00927869" w:rsidRPr="00105491" w:rsidRDefault="00927869" w:rsidP="00927869">
      <w:pPr>
        <w:pStyle w:val="NormalHanging12a"/>
      </w:pPr>
      <w:r w:rsidRPr="00105491">
        <w:t>K.</w:t>
      </w:r>
      <w:r w:rsidRPr="00105491">
        <w:tab/>
        <w:t>budući da je prvi sastanak na vrhu C5+1 između čelnika srednje Azije i predsjednika Sjedinjenih Američkih Država održan u New Yorku 19. rujna 2023.; budući da je sastanak na vrhu C5+Njemačka održan u Berlinu 29. rujna 2023.;</w:t>
      </w:r>
    </w:p>
    <w:p w:rsidR="00927869" w:rsidRPr="00105491" w:rsidRDefault="00927869" w:rsidP="00927869">
      <w:pPr>
        <w:pStyle w:val="NormalHanging12a"/>
        <w:rPr>
          <w:bCs/>
        </w:rPr>
      </w:pPr>
      <w:r w:rsidRPr="00105491">
        <w:t>L.</w:t>
      </w:r>
      <w:r w:rsidRPr="00105491">
        <w:tab/>
        <w:t xml:space="preserve">budući da svih pet srednjoazijskih država ima slabe rezultate u pogledu demokracije koji se dodatno pogoršavaju te su klasificirane kao autoritarni režimi i da se prema izvješću organizacije </w:t>
      </w:r>
      <w:proofErr w:type="spellStart"/>
      <w:r w:rsidRPr="00105491">
        <w:t>Freedom</w:t>
      </w:r>
      <w:proofErr w:type="spellEnd"/>
      <w:r w:rsidRPr="00105491">
        <w:t xml:space="preserve"> </w:t>
      </w:r>
      <w:proofErr w:type="spellStart"/>
      <w:r w:rsidRPr="00105491">
        <w:t>House</w:t>
      </w:r>
      <w:proofErr w:type="spellEnd"/>
      <w:r w:rsidRPr="00105491">
        <w:t xml:space="preserve"> o slobodi u svijetu za 2023. smatraju „neslobodnima”; budući da je prema Svjetskom indeksu slobode medija za 2023. zabilježeno znatno pogoršanje stanja slobode medija u srednjoj Aziji i da je prosječni rezultat za srednju Aziju prema indeksu percepcije korupcije za 2022. bio znatno ispod globalnog prosjeka; budući da Reporteri bez granica prijavili brojne slučajeve u kojima srednjoazijske vlasti vrše pritisak na svoje medije kako bi na „neutralan” način pratile rusku invaziju na Ukrajinu ili je potpuno ignorirale; </w:t>
      </w:r>
    </w:p>
    <w:p w:rsidR="00927869" w:rsidRPr="00105491" w:rsidRDefault="00927869" w:rsidP="00927869">
      <w:pPr>
        <w:pStyle w:val="NormalHanging12a"/>
        <w:rPr>
          <w:b/>
          <w:i/>
        </w:rPr>
      </w:pPr>
      <w:r w:rsidRPr="00105491">
        <w:t>M.</w:t>
      </w:r>
      <w:r w:rsidRPr="00105491">
        <w:tab/>
        <w:t>budući da je Odbor Parlamenta za vanjske poslove posjetio Tadžikistan i Uzbekistan od 21. do 25. veljače 2022. te Kazahstan i Kirgistan od 21. do 25. kolovoza 2023.; budući da njegovo Izaslanstvo u odborima za parlamentarnu suradnju između EU-a i Kazahstana, EU-a i Kirgistana, EU-a i Uzbekistana i EU-a i Tadžikistana te za odnose s Turkmenistanom i Mongolijom održava redovite međuparlamentarne odnose sa zemljama srednje Azije;</w:t>
      </w:r>
    </w:p>
    <w:p w:rsidR="00927869" w:rsidRPr="00105491" w:rsidRDefault="00927869" w:rsidP="00927869">
      <w:pPr>
        <w:pStyle w:val="NormalHanging12a"/>
        <w:rPr>
          <w:b/>
          <w:i/>
        </w:rPr>
      </w:pPr>
      <w:r w:rsidRPr="00105491">
        <w:t>N.</w:t>
      </w:r>
      <w:r w:rsidRPr="00105491">
        <w:tab/>
        <w:t>budući da u srednjoj Aziji postoje dobro utemeljeni strahovi od radikalizacije, sve većeg ekstremizma i terorističke prijetnje, pri čemu se vrlo velik broj bivših boraca ISIS-a vraća u regiju, a u Afganistanu vlada teško sigurnosno stanje;</w:t>
      </w:r>
    </w:p>
    <w:p w:rsidR="00927869" w:rsidRPr="00105491" w:rsidRDefault="00927869" w:rsidP="00927869">
      <w:pPr>
        <w:pStyle w:val="NormalHanging12a"/>
        <w:rPr>
          <w:b/>
          <w:i/>
        </w:rPr>
      </w:pPr>
      <w:r w:rsidRPr="00105491">
        <w:lastRenderedPageBreak/>
        <w:t>O.</w:t>
      </w:r>
      <w:r w:rsidRPr="00105491">
        <w:tab/>
        <w:t>budući da su žene i djevojčice u srednjoj Aziji i dalje vrlo podložne zlostavljanju, posebno s obzirom na to da postoji visoka razina prihvaćanja nasilja nad ženama i niska razina osviještenosti o rodnim stereotipima;</w:t>
      </w:r>
    </w:p>
    <w:p w:rsidR="00927869" w:rsidRPr="00105491" w:rsidRDefault="00927869" w:rsidP="00927869">
      <w:pPr>
        <w:pStyle w:val="NormalHanging12a"/>
      </w:pPr>
      <w:r w:rsidRPr="00105491">
        <w:t>P.</w:t>
      </w:r>
      <w:r w:rsidRPr="00105491">
        <w:tab/>
        <w:t>budući da su dječji brakovi i dalje uobičajeni u srednjoj Aziji, posebno u Kirgistanu i Tadžikistanu, gdje svaka osma djevojčica završi u braku prije nego što napuni 18 godina;</w:t>
      </w:r>
    </w:p>
    <w:p w:rsidR="00927869" w:rsidRPr="00105491" w:rsidRDefault="00927869" w:rsidP="00927869">
      <w:pPr>
        <w:pStyle w:val="NormalHanging12a"/>
        <w:rPr>
          <w:bCs/>
        </w:rPr>
      </w:pPr>
      <w:r w:rsidRPr="00105491">
        <w:rPr>
          <w:rStyle w:val="BoldItalic"/>
        </w:rPr>
        <w:t>Suradnja EU-a sa srednjom Azijom</w:t>
      </w:r>
    </w:p>
    <w:p w:rsidR="00927869" w:rsidRPr="00105491" w:rsidRDefault="00927869" w:rsidP="00927869">
      <w:pPr>
        <w:pStyle w:val="NormalHanging12a"/>
      </w:pPr>
      <w:r w:rsidRPr="00105491">
        <w:t>1.</w:t>
      </w:r>
      <w:r w:rsidRPr="00105491">
        <w:tab/>
        <w:t>naglašava da se EU i srednja Azija suočavaju s dubokim globalnim i regionalnim geopolitičkim promjenama i izazovima, što je znatan poticaj za rad na dugoročnoj, strukturiranoj i uzajamno korisnoj suradnji u pitanjima od zajedničkog interesa; snažno potiče EU da pojača svoju suradnju sa srednjom Azijom, s obzirom na geostratešku važnost te regije, te da promiče strateško partnerstvo s tim zemljama širenjem suradnje na političkoj i gospodarskoj razini; pozdravlja povećani kontakt na visokoj razini između EU-a i srednje Azije, posebno sastanke između šefova država srednje Azije i predsjednika Europskog vijeća te rad posebnog predstavnika EU-a za srednju Aziju; poziva na daljnje postupanje nakon svih tih sastanaka i izjava na visokoj razini uz poduzimanje konkretnih mjera; u tom kontekstu pozdravlja činjenicu da je prvi sastanak na vrhu EU-a i srednje Azije planiran za 2024. te da je podržan Zajednički plan za produbljivanje veza između EU-a i srednje Azije, koji služi kao strateški plan za unapređenje dijaloga i suradnje u određenim područjima, uključujući izgradnju kulturne, socijalne i gospodarske otpornosti; potiče EU da nastavi promicati političke i gospodarske reforme kojima se jačaju vladavina prava, demokracija, dobro upravljanje i poštovanje ljudskih prava; napominje da je Parlament spreman promicati parlamentarnu suradnju sa srednjom Azijom;</w:t>
      </w:r>
    </w:p>
    <w:p w:rsidR="00927869" w:rsidRPr="00105491" w:rsidRDefault="00927869" w:rsidP="00927869">
      <w:pPr>
        <w:pStyle w:val="NormalHanging12a"/>
      </w:pPr>
      <w:r w:rsidRPr="00105491">
        <w:t>2.</w:t>
      </w:r>
      <w:r w:rsidRPr="00105491">
        <w:tab/>
        <w:t xml:space="preserve">napominje da su ruska ratna agresija na Ukrajinu i njezin povećani nacionalistički </w:t>
      </w:r>
      <w:proofErr w:type="spellStart"/>
      <w:r w:rsidRPr="00105491">
        <w:t>narativ</w:t>
      </w:r>
      <w:proofErr w:type="spellEnd"/>
      <w:r w:rsidRPr="00105491">
        <w:t xml:space="preserve"> oslabili položaj Rusije u regiji i potaknuli srednju Aziju da nastavi suradnju s drugim akterima te da su ti akteri pojačali suradnju sa srednjom Azijom; također prima na znanje kineski angažman u regiji; naglašava da EU sada ima priliku proširiti svoje veze sa srednjom Azijom i imati istaknutiju ulogu u regiji; naglašava da bi EU trebao iskoristiti tu priliku kako bi potaknuo uzajamno korisnu suradnju i srednjoj Aziji ponudio partnerstvo koje može postati poseban dio šire strategije prema istočnim susjedima EU-a; smatra da bi jačanje te suradnje također doprinijelo suzbijanju utjecaja Rusije u regiji; </w:t>
      </w:r>
    </w:p>
    <w:p w:rsidR="00927869" w:rsidRPr="00105491" w:rsidRDefault="00927869" w:rsidP="00927869">
      <w:pPr>
        <w:pStyle w:val="NormalHanging12a"/>
      </w:pPr>
      <w:r w:rsidRPr="00105491">
        <w:t>3.</w:t>
      </w:r>
      <w:r w:rsidRPr="00105491">
        <w:tab/>
        <w:t>naglašava važnost transatlantske suradnje u pogledu srednje Azije i poziva EU da preuzme inicijativu u izradi zajedničke strategije za srednju Aziju sa Sjedinjenim Američkim Državama, koja bi trebala uključivati suradnju u područjima promicanja demokracije, ulaganja i trgovine, gospodarstva i regionalne sigurnosti;</w:t>
      </w:r>
    </w:p>
    <w:p w:rsidR="00927869" w:rsidRPr="00105491" w:rsidRDefault="00927869" w:rsidP="00927869">
      <w:pPr>
        <w:pStyle w:val="NormalHanging12a"/>
      </w:pPr>
      <w:r w:rsidRPr="00105491">
        <w:t>4.</w:t>
      </w:r>
      <w:r w:rsidRPr="00105491">
        <w:tab/>
        <w:t>ponovno ističe predanost EU-a suradnji sa zemljama srednje Azije na postizanju mira, sigurnosne stabilnosti, blagostanja i održivog razvoja uz puno poštovanje međunarodnog prava, kao i načela poštovanja neovisnosti, suvereniteta i teritorijalne cjelovitosti svih zemalja, nekorištenja sile ili prijetnje njezinom uporabom te mirnog rješavanja međunarodnih sporova;</w:t>
      </w:r>
    </w:p>
    <w:p w:rsidR="00927869" w:rsidRPr="00105491" w:rsidRDefault="00927869" w:rsidP="00927869">
      <w:pPr>
        <w:pStyle w:val="NormalHanging12a"/>
      </w:pPr>
      <w:r w:rsidRPr="00105491">
        <w:t>5.</w:t>
      </w:r>
      <w:r w:rsidRPr="00105491">
        <w:tab/>
        <w:t xml:space="preserve">odbacuje sve pokušaje da se olakša ili na bilo koji način pomogne međunarodnom priznavanju secesionističkog entiteta na okupiranom Cipru, uključujući u vezi s </w:t>
      </w:r>
      <w:r w:rsidRPr="00105491">
        <w:lastRenderedPageBreak/>
        <w:t xml:space="preserve">njegovim navodnim dobivanjem statusa promatrača u Organizaciji </w:t>
      </w:r>
      <w:proofErr w:type="spellStart"/>
      <w:r w:rsidRPr="00105491">
        <w:t>turkijskih</w:t>
      </w:r>
      <w:proofErr w:type="spellEnd"/>
      <w:r w:rsidRPr="00105491">
        <w:t xml:space="preserve"> država; potiče dotične srednjoazijske države da istinski poštuju načela suverenosti i teritorijalne cjelovitosti svih država i da ne ratificiraju izmijenjeni Statut Organizacije </w:t>
      </w:r>
      <w:proofErr w:type="spellStart"/>
      <w:r w:rsidRPr="00105491">
        <w:t>turkijskih</w:t>
      </w:r>
      <w:proofErr w:type="spellEnd"/>
      <w:r w:rsidRPr="00105491">
        <w:t xml:space="preserve"> država kojim bi se provela odluka o dodjeli statusa promatrača;</w:t>
      </w:r>
    </w:p>
    <w:p w:rsidR="00927869" w:rsidRPr="00105491" w:rsidRDefault="00927869" w:rsidP="00927869">
      <w:pPr>
        <w:pStyle w:val="NormalHanging12a"/>
      </w:pPr>
      <w:r w:rsidRPr="00105491">
        <w:t>6.</w:t>
      </w:r>
      <w:r w:rsidRPr="00105491">
        <w:tab/>
        <w:t xml:space="preserve">uviđa da ruska ratna agresija na Ukrajinu i njezine posljedice predstavljaju izazove i prilike za srednjoazijske države, koje tradicionalno održavaju bliske odnose s Rusijom; ističe da je jačanje gospodarskih odnosa i političkih veza sa zemljama srednje Azije u interesu EU-a, među ostalim i kako bi se izbjegavanje sankcija protiv Rusije i </w:t>
      </w:r>
      <w:proofErr w:type="spellStart"/>
      <w:r w:rsidRPr="00105491">
        <w:t>Bjelarusa</w:t>
      </w:r>
      <w:proofErr w:type="spellEnd"/>
      <w:r w:rsidRPr="00105491">
        <w:t xml:space="preserve"> svelo na najmanju moguću mjeru; naglašava važnost kontinuirane bliske razmjene informacija o sankcijama i poziva vlasti srednjoazijskih država, posebno Kazahstana, Kirgistana i Uzbekistana, da blisko surađuju s EU-om, posebno s njegovim izaslanikom za sankcije, kako bi pojačale svoje napore u sprečavanju izbjegavanja sankcija; osuđuje postupak kojim Rusija novači srednjoazijske migrante i građane kako bi se borili u Ukrajini i podupire mjere usmjerene na njegovo zaustavljanje; prima na znanje pojedinačne napore srednjoazijskih država kako bi se osiguralo da se njihova državna područja ne koriste za zaobilaženje sankcija EU-a i pozdravlja administrativne mjere Kazahstana i njegovu visoku političku predanost u tom pogledu; poziva EU da primijeni diferencirani pristup u svojoj strategiji za srednju Aziju kojim će se procijeniti razina suradnje s EU-om u pogledu politike sankcija protiv Rusije; prima na znanje ulogu koju same države članice imaju u osiguravanju da se izvoz robe koja će vjerojatno i dalje dospjeti u Rusiju preko središnje Azije podvrgne odgovarajućim preventivnim kontrolama;</w:t>
      </w:r>
    </w:p>
    <w:p w:rsidR="00927869" w:rsidRPr="00105491" w:rsidRDefault="00927869" w:rsidP="00927869">
      <w:pPr>
        <w:pStyle w:val="NormalHanging12a"/>
      </w:pPr>
      <w:r w:rsidRPr="00105491">
        <w:t>7.</w:t>
      </w:r>
      <w:r w:rsidRPr="00105491">
        <w:tab/>
        <w:t xml:space="preserve">smatra da je potrebno revidirati strategiju EU-a za srednju Aziju kako bi se ažurirala s obzirom na geopolitičke događaje posljednjih godina; ponovno ističe ključnu ulogu pojačanih sporazuma o partnerstvu i suradnji kao okvira za suradnju sa srednjoazijskim državama; sa zabrinutošću napominje da Sporazum o pojačanom partnerstvu i suradnji s Kirgistanom, o kojem su pregovori zaključeni 2019., i dalje nije potpisan; poziva Vijeće i Komisiju da brzo napreduju u tekućim pregovorima o Sporazumu o pojačanom partnerstvu i suradnji s Tadžikistanom, da riješe otvorena pitanja i bez daljnje odgode potpišu sporazume o pojačanom partnerstvu i suradnji s Kirgistanom i Uzbekistanom kako bi Parlament mogao izvršavati svoje ovlasti u pogledu ratifikacije tih sporazuma; naglašava da nepotpisivanje takvih sporazuma nakon zaključenja pregovora dovodi u pitanje vjerodostojnost EU-a kao globalnog aktera; </w:t>
      </w:r>
    </w:p>
    <w:p w:rsidR="00927869" w:rsidRPr="00105491" w:rsidRDefault="00927869" w:rsidP="00927869">
      <w:pPr>
        <w:pStyle w:val="NormalHanging12a"/>
      </w:pPr>
      <w:r w:rsidRPr="00105491">
        <w:t>8.</w:t>
      </w:r>
      <w:r w:rsidRPr="00105491">
        <w:tab/>
        <w:t xml:space="preserve">napominje da se u sporazumima o pojačanom partnerstvu i suradnji sa državama srednje Azije, o kojima se dosad pregovaralo, stavlja snažan naglasak na poštovanje demokratskih načela, ljudskih prava i vladavine prava; naglašava važnost uključivanja ljudskih prava, demokratskih vrijednosti, rodne ravnopravnosti, slobodnih medija i zelene tranzicije u interakciju sa srednjoazijskim vladama; </w:t>
      </w:r>
    </w:p>
    <w:p w:rsidR="00927869" w:rsidRPr="00105491" w:rsidRDefault="00927869" w:rsidP="00927869">
      <w:pPr>
        <w:pStyle w:val="Normal12a24b"/>
      </w:pPr>
      <w:r w:rsidRPr="00105491">
        <w:rPr>
          <w:rStyle w:val="BoldItalic"/>
        </w:rPr>
        <w:t>Regionalna suradnja</w:t>
      </w:r>
    </w:p>
    <w:p w:rsidR="00927869" w:rsidRPr="00105491" w:rsidRDefault="00927869" w:rsidP="00927869">
      <w:pPr>
        <w:pStyle w:val="NormalHanging12a"/>
      </w:pPr>
      <w:r w:rsidRPr="00105491">
        <w:t>9.</w:t>
      </w:r>
      <w:r w:rsidRPr="00105491">
        <w:tab/>
        <w:t xml:space="preserve">ističe velik potencijal uzajamno korisne suradnje u području održivog razvoja, </w:t>
      </w:r>
      <w:proofErr w:type="spellStart"/>
      <w:r w:rsidRPr="00105491">
        <w:t>povezivosti</w:t>
      </w:r>
      <w:proofErr w:type="spellEnd"/>
      <w:r w:rsidRPr="00105491">
        <w:t xml:space="preserve">, energije, kritičnih sirovina i sigurnosti, pri čemu je središnja Azija ključna regija za povezanost istoka i zapada; u tom kontekstu podsjeća na znatne geopolitičke posljedice ruske ratne agresije na Ukrajinu, koje su oživjele srednji koridor ne samo kao regionalnu gospodarsku zonu, već i kao alternativnu i održivu rutu između Azije i Europe kojom se izbjegava prelazak ruskog teritorija; podsjeća da novi euroazijski </w:t>
      </w:r>
      <w:r w:rsidRPr="00105491">
        <w:lastRenderedPageBreak/>
        <w:t xml:space="preserve">kopneni most prolazi sankcioniranim ruskim i bjeloruskim teritorijem; naglašava važnost promicanja regionalne integracije duž Srednjeg koridora i napominje da je potrebno ukloniti uska grla utvrđena u studiji koju je provela Europska banka za obnovu i razvoj, kako bi se privukla prijeko potrebna financijska sredstva za infrastrukturne projekte u okviru strategije Global </w:t>
      </w:r>
      <w:proofErr w:type="spellStart"/>
      <w:r w:rsidRPr="00105491">
        <w:t>Gateway</w:t>
      </w:r>
      <w:proofErr w:type="spellEnd"/>
      <w:r w:rsidRPr="00105491">
        <w:t>; poziva Komisiju da istraži mogućnost potpore Europske investicijske banke ulaganjima u razvoj infrastrukture u srednjoazijskim državama, posebno u Srednjem koridoru;</w:t>
      </w:r>
    </w:p>
    <w:p w:rsidR="00927869" w:rsidRPr="00105491" w:rsidRDefault="00927869" w:rsidP="00927869">
      <w:pPr>
        <w:pStyle w:val="NormalHanging12a"/>
      </w:pPr>
      <w:r w:rsidRPr="00105491">
        <w:t>10.</w:t>
      </w:r>
      <w:r w:rsidRPr="00105491">
        <w:tab/>
        <w:t xml:space="preserve">smatra da bi se politika EU-a prema srednjoj Aziji u području energetike, </w:t>
      </w:r>
      <w:proofErr w:type="spellStart"/>
      <w:r w:rsidRPr="00105491">
        <w:t>povezivosti</w:t>
      </w:r>
      <w:proofErr w:type="spellEnd"/>
      <w:r w:rsidRPr="00105491">
        <w:t xml:space="preserve"> i diversifikacije resursa trebala temeljiti na europskom zelenom planu i na uzajamno korisnim strateškim partnerstvima kojima se uzimaju u obzir posebnosti svake srednjoazijske države, osiguravajući im pristup modernim tehnologijama i kvalitetnim radnim mjestima, uz istodobno jamčenje sigurnog i konkurentnog pristupa sirovinama i energiji za EU; u tom je pogledu zabrinut zbog stvaranja ovisnosti o Rusiji zbog potpisivanja sporazuma o prirodnom plinu između Gazproma i Uzbekistana preko Kazahstana; </w:t>
      </w:r>
    </w:p>
    <w:p w:rsidR="00927869" w:rsidRPr="00105491" w:rsidRDefault="00927869" w:rsidP="00927869">
      <w:pPr>
        <w:pStyle w:val="NormalHanging12a"/>
      </w:pPr>
      <w:r w:rsidRPr="00105491">
        <w:t>11.</w:t>
      </w:r>
      <w:r w:rsidRPr="00105491">
        <w:tab/>
        <w:t xml:space="preserve">prepoznaje ključnu ulogu EU-a u financiranju sektorskih reformi u srednjoj Aziji, poboljšanju njezine energetske učinkovitosti i smanjenju emisija stakleničkih plinova; pozdravlja pokretanje projekta održive energetske povezanosti u srednjoj Aziji (SECCA) 2022. i sa zanimanjem iščekuje njegov pozitivan učinak na jačanje nacionalnih politika prelaska na održiv energetski sustav i povećanje ulaganja, kapaciteta i osviještenosti o obnovljivoj energiji i energetskoj učinkovitosti u regiji; </w:t>
      </w:r>
    </w:p>
    <w:p w:rsidR="00927869" w:rsidRPr="00105491" w:rsidRDefault="00927869" w:rsidP="00927869">
      <w:pPr>
        <w:pStyle w:val="NormalHanging12a"/>
      </w:pPr>
      <w:r w:rsidRPr="00105491">
        <w:t>12.</w:t>
      </w:r>
      <w:r w:rsidRPr="00105491">
        <w:tab/>
        <w:t xml:space="preserve">naglašava važnost pozitivne ulagačke klime za gospodarski razvoj srednje Azije te trgovinu i suradnju između EU-a i srednje Azije; ističe da pozitivna ulagačka klima koja dovodi do stvaranja kvalitetnih radnih mjesta s odgovarajućim plaćama i pristojnim radnim uvjetima ovisi o stabilnim demokratskim institucijama, poštovanju ljudskih prava i vladavine prava, kao i o sposobnostima poduzeća i civilnog društva da poštuju obvezu dužne pažnje; </w:t>
      </w:r>
    </w:p>
    <w:p w:rsidR="00927869" w:rsidRPr="00105491" w:rsidRDefault="00927869" w:rsidP="00927869">
      <w:pPr>
        <w:pStyle w:val="NormalHanging12a"/>
      </w:pPr>
      <w:r w:rsidRPr="00105491">
        <w:t>13.</w:t>
      </w:r>
      <w:r w:rsidRPr="00105491">
        <w:tab/>
        <w:t xml:space="preserve">prima na znanje dugogodišnji pristup održavanja bliskih odnosa srednjoazijskih država s Afganistanom, uz iznimku Tadžikistana, i razvoj njihove pragmatične suradnje s talibanima, koje ipak od preuzimanja vlasti 2021. još nisu priznali; ističe da zemlje u regiji, posebno Pakistan i Kina, ali i srednjoazijske države imaju ključnu ulogu u osiguravanju stabilnosti u Afganistanu kroz pružanje humanitarne pomoći, električne energije, trgovinskih mogućnosti i zajedničkih projekata </w:t>
      </w:r>
      <w:proofErr w:type="spellStart"/>
      <w:r w:rsidRPr="00105491">
        <w:t>povezivosti</w:t>
      </w:r>
      <w:proofErr w:type="spellEnd"/>
      <w:r w:rsidRPr="00105491">
        <w:t>; potiče posebnog izaslanika EU-a za Afganistan da nastavi blisko surađivati s kolegama u srednjoazijskim državama u okviru dijaloga EU-a i srednje Azije o Afganistanu; uviđa da je srednja Azija ključno područje za suzbijanje vjerskog ekstremizma, terorizma i mreža za trgovinu drogom te da se suočava s povećanim migracijskim pritiskom zbog aktualne humanitarne krize u Afganistanu; ponavlja da je ogorčen postupanjem talibana prema ženama kao osobama statusa nižeg od građana drugog reda te poziva Europsku službu za vanjsko djelovanje i posebnog izaslanika EU-a za Afganistan da surađuju s Turkmenistanom, Uzbekistanom i Tadžikistanom u pomaganju ženama koje pokušavaju pobjeći iz Afganistana;</w:t>
      </w:r>
    </w:p>
    <w:p w:rsidR="00927869" w:rsidRPr="00105491" w:rsidRDefault="00927869" w:rsidP="00927869">
      <w:pPr>
        <w:pStyle w:val="NormalHanging12a"/>
      </w:pPr>
      <w:r w:rsidRPr="00105491">
        <w:t>14.</w:t>
      </w:r>
      <w:r w:rsidRPr="00105491">
        <w:tab/>
        <w:t xml:space="preserve">ističe ulogu EU-a kao važnog izvora pomoći za tu regiju; naglašava da je važno zauzeti ujedinjeni pristup kao Tim Europa jer se time omogućuje stvaranje sinergija i maksimiziranje učinka poduzetih mjera i prikazuju prednosti multilateralne suradnje te okupljaju najbolji alati i najbolji partneri, kao što su organizacije civilnog društva, borci </w:t>
      </w:r>
      <w:r w:rsidRPr="00105491">
        <w:lastRenderedPageBreak/>
        <w:t>za ljudska prava, neovisni mediji i stručnjaci te javni i privatni sektor, kako bi se ostvario željeni učinak; naglašava da je potrebno osigurati vidljivost pomoći i ulaganja EU-a te poziva da se pomoć i proračunska potpora EU-a zemljama srednje Azije povezuje s konkretnim mjerilima za napredak u demokratskim reformama, zaštiti ljudskih prava, vladavini prava i održivom razvoju; naglašava važnost koordinirane suradnje s drugim partnerima i međunarodnim organizacijama kako bi se omogućile sinergije i izbjeglo udvostručavanje;</w:t>
      </w:r>
    </w:p>
    <w:p w:rsidR="00927869" w:rsidRPr="00105491" w:rsidRDefault="00927869" w:rsidP="00927869">
      <w:pPr>
        <w:pStyle w:val="NormalHanging12a"/>
      </w:pPr>
      <w:r w:rsidRPr="00105491">
        <w:t>15.</w:t>
      </w:r>
      <w:r w:rsidRPr="00105491">
        <w:tab/>
        <w:t>prima na znanje da klimatske promjene te sve veći demografski rast i gospodarske potrebe stvaraju sve veći pritisak na vodne resurse u srednjoj Aziji; naglašava potrebu za tješnjom regionalnom suradnjom u tom području između zemalja smještenih na gornjem i donjem toku kako bi se spriječili sukobi oko distribucije i uporabe vodnih resursa; pozdravlja regionalne platforme, kao što je Međunarodni fond za spašavanje Aralskog jezera, koje potiču dijalog i suradnju među državama srednje Azije; podsjeća da je dijalog o okolišu između EU-a i srednje Azije uspostavljen kako bi se podržala stabilizacija Aralskog jezera i potaknulo bolje upravljanje vodnim resursima; poziva na provedbu Pariškog sporazuma o klimatskim promjenama i spreman je pružiti stručno znanje i suradnju kako bi se to postiglo;</w:t>
      </w:r>
    </w:p>
    <w:p w:rsidR="00927869" w:rsidRPr="00105491" w:rsidRDefault="00927869" w:rsidP="00927869">
      <w:pPr>
        <w:pStyle w:val="NormalHanging12a"/>
      </w:pPr>
      <w:r w:rsidRPr="00105491">
        <w:t>16.</w:t>
      </w:r>
      <w:r w:rsidRPr="00105491">
        <w:tab/>
        <w:t>ističe da su rješavanje sukoba, uključujući sukobe oko distribucije vode, u skladu s međunarodnim pravom i dobrosusjedskim odnosima te pod svaku cijenu izbjegavanje upotrebe sile ili prijetnje njome ključni za postizanje dugoročne regionalne stabilnosti i ciljeva održivog razvoja; naglašava važnost određivanja i razgraničenja spornih graničnih područja između Tadžikistana i Kirgistana kako bi se spriječili daljnji vojni sukobi između tih dviju zemalja i pozdravlja korake koje su u tom pogledu poduzele obje strane; ponovno ističe ponudu EU-a da pruži potporu mirnom rješavanju sukoba putem tehničke pomoći i mjera za izgradnju povjerenja; pozdravlja rješavanje pitanja razgraničenja između Kirgistana i Uzbekistana u siječnju 2023.; ponavlja da je EU predan neširenju oružja za masovno uništenje u tom području;</w:t>
      </w:r>
    </w:p>
    <w:p w:rsidR="00927869" w:rsidRPr="00105491" w:rsidRDefault="00927869" w:rsidP="00927869">
      <w:pPr>
        <w:pStyle w:val="Normal12a24b"/>
      </w:pPr>
      <w:r w:rsidRPr="00105491">
        <w:rPr>
          <w:rStyle w:val="BoldItalic"/>
        </w:rPr>
        <w:t xml:space="preserve">Demokracija i ljudska prava </w:t>
      </w:r>
    </w:p>
    <w:p w:rsidR="00927869" w:rsidRPr="00105491" w:rsidRDefault="00927869" w:rsidP="00927869">
      <w:pPr>
        <w:pStyle w:val="NormalHanging12a"/>
      </w:pPr>
      <w:r w:rsidRPr="00105491">
        <w:t>17.</w:t>
      </w:r>
      <w:r w:rsidRPr="00105491">
        <w:tab/>
        <w:t>ustraje u tome da su poštovanje ljudskih prava i poštovanje međunarodnih obveza važni za odnose EU-a sa srednjom Azijom; potiče srednjoazijske države da se pridržavaju svojih obveza u pogledu demokracije i ljudskih prava, napominjući da je to također u skladu sa sporazumima o partnerstvu i suradnji i općim sustavom povlastica plus (OSP+); naglašava važnost održavanja redovitih dijaloga o ljudskim pravima sa srednjoazijskim državama jer ti dijalozi predstavljaju instrument za promicanje poštovanja ljudskih prava, temeljnih sloboda i političkog pluralizma te forum za postavljanje pitanja; poziva delegacije EU-a i predstavništva država članica u srednjoj Aziji da nastave aktivno pratiti stanje na terenu, surađivati s borcima za ljudska prava i reagirati na kršenja ljudskih prava i politički motivirane progone, među ostalim tako što prisustvuju suđenjima i posjećuju političke zatvorenike; potiče suradnju s tijelima UN-a za praćenje provedbe ugovora i mehanizmima za posebne postupke, kao i na multilateralnim forumima za ljudska prava kao što je Vijeće UN-a za ljudska prava;</w:t>
      </w:r>
    </w:p>
    <w:p w:rsidR="00927869" w:rsidRPr="00105491" w:rsidRDefault="00927869" w:rsidP="00927869">
      <w:pPr>
        <w:pStyle w:val="NormalHanging12a"/>
      </w:pPr>
      <w:r w:rsidRPr="00105491">
        <w:t>18.</w:t>
      </w:r>
      <w:r w:rsidRPr="00105491">
        <w:tab/>
        <w:t xml:space="preserve">zabrinut je zbog nedostatka odgovornosti za teška kršenja ljudskih prava velikih razmjera, uključujući primjenu oštrih mjera vlasti za okončanje masovnih prosvjeda i nemira koji su uslijedili tijekom takozvanog „Krvavog siječnja” u Kazahstanu, kao i u autonomnoj oblasti Gorski </w:t>
      </w:r>
      <w:proofErr w:type="spellStart"/>
      <w:r w:rsidRPr="00105491">
        <w:t>Badahšan</w:t>
      </w:r>
      <w:proofErr w:type="spellEnd"/>
      <w:r w:rsidRPr="00105491">
        <w:t xml:space="preserve"> u Tadžikistanu i u Republici </w:t>
      </w:r>
      <w:proofErr w:type="spellStart"/>
      <w:r w:rsidRPr="00105491">
        <w:t>Karakalpakstanu</w:t>
      </w:r>
      <w:proofErr w:type="spellEnd"/>
      <w:r w:rsidRPr="00105491">
        <w:t xml:space="preserve"> u </w:t>
      </w:r>
      <w:r w:rsidRPr="00105491">
        <w:lastRenderedPageBreak/>
        <w:t>Uzbekistanu; poziva vlasti u svih pet srednjoazijskih država da poduzmu učinkovite mjere za pokretanje neovisnih i temeljitih istraga svih navoda o mučenju i zlostavljanju te drugim teškim kršenjima ljudskih prava te da spriječe upotrebu prekomjerne sile i mučenja od strane policije i sigurnosnih snaga; poziva vlade država srednje Azije da provedu pravosudne reforme kako bi se zajamčila veća neovisnost i transparentnost;</w:t>
      </w:r>
    </w:p>
    <w:p w:rsidR="00927869" w:rsidRPr="00105491" w:rsidRDefault="00927869" w:rsidP="00927869">
      <w:pPr>
        <w:pStyle w:val="NormalHanging12a"/>
      </w:pPr>
      <w:r w:rsidRPr="00105491">
        <w:t>19.</w:t>
      </w:r>
      <w:r w:rsidRPr="00105491">
        <w:tab/>
        <w:t xml:space="preserve">ističe temeljne demokratske nedostatke u srednjoj Aziji u pogledu demokratskog upravljanja, vladavine prava i zaštite ljudskih prava, koji i dalje postoje i koji su se nedavno pogoršali u nekoliko aspekata; ističe da je izborne postupke potrebno učiniti </w:t>
      </w:r>
      <w:proofErr w:type="spellStart"/>
      <w:r w:rsidRPr="00105491">
        <w:t>transparentnijima</w:t>
      </w:r>
      <w:proofErr w:type="spellEnd"/>
      <w:r w:rsidRPr="00105491">
        <w:t>, otvorenijima i pravednijima za sve političke aktere; ističe važnu ulogu koju civilno društvo može imati u podupiranju i unapređenju demokratskih reformi, dobrog upravljanja i zaštite ljudskih prava u srednjoj Aziji; žali zbog restriktivnog pristupa nevladinim organizacijama i medijima u zakonodavnim inicijativama, kojima se smanjuje prostor za djelovanje civilnog društva; poziva srednjoazijske države da poduzmu smislene korake za rješavanje tih nedostataka, da provedu relevantne konvencije Međunarodne organizacije rada i osiguraju usklađenost sa svojim međunarodnim obvezama u pogledu demokratskog upravljanja i zaštite ljudskih prava, napominjući da su se na to obvezale u okviru sporazuma o partnerstvu i suradnji s EU-om, dogovorenih sporazuma o partnerstvu i suradnji i općeg sustava povlastica EU-a plus (OSP+); napominje da srednjoazijske države imaju mlado i dinamično stanovništvo koje bi trebalo dobiti priliku da se smisleno uključi u oblikovanje budućnosti svojih zemalja; pozdravlja aktivnosti Foruma civilnog društva EU-a i srednje Azije i poziva EU da pojača svoju potporu civilnom društvu;</w:t>
      </w:r>
    </w:p>
    <w:p w:rsidR="00927869" w:rsidRPr="00105491" w:rsidRDefault="00927869" w:rsidP="00927869">
      <w:pPr>
        <w:pStyle w:val="NormalHanging12a"/>
      </w:pPr>
      <w:r w:rsidRPr="00105491">
        <w:t>20.</w:t>
      </w:r>
      <w:r w:rsidRPr="00105491">
        <w:tab/>
        <w:t xml:space="preserve">prima na znanje da je potrebno ojačati otpornost srednje Azije na dezinformacije promicanjem neovisnih medija i sadržaja na lokalnim jezicima, povećanjem medijske pismenosti i organiziranjem ciljanih tečajeva za lokalne novinare; naglašava potrebu za jačanjem neovisnosti i pluralizma medija te slobode izražavanja u srednjoj Aziji u skladu s najvišim demokratskim standardima; poziva na veću transparentnost vlasništva nad medijima i financiranja medija u cilju povećanja neovisnosti i pluralizma medija; žali zbog toga što su srednjoazijske vlasti iskoristile borbu protiv dezinformacija kako bi ograničile legitimno ostvarivanje slobode izražavanja, među ostalim optuživanjem onih koji govore o korupciji, nepravdi i zloupotrebi vlasti zbog navodnog širenja „lažnih” informacija, poticanja „razdora” i promicanja „ekstremizma”; zabrinut je zbog sve većeg broja uhićenja novinara i </w:t>
      </w:r>
      <w:proofErr w:type="spellStart"/>
      <w:r w:rsidRPr="00105491">
        <w:t>blogera</w:t>
      </w:r>
      <w:proofErr w:type="spellEnd"/>
      <w:r w:rsidRPr="00105491">
        <w:t xml:space="preserve"> te zbog prijetnji zatvaranjem neovisnih medijskih kuća; ustraje u tome da se mora zajamčiti poštovanje prava novinara, neovisnih </w:t>
      </w:r>
      <w:proofErr w:type="spellStart"/>
      <w:r w:rsidRPr="00105491">
        <w:t>blogera</w:t>
      </w:r>
      <w:proofErr w:type="spellEnd"/>
      <w:r w:rsidRPr="00105491">
        <w:t>, boraca za ljudska prava i aktivista za građansko djelovanje i zaštitu okoliša, da im se mora zajamčiti zaštita od uznemiravanja, pritiska i prijetnji, da se svi napadi na njih moraju istražiti te da sve nepravedno pritvorene i zatvorene osobe trebaju biti odmah i bezuvjetno puštene na slobodu; osuđuje broj nedavnih vladinih inicijativa za zatvaranje neovisnih medijskih usluga i blokiranje pristupa njihovim lokacijama u Tadžikistanu i Kirgistanu, kao i nacrt zakona o medijima koji se trenutačno razmatra u Kirgistanu i Kazahstanu, koji bi mogli povećati državnu kontrolu nad medijskim aktivnostima;</w:t>
      </w:r>
    </w:p>
    <w:p w:rsidR="00927869" w:rsidRPr="00105491" w:rsidRDefault="00927869" w:rsidP="00927869">
      <w:pPr>
        <w:pStyle w:val="NormalHanging12a"/>
      </w:pPr>
      <w:r w:rsidRPr="00105491">
        <w:t>21.</w:t>
      </w:r>
      <w:r w:rsidRPr="00105491">
        <w:tab/>
        <w:t xml:space="preserve">poziva srednjoazijske vlasti da oslobode sve političke zatvorenike; posebno poziva </w:t>
      </w:r>
      <w:proofErr w:type="spellStart"/>
      <w:r w:rsidRPr="00105491">
        <w:t>kazahstanske</w:t>
      </w:r>
      <w:proofErr w:type="spellEnd"/>
      <w:r w:rsidRPr="00105491">
        <w:t xml:space="preserve"> vlasti da oslobode: </w:t>
      </w:r>
      <w:proofErr w:type="spellStart"/>
      <w:r w:rsidRPr="00105491">
        <w:t>Aigerim</w:t>
      </w:r>
      <w:proofErr w:type="spellEnd"/>
      <w:r w:rsidRPr="00105491">
        <w:t xml:space="preserve"> </w:t>
      </w:r>
      <w:proofErr w:type="spellStart"/>
      <w:r w:rsidRPr="00105491">
        <w:t>Tleuzhan</w:t>
      </w:r>
      <w:proofErr w:type="spellEnd"/>
      <w:r w:rsidRPr="00105491">
        <w:t xml:space="preserve">, Marata </w:t>
      </w:r>
      <w:proofErr w:type="spellStart"/>
      <w:r w:rsidRPr="00105491">
        <w:t>Zhylanbayeva</w:t>
      </w:r>
      <w:proofErr w:type="spellEnd"/>
      <w:r w:rsidRPr="00105491">
        <w:t xml:space="preserve">, </w:t>
      </w:r>
      <w:proofErr w:type="spellStart"/>
      <w:r w:rsidRPr="00105491">
        <w:t>Bekizhana</w:t>
      </w:r>
      <w:proofErr w:type="spellEnd"/>
      <w:r w:rsidRPr="00105491">
        <w:t xml:space="preserve"> </w:t>
      </w:r>
      <w:proofErr w:type="spellStart"/>
      <w:r w:rsidRPr="00105491">
        <w:t>Mendygazijeva</w:t>
      </w:r>
      <w:proofErr w:type="spellEnd"/>
      <w:r w:rsidRPr="00105491">
        <w:t xml:space="preserve">, Timura </w:t>
      </w:r>
      <w:proofErr w:type="spellStart"/>
      <w:r w:rsidRPr="00105491">
        <w:t>Danebayeva</w:t>
      </w:r>
      <w:proofErr w:type="spellEnd"/>
      <w:r w:rsidRPr="00105491">
        <w:t xml:space="preserve"> i </w:t>
      </w:r>
      <w:proofErr w:type="spellStart"/>
      <w:r w:rsidRPr="00105491">
        <w:t>Kairata</w:t>
      </w:r>
      <w:proofErr w:type="spellEnd"/>
      <w:r w:rsidRPr="00105491">
        <w:t xml:space="preserve"> </w:t>
      </w:r>
      <w:proofErr w:type="spellStart"/>
      <w:r w:rsidRPr="00105491">
        <w:t>Klysheva</w:t>
      </w:r>
      <w:proofErr w:type="spellEnd"/>
      <w:r w:rsidRPr="00105491">
        <w:t xml:space="preserve">; poziva </w:t>
      </w:r>
      <w:proofErr w:type="spellStart"/>
      <w:r w:rsidRPr="00105491">
        <w:t>kirgistanske</w:t>
      </w:r>
      <w:proofErr w:type="spellEnd"/>
      <w:r w:rsidRPr="00105491">
        <w:t xml:space="preserve"> vlasti da oslobode: </w:t>
      </w:r>
      <w:proofErr w:type="spellStart"/>
      <w:r w:rsidRPr="00105491">
        <w:t>Azimbeka</w:t>
      </w:r>
      <w:proofErr w:type="spellEnd"/>
      <w:r w:rsidRPr="00105491">
        <w:t xml:space="preserve"> </w:t>
      </w:r>
      <w:proofErr w:type="spellStart"/>
      <w:r w:rsidRPr="00105491">
        <w:t>Beknazarova</w:t>
      </w:r>
      <w:proofErr w:type="spellEnd"/>
      <w:r w:rsidRPr="00105491">
        <w:t xml:space="preserve">, </w:t>
      </w:r>
      <w:proofErr w:type="spellStart"/>
      <w:r w:rsidRPr="00105491">
        <w:t>Aibeka</w:t>
      </w:r>
      <w:proofErr w:type="spellEnd"/>
      <w:r w:rsidRPr="00105491">
        <w:t xml:space="preserve"> </w:t>
      </w:r>
      <w:proofErr w:type="spellStart"/>
      <w:r w:rsidRPr="00105491">
        <w:t>Buzurmankulova</w:t>
      </w:r>
      <w:proofErr w:type="spellEnd"/>
      <w:r w:rsidRPr="00105491">
        <w:t xml:space="preserve">, </w:t>
      </w:r>
      <w:proofErr w:type="spellStart"/>
      <w:r w:rsidRPr="00105491">
        <w:t>Aidanbeka</w:t>
      </w:r>
      <w:proofErr w:type="spellEnd"/>
      <w:r w:rsidRPr="00105491">
        <w:t xml:space="preserve"> </w:t>
      </w:r>
      <w:proofErr w:type="spellStart"/>
      <w:r w:rsidRPr="00105491">
        <w:t>Akmatova</w:t>
      </w:r>
      <w:proofErr w:type="spellEnd"/>
      <w:r w:rsidRPr="00105491">
        <w:t xml:space="preserve">, </w:t>
      </w:r>
      <w:proofErr w:type="spellStart"/>
      <w:r w:rsidRPr="00105491">
        <w:t>Temira</w:t>
      </w:r>
      <w:proofErr w:type="spellEnd"/>
      <w:r w:rsidRPr="00105491">
        <w:t xml:space="preserve"> </w:t>
      </w:r>
      <w:proofErr w:type="spellStart"/>
      <w:r w:rsidRPr="00105491">
        <w:t>Makhmudova</w:t>
      </w:r>
      <w:proofErr w:type="spellEnd"/>
      <w:r w:rsidRPr="00105491">
        <w:t xml:space="preserve"> i Marata </w:t>
      </w:r>
      <w:proofErr w:type="spellStart"/>
      <w:r w:rsidRPr="00105491">
        <w:t>Bayazova</w:t>
      </w:r>
      <w:proofErr w:type="spellEnd"/>
      <w:r w:rsidRPr="00105491">
        <w:t xml:space="preserve">; poziva uzbekistanske vlasti da oslobode: </w:t>
      </w:r>
      <w:proofErr w:type="spellStart"/>
      <w:r w:rsidRPr="00105491">
        <w:t>Dauletmurata</w:t>
      </w:r>
      <w:proofErr w:type="spellEnd"/>
      <w:r w:rsidRPr="00105491">
        <w:t xml:space="preserve"> </w:t>
      </w:r>
      <w:proofErr w:type="spellStart"/>
      <w:r w:rsidRPr="00105491">
        <w:t>Tazhimuratova</w:t>
      </w:r>
      <w:proofErr w:type="spellEnd"/>
      <w:r w:rsidRPr="00105491">
        <w:t xml:space="preserve">, </w:t>
      </w:r>
      <w:proofErr w:type="spellStart"/>
      <w:r w:rsidRPr="00105491">
        <w:t>Allabaija</w:t>
      </w:r>
      <w:proofErr w:type="spellEnd"/>
      <w:r w:rsidRPr="00105491">
        <w:t xml:space="preserve"> </w:t>
      </w:r>
      <w:proofErr w:type="spellStart"/>
      <w:r w:rsidRPr="00105491">
        <w:t>Tokymbetova</w:t>
      </w:r>
      <w:proofErr w:type="spellEnd"/>
      <w:r w:rsidRPr="00105491">
        <w:t xml:space="preserve">, </w:t>
      </w:r>
      <w:proofErr w:type="spellStart"/>
      <w:r w:rsidRPr="00105491">
        <w:t>Nurlana</w:t>
      </w:r>
      <w:proofErr w:type="spellEnd"/>
      <w:r w:rsidRPr="00105491">
        <w:t xml:space="preserve"> </w:t>
      </w:r>
      <w:proofErr w:type="spellStart"/>
      <w:r w:rsidRPr="00105491">
        <w:t>Naiypova</w:t>
      </w:r>
      <w:proofErr w:type="spellEnd"/>
      <w:r w:rsidRPr="00105491">
        <w:t xml:space="preserve"> i </w:t>
      </w:r>
      <w:proofErr w:type="spellStart"/>
      <w:r w:rsidRPr="00105491">
        <w:t>Amirbeka</w:t>
      </w:r>
      <w:proofErr w:type="spellEnd"/>
      <w:r w:rsidRPr="00105491">
        <w:t xml:space="preserve"> </w:t>
      </w:r>
      <w:proofErr w:type="spellStart"/>
      <w:r w:rsidRPr="00105491">
        <w:lastRenderedPageBreak/>
        <w:t>Adilbekova</w:t>
      </w:r>
      <w:proofErr w:type="spellEnd"/>
      <w:r w:rsidRPr="00105491">
        <w:t xml:space="preserve">; poziva tadžikistanske vlasti da oslobode: </w:t>
      </w:r>
      <w:proofErr w:type="spellStart"/>
      <w:r w:rsidRPr="00105491">
        <w:t>Faromuza</w:t>
      </w:r>
      <w:proofErr w:type="spellEnd"/>
      <w:r w:rsidRPr="00105491">
        <w:t xml:space="preserve"> </w:t>
      </w:r>
      <w:proofErr w:type="spellStart"/>
      <w:r w:rsidRPr="00105491">
        <w:t>Irgashova</w:t>
      </w:r>
      <w:proofErr w:type="spellEnd"/>
      <w:r w:rsidRPr="00105491">
        <w:t xml:space="preserve">, </w:t>
      </w:r>
      <w:proofErr w:type="spellStart"/>
      <w:r w:rsidRPr="00105491">
        <w:t>Ulfatkhonim</w:t>
      </w:r>
      <w:proofErr w:type="spellEnd"/>
      <w:r w:rsidRPr="00105491">
        <w:t xml:space="preserve"> </w:t>
      </w:r>
      <w:proofErr w:type="spellStart"/>
      <w:r w:rsidRPr="00105491">
        <w:t>Mamadshoevu</w:t>
      </w:r>
      <w:proofErr w:type="spellEnd"/>
      <w:r w:rsidRPr="00105491">
        <w:t xml:space="preserve">, </w:t>
      </w:r>
      <w:proofErr w:type="spellStart"/>
      <w:r w:rsidRPr="00105491">
        <w:t>Khursanda</w:t>
      </w:r>
      <w:proofErr w:type="spellEnd"/>
      <w:r w:rsidRPr="00105491">
        <w:t xml:space="preserve"> </w:t>
      </w:r>
      <w:proofErr w:type="spellStart"/>
      <w:r w:rsidRPr="00105491">
        <w:t>Mamadshoeva</w:t>
      </w:r>
      <w:proofErr w:type="spellEnd"/>
      <w:r w:rsidRPr="00105491">
        <w:t xml:space="preserve">, </w:t>
      </w:r>
      <w:proofErr w:type="spellStart"/>
      <w:r w:rsidRPr="00105491">
        <w:t>Khushruza</w:t>
      </w:r>
      <w:proofErr w:type="spellEnd"/>
      <w:r w:rsidRPr="00105491">
        <w:t xml:space="preserve"> </w:t>
      </w:r>
      <w:proofErr w:type="spellStart"/>
      <w:r w:rsidRPr="00105491">
        <w:t>Djumaeva</w:t>
      </w:r>
      <w:proofErr w:type="spellEnd"/>
      <w:r w:rsidRPr="00105491">
        <w:t xml:space="preserve">; poziva </w:t>
      </w:r>
      <w:proofErr w:type="spellStart"/>
      <w:r w:rsidRPr="00105491">
        <w:t>turkmenistanske</w:t>
      </w:r>
      <w:proofErr w:type="spellEnd"/>
      <w:r w:rsidRPr="00105491">
        <w:t xml:space="preserve"> vlasti da oslobode: </w:t>
      </w:r>
      <w:proofErr w:type="spellStart"/>
      <w:r w:rsidRPr="00105491">
        <w:t>Omruzaka</w:t>
      </w:r>
      <w:proofErr w:type="spellEnd"/>
      <w:r w:rsidRPr="00105491">
        <w:t xml:space="preserve"> </w:t>
      </w:r>
      <w:proofErr w:type="spellStart"/>
      <w:r w:rsidRPr="00105491">
        <w:t>Omarkulieva</w:t>
      </w:r>
      <w:proofErr w:type="spellEnd"/>
      <w:r w:rsidRPr="00105491">
        <w:t xml:space="preserve">, </w:t>
      </w:r>
      <w:proofErr w:type="spellStart"/>
      <w:r w:rsidRPr="00105491">
        <w:t>Murata</w:t>
      </w:r>
      <w:proofErr w:type="spellEnd"/>
      <w:r w:rsidRPr="00105491">
        <w:t xml:space="preserve"> </w:t>
      </w:r>
      <w:proofErr w:type="spellStart"/>
      <w:r w:rsidRPr="00105491">
        <w:t>Dushemova</w:t>
      </w:r>
      <w:proofErr w:type="spellEnd"/>
      <w:r w:rsidRPr="00105491">
        <w:t xml:space="preserve">, </w:t>
      </w:r>
      <w:proofErr w:type="spellStart"/>
      <w:r w:rsidRPr="00105491">
        <w:t>Murata</w:t>
      </w:r>
      <w:proofErr w:type="spellEnd"/>
      <w:r w:rsidRPr="00105491">
        <w:t xml:space="preserve"> </w:t>
      </w:r>
      <w:proofErr w:type="spellStart"/>
      <w:r w:rsidRPr="00105491">
        <w:t>Ovezova</w:t>
      </w:r>
      <w:proofErr w:type="spellEnd"/>
      <w:r w:rsidRPr="00105491">
        <w:t xml:space="preserve">, </w:t>
      </w:r>
      <w:proofErr w:type="spellStart"/>
      <w:r w:rsidRPr="00105491">
        <w:t>Mansura</w:t>
      </w:r>
      <w:proofErr w:type="spellEnd"/>
      <w:r w:rsidRPr="00105491">
        <w:t xml:space="preserve"> </w:t>
      </w:r>
      <w:proofErr w:type="spellStart"/>
      <w:r w:rsidRPr="00105491">
        <w:t>Mingelova</w:t>
      </w:r>
      <w:proofErr w:type="spellEnd"/>
      <w:r w:rsidRPr="00105491">
        <w:t xml:space="preserve"> i </w:t>
      </w:r>
      <w:proofErr w:type="spellStart"/>
      <w:r w:rsidRPr="00105491">
        <w:t>Nurgeldyja</w:t>
      </w:r>
      <w:proofErr w:type="spellEnd"/>
      <w:r w:rsidRPr="00105491">
        <w:t xml:space="preserve"> </w:t>
      </w:r>
      <w:proofErr w:type="spellStart"/>
      <w:r w:rsidRPr="00105491">
        <w:t>Halykova</w:t>
      </w:r>
      <w:proofErr w:type="spellEnd"/>
      <w:r w:rsidRPr="00105491">
        <w:t>;</w:t>
      </w:r>
    </w:p>
    <w:p w:rsidR="00927869" w:rsidRPr="00105491" w:rsidRDefault="00927869" w:rsidP="00927869">
      <w:pPr>
        <w:pStyle w:val="NormalHanging12a"/>
      </w:pPr>
      <w:r w:rsidRPr="00105491">
        <w:t>22.</w:t>
      </w:r>
      <w:r w:rsidRPr="00105491">
        <w:tab/>
        <w:t xml:space="preserve">zabrinut je zbog toga što su rodno uvjetovano nasilje, nasilje u obitelji, dječji brak, diskriminacija i uznemiravanje etničkih i vjerskih manjina i LGBTIQ osoba i dalje rašireni u srednjoj Aziji, iako je rodna ravnopravnost u svim zemljama navodno zaštićena zakonom; potiče vlade država srednje Azije da odgovarajućim zakonima te edukativnim kampanjama i mjerama spriječe ta kršenja ljudskih prava, uključujući podizanje razine osviještenosti i kvalifikacije javnih službenika, posebno policijskih službenika, jačanje kapaciteta organizacija civilnog društva za zagovaranje zakonodavnih promjena, poboljšanje usluga potpore na prvoj liniji za preživjele osobe i podizanje razine osviještenosti radi borbe protiv postojećih stereotipa i promicanja jednakosti u društvu; izražava zabrinutost zbog činjenice da je kriminalizacija LGBTIQ osoba i dalje na snazi, da u većini zemalja nedostaje osnovno </w:t>
      </w:r>
      <w:proofErr w:type="spellStart"/>
      <w:r w:rsidRPr="00105491">
        <w:t>antidiskriminacijsko</w:t>
      </w:r>
      <w:proofErr w:type="spellEnd"/>
      <w:r w:rsidRPr="00105491">
        <w:t xml:space="preserve"> zakonodavstvo, da se primjenjuje korektivno silovanje protiv lezbijki i da nema sigurnih prostora za okupljanje LGBTIQ osoba, da se provode racije na barove i društvene prostore te da su slučajevi policijske brutalnosti mnogobrojni; naglašava da svaka strategija EU-a za srednju Aziju mora biti u skladu s Akcijskim planom EU-a za rodnu ravnopravnost III.;</w:t>
      </w:r>
    </w:p>
    <w:p w:rsidR="00927869" w:rsidRPr="00105491" w:rsidRDefault="00927869" w:rsidP="00927869">
      <w:pPr>
        <w:pStyle w:val="NormalHanging12a"/>
      </w:pPr>
      <w:r w:rsidRPr="00105491">
        <w:t>23.</w:t>
      </w:r>
      <w:r w:rsidRPr="00105491">
        <w:tab/>
        <w:t xml:space="preserve">ponovno ističe svoju zabrinutost zbog sveprisutne korupcije i </w:t>
      </w:r>
      <w:proofErr w:type="spellStart"/>
      <w:r w:rsidRPr="00105491">
        <w:t>kleptokracije</w:t>
      </w:r>
      <w:proofErr w:type="spellEnd"/>
      <w:r w:rsidRPr="00105491">
        <w:t xml:space="preserve"> u srednjoj Aziji, što narušava povjerenje u vladu, potiče nejednakost, lišava građane javnih usluga i usporava gospodarski rast; poziva vlade srednje Azije da poduzmu mjere koje nadilaze raširenu antikorupcijsku retoriku i da se konačno obvežu na borbu protiv korupcije i </w:t>
      </w:r>
      <w:proofErr w:type="spellStart"/>
      <w:r w:rsidRPr="00105491">
        <w:t>kleptokracije</w:t>
      </w:r>
      <w:proofErr w:type="spellEnd"/>
      <w:r w:rsidRPr="00105491">
        <w:t xml:space="preserve"> te da donesu nacionalne strategije usmjerene na integrirani pristup sprečavanju i suzbijanju korupcije, kao i da povećaju transparentnost i pristup informacijama te da ograniče privatni utjecaj;</w:t>
      </w:r>
    </w:p>
    <w:p w:rsidR="00927869" w:rsidRPr="00105491" w:rsidRDefault="00927869" w:rsidP="00927869">
      <w:pPr>
        <w:pStyle w:val="NormalHanging12a"/>
      </w:pPr>
      <w:r w:rsidRPr="00105491">
        <w:t>24.</w:t>
      </w:r>
      <w:r w:rsidRPr="00105491">
        <w:tab/>
        <w:t xml:space="preserve">ističe da bi EU trebao iskoristiti svoju pozitivnu sliku u srednjoj Aziji i povećati svoju kulturnu i javnu diplomaciju; zalaže se za jačanje veza i povećanje mogućnosti za suradnju između europskih i srednjoazijskih institucija te poticanje međuljudskih kontakata i mobilnosti, pružanje mogućnosti u obrazovanju i znanosti, kao što je razmjena na akademskoj razini u okviru programa </w:t>
      </w:r>
      <w:proofErr w:type="spellStart"/>
      <w:r w:rsidRPr="00105491">
        <w:t>Erasmus</w:t>
      </w:r>
      <w:proofErr w:type="spellEnd"/>
      <w:r w:rsidRPr="00105491">
        <w:t>+ i Obzor 2020., te povećanje održivog turizma;</w:t>
      </w:r>
    </w:p>
    <w:p w:rsidR="00927869" w:rsidRPr="00105491" w:rsidRDefault="00927869" w:rsidP="00927869">
      <w:pPr>
        <w:pStyle w:val="NormalHanging12a"/>
      </w:pPr>
      <w:r w:rsidRPr="00105491">
        <w:t>25.</w:t>
      </w:r>
      <w:r w:rsidRPr="00105491">
        <w:tab/>
        <w:t xml:space="preserve">prima na znanje spremnost srednjoazijskih država da započnu dijalog o liberalizaciji </w:t>
      </w:r>
      <w:proofErr w:type="spellStart"/>
      <w:r w:rsidRPr="00105491">
        <w:t>viznog</w:t>
      </w:r>
      <w:proofErr w:type="spellEnd"/>
      <w:r w:rsidRPr="00105491">
        <w:t xml:space="preserve"> režima s EU-om i poziva Komisiju da pojača savjetovanja o razvoju ciljanih i sveobuhvatnih planova reformi za države srednje Azije kako bi se otvorio put za pojednostavnjenje </w:t>
      </w:r>
      <w:proofErr w:type="spellStart"/>
      <w:r w:rsidRPr="00105491">
        <w:t>viznog</w:t>
      </w:r>
      <w:proofErr w:type="spellEnd"/>
      <w:r w:rsidRPr="00105491">
        <w:t xml:space="preserve"> režima i sporazume o ponovnom prihvatu;</w:t>
      </w:r>
    </w:p>
    <w:p w:rsidR="00927869" w:rsidRPr="00105491" w:rsidRDefault="00927869" w:rsidP="00927869">
      <w:pPr>
        <w:pStyle w:val="NormalHanging12a"/>
        <w:rPr>
          <w:b/>
          <w:i/>
        </w:rPr>
      </w:pPr>
      <w:r w:rsidRPr="00105491">
        <w:rPr>
          <w:b/>
          <w:i/>
        </w:rPr>
        <w:t>Bilateralna suradnja</w:t>
      </w:r>
    </w:p>
    <w:p w:rsidR="00927869" w:rsidRPr="00105491" w:rsidRDefault="00927869" w:rsidP="00927869">
      <w:pPr>
        <w:pStyle w:val="NormalHanging12a"/>
      </w:pPr>
      <w:r w:rsidRPr="00105491">
        <w:t>26.</w:t>
      </w:r>
      <w:r w:rsidRPr="00105491">
        <w:tab/>
        <w:t xml:space="preserve">Napominje da je Kazahstan prva srednjoazijska država s ratificiranim Sporazumom o pojačanom partnerstvu i suradnji, koji pruža čvrst temelj za širenje suradnje u ključnim područjima od zajedničkog interesa, kao što su </w:t>
      </w:r>
      <w:proofErr w:type="spellStart"/>
      <w:r w:rsidRPr="00105491">
        <w:t>povezivost</w:t>
      </w:r>
      <w:proofErr w:type="spellEnd"/>
      <w:r w:rsidRPr="00105491">
        <w:t xml:space="preserve">, energetska učinkovitost, zeleno gospodarstvo i digitalizacija; pozdravlja potpisivanje Memoranduma o razumijevanju između Republike Kazahstana i EU-a o strateškom partnerstvu za održive lance vrijednosti sirovina, baterija i vodika iz obnovljivih izvora; poziva </w:t>
      </w:r>
      <w:proofErr w:type="spellStart"/>
      <w:r w:rsidRPr="00105491">
        <w:t>kazahstanske</w:t>
      </w:r>
      <w:proofErr w:type="spellEnd"/>
      <w:r w:rsidRPr="00105491">
        <w:t xml:space="preserve"> vlasti da nastave provoditi političke i gospodarske reforme kojima bi se </w:t>
      </w:r>
      <w:r w:rsidRPr="00105491">
        <w:lastRenderedPageBreak/>
        <w:t xml:space="preserve">trebali ojačati demokracija, vladavina prava i dobro upravljanje; naglašava da se provedbom vizije „pravednog i poštenog Kazahstana” mora zajamčiti poštovanje ljudskih prava i sloboda izražavanja, udruživanja i okupljanja te poboljšati izborni okvir u skladu s preporukama Ureda OESS-a za demokratske institucije i ljudska prava; poziva </w:t>
      </w:r>
      <w:proofErr w:type="spellStart"/>
      <w:r w:rsidRPr="00105491">
        <w:t>kazahstanske</w:t>
      </w:r>
      <w:proofErr w:type="spellEnd"/>
      <w:r w:rsidRPr="00105491">
        <w:t xml:space="preserve"> vlasti da dovrše istragu događaja u siječnju 2022., da objave svoje zaključke i osiguraju pravdu za žrtve mučenja; prima na znanje moguće koristi od povećanja međuljudskih razmjena s Kazahstanom putem sporazuma o pojednostavnjenju izdavanja viza, za koji su savjetovanja započela u svibnju 2023.;</w:t>
      </w:r>
    </w:p>
    <w:p w:rsidR="00927869" w:rsidRPr="00105491" w:rsidRDefault="00927869" w:rsidP="00927869">
      <w:pPr>
        <w:pStyle w:val="NormalHanging12a"/>
      </w:pPr>
      <w:r w:rsidRPr="00105491">
        <w:t>27.</w:t>
      </w:r>
      <w:r w:rsidRPr="00105491">
        <w:tab/>
        <w:t>ističe da predstojeće potpisivanje Sporazuma o pojačanom partnerstvu i suradnji i trenutačna provedba OSP-a+ dodatno naglašavaju potrebu da se u Kirgistanu osigura poštovanje ljudskih prava i temeljnih sloboda u skladu s njegovim međunarodnim obvezama; sa zabrinutošću primjećuje pogoršanje demokratskih standarda i ljudskih prava posljednjih godina, s obzirom na to da se Kirgistan smatra najdemokratičnijom zemljom u regiji s dinamičnim civilnim društvom i slobodnim medijima; zabrinut je zbog progona političke oporbe, među ostalim predstavnika stranke socijaldemokrata, i negativnog učinka zakonodavnih inicijativa usmjerenih na aktivnosti neovisnih medija i civilnog društva, posebno zakona o „lažnim informacijama” i nacrtima zakona o „stranim predstavnicima”, „masovnim medijima” i „zaštiti djece od štetnih informacija” te zbog sve većeg broja slučajeva protiv boraca za ljudska prava, medijskih djelatnika i novinara te medijskih kuća; poziva EU da nastavi podupirati civilno društvo i neovisne medije;</w:t>
      </w:r>
    </w:p>
    <w:p w:rsidR="00927869" w:rsidRPr="00105491" w:rsidRDefault="00927869" w:rsidP="00927869">
      <w:pPr>
        <w:pStyle w:val="NormalHanging12a"/>
      </w:pPr>
      <w:r w:rsidRPr="00105491">
        <w:t>28.</w:t>
      </w:r>
      <w:r w:rsidRPr="00105491">
        <w:tab/>
        <w:t xml:space="preserve">napominje da je početak pregovora o Sporazumu o pojačanom partnerstvu i suradnji s Tadžikistanom prilika za proširenje opsega bilateralne suradnje i razmjena; naglašava potrebu za kontinuiranom bliskom suradnjom u sigurnosnim pitanjima s obzirom na to da je Afganistan i dalje izvor nestabilnosti i sigurnosnih problema zbog stroge vladavine talibana i aktualne humanitarne krize u zemlji; ističe da se legitimna borba protiv terorizma i nasilnog ekstremizma ne smije koristiti kao izlika za zabranu djelovanja oporbe, gušenje slobode izražavanja ili ometanje neovisnosti pravosuđa; pozdravlja interes Tadžikistana za pristupanje sustavu OSP+, koji može poduprijeti održivi gospodarski rast i potaknuti trgovinu te zahtijeva učinkovitu provedbu međunarodnih standarda u području ljudskih i radničkih prava; poziva Tadžikistan da poboljša zaštitu ljudskih prava i temeljnih sloboda, posebno slobode izražavanja, te da prestane zastrašivati i progoniti medijske djelatnike, borce za ljudska prava, neovisne odvjetnike i civilno društvo, kao i da prestane s represijom nad </w:t>
      </w:r>
      <w:proofErr w:type="spellStart"/>
      <w:r w:rsidRPr="00105491">
        <w:t>pamirskom</w:t>
      </w:r>
      <w:proofErr w:type="spellEnd"/>
      <w:r w:rsidRPr="00105491">
        <w:t xml:space="preserve"> manjinom u Gorskom </w:t>
      </w:r>
      <w:proofErr w:type="spellStart"/>
      <w:r w:rsidRPr="00105491">
        <w:t>Badahšanu</w:t>
      </w:r>
      <w:proofErr w:type="spellEnd"/>
      <w:r w:rsidRPr="00105491">
        <w:t>;</w:t>
      </w:r>
    </w:p>
    <w:p w:rsidR="00927869" w:rsidRPr="00105491" w:rsidRDefault="00927869" w:rsidP="00927869">
      <w:pPr>
        <w:pStyle w:val="NormalHanging12a"/>
        <w:rPr>
          <w:i/>
          <w:u w:val="single"/>
        </w:rPr>
      </w:pPr>
      <w:r w:rsidRPr="00105491">
        <w:t>29.</w:t>
      </w:r>
      <w:r w:rsidRPr="00105491">
        <w:tab/>
        <w:t xml:space="preserve">napominje da je Turkmenistan i dalje jedina država srednje Azije bez sporazuma o partnerstvu i suradnji s EU-om, čime se ograničava prostor za bilateralnu suradnju; naglašava da Turkmenistan mora pokazati poboljšanje svojih loših rezultata u pogledu demokracije i stanja ljudskih prava kako bi Parlament ponovno razmotrio svoje stajalište i ratificirao Sporazum o partnerstvu i suradnji; snažno potiče </w:t>
      </w:r>
      <w:proofErr w:type="spellStart"/>
      <w:r w:rsidRPr="00105491">
        <w:t>turkmenistansku</w:t>
      </w:r>
      <w:proofErr w:type="spellEnd"/>
      <w:r w:rsidRPr="00105491">
        <w:t xml:space="preserve"> vladu da </w:t>
      </w:r>
      <w:proofErr w:type="spellStart"/>
      <w:r w:rsidRPr="00105491">
        <w:t>dekriminalizira</w:t>
      </w:r>
      <w:proofErr w:type="spellEnd"/>
      <w:r w:rsidRPr="00105491">
        <w:t xml:space="preserve"> sporazumne seksualne odnose između muškaraca; napominje da bi trebalo biti u interesu Turkmenistana da se otvori kako ne bi bio iznimka u regiji s ograničenim mogućnostima za suradnju; prepoznaje potencijal uzajamno korisne suradnje u područjima kao što su energetika, </w:t>
      </w:r>
      <w:proofErr w:type="spellStart"/>
      <w:r w:rsidRPr="00105491">
        <w:t>povezivost</w:t>
      </w:r>
      <w:proofErr w:type="spellEnd"/>
      <w:r w:rsidRPr="00105491">
        <w:t xml:space="preserve"> i trgovina te pozdravlja izražen interes Turkmenistana za opskrbu Europe plinom izgradnjom </w:t>
      </w:r>
      <w:proofErr w:type="spellStart"/>
      <w:r w:rsidRPr="00105491">
        <w:t>Transkaspijskog</w:t>
      </w:r>
      <w:proofErr w:type="spellEnd"/>
      <w:r w:rsidRPr="00105491">
        <w:t xml:space="preserve"> plinovoda;</w:t>
      </w:r>
    </w:p>
    <w:p w:rsidR="00927869" w:rsidRPr="00105491" w:rsidRDefault="00927869" w:rsidP="00927869">
      <w:pPr>
        <w:pStyle w:val="NormalHanging12a"/>
        <w:rPr>
          <w:i/>
          <w:u w:val="single"/>
        </w:rPr>
      </w:pPr>
      <w:r w:rsidRPr="00105491">
        <w:t>30.</w:t>
      </w:r>
      <w:r w:rsidRPr="00105491">
        <w:tab/>
        <w:t xml:space="preserve">prima na znanje najavljene reforme u Uzbekistanu usmjerene na postizanje stvarnih </w:t>
      </w:r>
      <w:r w:rsidRPr="00105491">
        <w:lastRenderedPageBreak/>
        <w:t xml:space="preserve">promjena u zemlji u pogledu društveno-gospodarskog razvoja, učinkovite uprave, neovisnijeg pravosudnog sustava te poštovanja ljudskih prava i temeljnih sloboda; naglašava da je ustavna reforma prilika za jačanje vladavine prava i pružanje čvrste pravne osnove za reforme; međutim, ponovno izražava duboku zabrinutost zbog loših rezultata Uzbekistana u pogledu demokracije, slobode medija, ljudskih prava i vladavine prava, uključujući brutalnu represiju nad prosvjedom u </w:t>
      </w:r>
      <w:proofErr w:type="spellStart"/>
      <w:r w:rsidRPr="00105491">
        <w:t>Karakalpakstanu</w:t>
      </w:r>
      <w:proofErr w:type="spellEnd"/>
      <w:r w:rsidRPr="00105491">
        <w:t xml:space="preserve"> i ograničavanje slobode udruživanja kako nevladinih organizacija tako i političkih stranaka te progon i prijetnje novinarima, neovisnim </w:t>
      </w:r>
      <w:proofErr w:type="spellStart"/>
      <w:r w:rsidRPr="00105491">
        <w:t>blogerima</w:t>
      </w:r>
      <w:proofErr w:type="spellEnd"/>
      <w:r w:rsidRPr="00105491">
        <w:t xml:space="preserve">, stvarateljima sadržaja i borcima za ljudska prava; podsjeća vlasti na važnost poštovanja slobode izražavanja na internetu i izvan njega, slobode okupljanja, slobode udruživanja i neovisnosti medija; pozdravlja određena značajna poboljšanja u pogledu prava žena u Uzbekistanu; snažno potiče </w:t>
      </w:r>
      <w:proofErr w:type="spellStart"/>
      <w:r w:rsidRPr="00105491">
        <w:t>uzbekinstansku</w:t>
      </w:r>
      <w:proofErr w:type="spellEnd"/>
      <w:r w:rsidRPr="00105491">
        <w:t xml:space="preserve"> vladu da </w:t>
      </w:r>
      <w:proofErr w:type="spellStart"/>
      <w:r w:rsidRPr="00105491">
        <w:t>dekriminalizira</w:t>
      </w:r>
      <w:proofErr w:type="spellEnd"/>
      <w:r w:rsidRPr="00105491">
        <w:t xml:space="preserve"> sporazumne seksualne odnose između muškaraca; pozdravlja dovršetak pregovora o Sporazumu o pojačanom partnerstvu i suradnji između EU-a i Uzbekistana te ponovno poziva na brz dovršetak potrebnih pravnih i tehničkih postupaka za potpisivanje Sporazuma o pojačanom partnerstvu i suradnji; pozdravlja vodeću ulogu Uzbekistana u promicanju regionalne suradnje u različitim područjima, uključujući </w:t>
      </w:r>
      <w:proofErr w:type="spellStart"/>
      <w:r w:rsidRPr="00105491">
        <w:t>povezivost</w:t>
      </w:r>
      <w:proofErr w:type="spellEnd"/>
      <w:r w:rsidRPr="00105491">
        <w:t xml:space="preserve"> i korištenje vodnih resursa; </w:t>
      </w:r>
    </w:p>
    <w:p w:rsidR="00927869" w:rsidRPr="00105491" w:rsidRDefault="00927869" w:rsidP="00927869">
      <w:pPr>
        <w:pStyle w:val="NormalCenter12a"/>
      </w:pPr>
      <w:r w:rsidRPr="00105491">
        <w:t>°</w:t>
      </w:r>
    </w:p>
    <w:p w:rsidR="00927869" w:rsidRPr="00105491" w:rsidRDefault="00927869" w:rsidP="00927869">
      <w:pPr>
        <w:pStyle w:val="NormalCenter12a"/>
      </w:pPr>
      <w:r w:rsidRPr="00105491">
        <w:t>°</w:t>
      </w:r>
      <w:r w:rsidRPr="00105491">
        <w:tab/>
        <w:t>°</w:t>
      </w:r>
    </w:p>
    <w:p w:rsidR="00927869" w:rsidRPr="00105491" w:rsidRDefault="00927869" w:rsidP="00927869">
      <w:pPr>
        <w:pStyle w:val="NormalHanging12a"/>
      </w:pPr>
      <w:r w:rsidRPr="00105491">
        <w:t>31.</w:t>
      </w:r>
      <w:r w:rsidRPr="00105491">
        <w:tab/>
        <w:t>nalaže svojoj predsjednici da ovu Rezoluciju proslijedi Vijeću, Komisiji, potpredsjedniku Komisije / Visokom predstavniku Unije za vanjske poslove i sigurnosnu politiku te predsjednicima, vladama i parlamentima Kazahstana, Kirgistana, Tadžikistana, Turkmenistana i Uzbekistana.</w:t>
      </w:r>
    </w:p>
    <w:p w:rsidR="00927869" w:rsidRPr="00105491" w:rsidRDefault="00927869" w:rsidP="00493407">
      <w:pPr>
        <w:widowControl/>
      </w:pPr>
    </w:p>
    <w:p w:rsidR="00E365E1" w:rsidRPr="00105491" w:rsidRDefault="00E365E1" w:rsidP="00D62B4B"/>
    <w:sectPr w:rsidR="00E365E1" w:rsidRPr="00105491" w:rsidSect="008313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B4B" w:rsidRPr="00831304" w:rsidRDefault="00D62B4B">
      <w:r w:rsidRPr="00831304">
        <w:separator/>
      </w:r>
    </w:p>
  </w:endnote>
  <w:endnote w:type="continuationSeparator" w:id="0">
    <w:p w:rsidR="00D62B4B" w:rsidRPr="00831304" w:rsidRDefault="00D62B4B">
      <w:r w:rsidRPr="008313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13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13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13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B4B" w:rsidRPr="00831304" w:rsidRDefault="00D62B4B">
      <w:r w:rsidRPr="00831304">
        <w:separator/>
      </w:r>
    </w:p>
  </w:footnote>
  <w:footnote w:type="continuationSeparator" w:id="0">
    <w:p w:rsidR="00D62B4B" w:rsidRPr="00831304" w:rsidRDefault="00D62B4B">
      <w:r w:rsidRPr="00831304">
        <w:continuationSeparator/>
      </w:r>
    </w:p>
  </w:footnote>
  <w:footnote w:id="1">
    <w:p w:rsidR="00927869" w:rsidRPr="00105491" w:rsidRDefault="00927869" w:rsidP="00831304">
      <w:pPr>
        <w:pStyle w:val="FootnoteText"/>
        <w:ind w:left="567" w:hanging="567"/>
        <w:rPr>
          <w:sz w:val="24"/>
          <w:lang w:val="hr-HR"/>
        </w:rPr>
      </w:pPr>
      <w:r w:rsidRPr="00831304">
        <w:rPr>
          <w:rStyle w:val="FootnoteReference"/>
          <w:sz w:val="24"/>
          <w:lang w:val="hr-HR"/>
        </w:rPr>
        <w:footnoteRef/>
      </w:r>
      <w:r w:rsidR="00831304" w:rsidRPr="00831304">
        <w:rPr>
          <w:sz w:val="24"/>
          <w:lang w:val="hr-HR"/>
        </w:rPr>
        <w:t xml:space="preserve"> </w:t>
      </w:r>
      <w:r w:rsidR="00831304" w:rsidRPr="00831304">
        <w:rPr>
          <w:sz w:val="24"/>
          <w:lang w:val="hr-HR"/>
        </w:rPr>
        <w:tab/>
      </w:r>
      <w:bookmarkStart w:id="8" w:name="_GoBack"/>
      <w:r w:rsidR="00105491" w:rsidRPr="00105491">
        <w:fldChar w:fldCharType="begin"/>
      </w:r>
      <w:r w:rsidR="00105491" w:rsidRPr="00105491">
        <w:instrText xml:space="preserve"> HYPERLINK "https://eur-lex.europa.eu/legal-content/HR/TXT/HTML/?uri=CELEX:22016A0204(01)" </w:instrText>
      </w:r>
      <w:r w:rsidR="00105491" w:rsidRPr="00105491">
        <w:fldChar w:fldCharType="separate"/>
      </w:r>
      <w:r w:rsidRPr="00105491">
        <w:rPr>
          <w:rStyle w:val="Hyperlink"/>
          <w:sz w:val="24"/>
          <w:u w:val="none"/>
          <w:lang w:val="hr-HR"/>
        </w:rPr>
        <w:t>SL L 29, 4.2.2016., str. 3.</w:t>
      </w:r>
      <w:r w:rsidR="00105491" w:rsidRPr="00105491">
        <w:rPr>
          <w:rStyle w:val="Hyperlink"/>
          <w:sz w:val="24"/>
          <w:u w:val="none"/>
          <w:lang w:val="hr-HR"/>
        </w:rPr>
        <w:fldChar w:fldCharType="end"/>
      </w:r>
    </w:p>
    <w:bookmarkEnd w:id="8"/>
  </w:footnote>
  <w:footnote w:id="2">
    <w:p w:rsidR="00927869" w:rsidRPr="00105491" w:rsidRDefault="00927869" w:rsidP="00831304">
      <w:pPr>
        <w:pStyle w:val="FootnoteText"/>
        <w:ind w:left="567" w:hanging="567"/>
        <w:rPr>
          <w:sz w:val="24"/>
          <w:lang w:val="hr-HR"/>
        </w:rPr>
      </w:pPr>
      <w:r w:rsidRPr="00831304">
        <w:rPr>
          <w:rStyle w:val="FootnoteReference"/>
          <w:sz w:val="24"/>
          <w:lang w:val="hr-HR"/>
        </w:rPr>
        <w:footnoteRef/>
      </w:r>
      <w:r w:rsidR="00831304" w:rsidRPr="00831304">
        <w:rPr>
          <w:sz w:val="24"/>
          <w:lang w:val="hr-HR"/>
        </w:rPr>
        <w:t xml:space="preserve"> </w:t>
      </w:r>
      <w:r w:rsidR="00831304" w:rsidRPr="00831304">
        <w:rPr>
          <w:sz w:val="24"/>
          <w:lang w:val="hr-HR"/>
        </w:rPr>
        <w:tab/>
      </w:r>
      <w:hyperlink r:id="rId1" w:history="1">
        <w:r w:rsidRPr="00105491">
          <w:rPr>
            <w:rStyle w:val="Hyperlink"/>
            <w:sz w:val="24"/>
            <w:u w:val="none"/>
            <w:lang w:val="hr-HR"/>
          </w:rPr>
          <w:t>SL L 196, 28.7.1999., str. 48.</w:t>
        </w:r>
      </w:hyperlink>
    </w:p>
  </w:footnote>
  <w:footnote w:id="3">
    <w:p w:rsidR="00927869" w:rsidRPr="00105491" w:rsidRDefault="00927869" w:rsidP="00831304">
      <w:pPr>
        <w:pStyle w:val="FootnoteText"/>
        <w:ind w:left="567" w:hanging="567"/>
        <w:rPr>
          <w:sz w:val="24"/>
          <w:lang w:val="hr-HR"/>
        </w:rPr>
      </w:pPr>
      <w:r w:rsidRPr="00105491">
        <w:rPr>
          <w:rStyle w:val="FootnoteReference"/>
          <w:sz w:val="24"/>
          <w:lang w:val="hr-HR"/>
        </w:rPr>
        <w:footnoteRef/>
      </w:r>
      <w:r w:rsidR="00831304" w:rsidRPr="00105491">
        <w:rPr>
          <w:sz w:val="24"/>
          <w:lang w:val="hr-HR"/>
        </w:rPr>
        <w:t xml:space="preserve"> </w:t>
      </w:r>
      <w:r w:rsidR="00831304" w:rsidRPr="00105491">
        <w:rPr>
          <w:sz w:val="24"/>
          <w:lang w:val="hr-HR"/>
        </w:rPr>
        <w:tab/>
      </w:r>
      <w:hyperlink r:id="rId2" w:history="1">
        <w:r w:rsidRPr="00105491">
          <w:rPr>
            <w:rStyle w:val="Hyperlink"/>
            <w:sz w:val="24"/>
            <w:u w:val="none"/>
            <w:shd w:val="clear" w:color="auto" w:fill="FFFFFF"/>
            <w:lang w:val="hr-HR"/>
          </w:rPr>
          <w:t>SL L 350, 29.12.2009., str. 3.</w:t>
        </w:r>
      </w:hyperlink>
    </w:p>
  </w:footnote>
  <w:footnote w:id="4">
    <w:p w:rsidR="00927869" w:rsidRPr="00105491" w:rsidRDefault="00927869" w:rsidP="00831304">
      <w:pPr>
        <w:pStyle w:val="FootnoteText"/>
        <w:ind w:left="567" w:hanging="567"/>
        <w:rPr>
          <w:color w:val="0000FF"/>
          <w:sz w:val="24"/>
          <w:lang w:val="hr-HR"/>
        </w:rPr>
      </w:pPr>
      <w:r w:rsidRPr="00105491">
        <w:rPr>
          <w:rStyle w:val="FootnoteReference"/>
          <w:sz w:val="24"/>
          <w:lang w:val="hr-HR"/>
        </w:rPr>
        <w:footnoteRef/>
      </w:r>
      <w:r w:rsidR="00831304" w:rsidRPr="00105491">
        <w:rPr>
          <w:sz w:val="24"/>
          <w:lang w:val="hr-HR"/>
        </w:rPr>
        <w:t xml:space="preserve"> </w:t>
      </w:r>
      <w:r w:rsidR="00831304" w:rsidRPr="00105491">
        <w:rPr>
          <w:sz w:val="24"/>
          <w:lang w:val="hr-HR"/>
        </w:rPr>
        <w:tab/>
      </w:r>
      <w:hyperlink r:id="rId3" w:history="1">
        <w:r w:rsidRPr="00105491">
          <w:rPr>
            <w:rStyle w:val="Hyperlink"/>
            <w:color w:val="0000FF"/>
            <w:sz w:val="24"/>
            <w:u w:val="none"/>
            <w:lang w:val="hr-HR"/>
          </w:rPr>
          <w:t>SL L 229, 31.8.1999., str. 3.</w:t>
        </w:r>
      </w:hyperlink>
    </w:p>
  </w:footnote>
  <w:footnote w:id="5">
    <w:p w:rsidR="00927869" w:rsidRPr="00105491" w:rsidRDefault="00927869" w:rsidP="00831304">
      <w:pPr>
        <w:pStyle w:val="FootnoteText"/>
        <w:ind w:left="567" w:hanging="567"/>
        <w:rPr>
          <w:sz w:val="24"/>
          <w:lang w:val="hr-HR"/>
        </w:rPr>
      </w:pPr>
      <w:r w:rsidRPr="00105491">
        <w:rPr>
          <w:rStyle w:val="FootnoteReference"/>
          <w:sz w:val="24"/>
          <w:lang w:val="hr-HR"/>
        </w:rPr>
        <w:footnoteRef/>
      </w:r>
      <w:r w:rsidR="00831304" w:rsidRPr="00105491">
        <w:rPr>
          <w:sz w:val="24"/>
          <w:lang w:val="hr-HR"/>
        </w:rPr>
        <w:t xml:space="preserve"> </w:t>
      </w:r>
      <w:r w:rsidR="00831304" w:rsidRPr="00105491">
        <w:rPr>
          <w:sz w:val="24"/>
          <w:lang w:val="hr-HR"/>
        </w:rPr>
        <w:tab/>
      </w:r>
      <w:hyperlink r:id="rId4" w:history="1">
        <w:r w:rsidRPr="00105491">
          <w:rPr>
            <w:rStyle w:val="Hyperlink"/>
            <w:sz w:val="24"/>
            <w:u w:val="none"/>
            <w:lang w:val="hr-HR"/>
          </w:rPr>
          <w:t>SL C 404, 6.10.2021., str. 202.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13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13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13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7/2023"/>
    <w:docVar w:name="dvlangue" w:val="HR"/>
    <w:docVar w:name="dvnumam" w:val="0"/>
    <w:docVar w:name="dvpe" w:val="752.889"/>
    <w:docVar w:name="dvrapporteur" w:val="Izvjestitelj: "/>
    <w:docVar w:name="dvtitre" w:val="Rezolucija Europskog parlamenta od .... 2024. o strategiji EU-a za srednju Aziju(2023/2106(INI))"/>
  </w:docVars>
  <w:rsids>
    <w:rsidRoot w:val="00D62B4B"/>
    <w:rsid w:val="00002272"/>
    <w:rsid w:val="00064002"/>
    <w:rsid w:val="000677B9"/>
    <w:rsid w:val="000831BA"/>
    <w:rsid w:val="000A42CC"/>
    <w:rsid w:val="000E7DD9"/>
    <w:rsid w:val="000F6569"/>
    <w:rsid w:val="0010095E"/>
    <w:rsid w:val="00105491"/>
    <w:rsid w:val="00125B37"/>
    <w:rsid w:val="00187494"/>
    <w:rsid w:val="001F32AE"/>
    <w:rsid w:val="002767FF"/>
    <w:rsid w:val="002B18FE"/>
    <w:rsid w:val="002B5493"/>
    <w:rsid w:val="00343214"/>
    <w:rsid w:val="003578FF"/>
    <w:rsid w:val="00361C00"/>
    <w:rsid w:val="00395FA1"/>
    <w:rsid w:val="003E15D4"/>
    <w:rsid w:val="00411CCE"/>
    <w:rsid w:val="0041666E"/>
    <w:rsid w:val="00421060"/>
    <w:rsid w:val="00471C19"/>
    <w:rsid w:val="004867E3"/>
    <w:rsid w:val="00493407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304"/>
    <w:rsid w:val="00842779"/>
    <w:rsid w:val="00865F67"/>
    <w:rsid w:val="00881A7B"/>
    <w:rsid w:val="008840E5"/>
    <w:rsid w:val="00887B3E"/>
    <w:rsid w:val="008C2AC6"/>
    <w:rsid w:val="0092786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2B4B"/>
    <w:rsid w:val="00D76AD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35697"/>
  <w15:chartTrackingRefBased/>
  <w15:docId w15:val="{C4BF6564-8EB9-4BA1-8A1A-EDD844D7E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27869"/>
    <w:pPr>
      <w:spacing w:after="240"/>
      <w:ind w:left="567" w:hanging="567"/>
    </w:pPr>
  </w:style>
  <w:style w:type="paragraph" w:customStyle="1" w:styleId="EPComma">
    <w:name w:val="EPComma"/>
    <w:basedOn w:val="Normal"/>
    <w:rsid w:val="00927869"/>
    <w:pPr>
      <w:spacing w:before="480" w:after="240"/>
    </w:pPr>
  </w:style>
  <w:style w:type="character" w:customStyle="1" w:styleId="BoldItalic">
    <w:name w:val="BoldItalic"/>
    <w:uiPriority w:val="1"/>
    <w:rsid w:val="00927869"/>
    <w:rPr>
      <w:b/>
      <w:bCs w:val="0"/>
      <w:i/>
      <w:iCs w:val="0"/>
      <w:strike w:val="0"/>
      <w:dstrike w:val="0"/>
      <w:u w:val="none"/>
      <w:effect w:val="none"/>
    </w:rPr>
  </w:style>
  <w:style w:type="paragraph" w:customStyle="1" w:styleId="Normal12a24b">
    <w:name w:val="Normal12a24b"/>
    <w:basedOn w:val="Normal"/>
    <w:rsid w:val="00927869"/>
    <w:pPr>
      <w:snapToGrid w:val="0"/>
      <w:spacing w:before="360" w:after="240"/>
    </w:pPr>
    <w:rPr>
      <w:lang w:eastAsia="en-US"/>
    </w:rPr>
  </w:style>
  <w:style w:type="character" w:styleId="Hyperlink">
    <w:name w:val="Hyperlink"/>
    <w:basedOn w:val="DefaultParagraphFont"/>
    <w:unhideWhenUsed/>
    <w:rsid w:val="00927869"/>
    <w:rPr>
      <w:color w:val="0563C1" w:themeColor="hyperlink"/>
      <w:u w:val="single"/>
    </w:rPr>
  </w:style>
  <w:style w:type="paragraph" w:customStyle="1" w:styleId="NormalCenter12a">
    <w:name w:val="NormalCenter12a"/>
    <w:basedOn w:val="Normal"/>
    <w:rsid w:val="00927869"/>
    <w:pPr>
      <w:spacing w:after="240"/>
      <w:jc w:val="center"/>
    </w:pPr>
  </w:style>
  <w:style w:type="character" w:customStyle="1" w:styleId="NormalHanging12aChar">
    <w:name w:val="NormalHanging12a Char"/>
    <w:basedOn w:val="DefaultParagraphFont"/>
    <w:link w:val="NormalHanging12a"/>
    <w:rsid w:val="00927869"/>
    <w:rPr>
      <w:sz w:val="24"/>
      <w:lang w:val="hr-HR"/>
    </w:rPr>
  </w:style>
  <w:style w:type="character" w:styleId="FollowedHyperlink">
    <w:name w:val="FollowedHyperlink"/>
    <w:basedOn w:val="DefaultParagraphFont"/>
    <w:rsid w:val="00D76AD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105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5491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HR/TXT/HTML/?uri=CELEX:21999A0831(01)" TargetMode="External"/><Relationship Id="rId2" Type="http://schemas.openxmlformats.org/officeDocument/2006/relationships/hyperlink" Target="https://eur-lex.europa.eu/legal-content/HR/TXT/?uri=CELEX:22009A1229(01)" TargetMode="External"/><Relationship Id="rId1" Type="http://schemas.openxmlformats.org/officeDocument/2006/relationships/hyperlink" Target="https://eur-lex.europa.eu/legal-content/HR/TXT/HTML/?uri=CELEX:21999A0728(03)" TargetMode="External"/><Relationship Id="rId4" Type="http://schemas.openxmlformats.org/officeDocument/2006/relationships/hyperlink" Target="https://eur-lex.europa.eu/legal-content/HR/TXT/?uri=OJ:C:2021:404:T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88A9A-BF7C-4674-A066-32107029D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5274</Words>
  <Characters>32558</Characters>
  <Application>Microsoft Office Word</Application>
  <DocSecurity>0</DocSecurity>
  <Lines>271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2024-01-17T13:25:00Z</dcterms:created>
  <dcterms:modified xsi:type="dcterms:W3CDTF">2024-01-17T13:25:00Z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A9-0407/2023</vt:lpwstr>
  </property>
  <property fmtid="{D5CDD505-2E9C-101B-9397-08002B2CF9AE}" pid="4" name="&lt;Type&gt;">
    <vt:lpwstr>RR</vt:lpwstr>
  </property>
</Properties>
</file>