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7795" w:rsidTr="0010095E">
        <w:trPr>
          <w:trHeight w:hRule="exact" w:val="1418"/>
        </w:trPr>
        <w:tc>
          <w:tcPr>
            <w:tcW w:w="6804" w:type="dxa"/>
            <w:shd w:val="clear" w:color="auto" w:fill="auto"/>
            <w:vAlign w:val="center"/>
          </w:tcPr>
          <w:p w:rsidR="00751A4A" w:rsidRPr="00837795" w:rsidRDefault="001330AD" w:rsidP="0010095E">
            <w:pPr>
              <w:pStyle w:val="EPName"/>
            </w:pPr>
            <w:bookmarkStart w:id="0" w:name="_GoBack"/>
            <w:bookmarkEnd w:id="0"/>
            <w:r w:rsidRPr="00837795">
              <w:t>Eiropas Parlaments</w:t>
            </w:r>
          </w:p>
          <w:p w:rsidR="00751A4A" w:rsidRPr="00837795" w:rsidRDefault="00817416" w:rsidP="00756632">
            <w:pPr>
              <w:pStyle w:val="EPTerm"/>
              <w:rPr>
                <w:rStyle w:val="HideTWBExt"/>
                <w:noProof w:val="0"/>
                <w:vanish w:val="0"/>
                <w:color w:val="auto"/>
              </w:rPr>
            </w:pPr>
            <w:r w:rsidRPr="00837795">
              <w:t>2019-2024</w:t>
            </w:r>
          </w:p>
        </w:tc>
        <w:tc>
          <w:tcPr>
            <w:tcW w:w="2268" w:type="dxa"/>
            <w:shd w:val="clear" w:color="auto" w:fill="auto"/>
          </w:tcPr>
          <w:p w:rsidR="00751A4A" w:rsidRPr="00837795" w:rsidRDefault="00187494" w:rsidP="0010095E">
            <w:pPr>
              <w:pStyle w:val="EPLogo"/>
            </w:pPr>
            <w:r w:rsidRPr="008377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7795" w:rsidRDefault="00D058B8" w:rsidP="004C5D52">
      <w:pPr>
        <w:pStyle w:val="LineTop"/>
      </w:pPr>
    </w:p>
    <w:p w:rsidR="00680577" w:rsidRPr="00837795" w:rsidRDefault="001330AD" w:rsidP="00680577">
      <w:pPr>
        <w:pStyle w:val="EPBodyTA1"/>
      </w:pPr>
      <w:r w:rsidRPr="00837795">
        <w:t>PIEŅEMTIE TEKSTI</w:t>
      </w:r>
    </w:p>
    <w:p w:rsidR="00D058B8" w:rsidRPr="00837795" w:rsidRDefault="00D058B8" w:rsidP="00D058B8">
      <w:pPr>
        <w:pStyle w:val="LineBottom"/>
      </w:pPr>
    </w:p>
    <w:p w:rsidR="001330AD" w:rsidRPr="00837795" w:rsidRDefault="001330AD" w:rsidP="001330AD">
      <w:pPr>
        <w:pStyle w:val="ATHeading1"/>
      </w:pPr>
      <w:bookmarkStart w:id="1" w:name="TANumber"/>
      <w:r w:rsidRPr="00837795">
        <w:t>P9_TA(2024)00</w:t>
      </w:r>
      <w:bookmarkEnd w:id="1"/>
      <w:r w:rsidR="00837795" w:rsidRPr="00837795">
        <w:t>27</w:t>
      </w:r>
    </w:p>
    <w:p w:rsidR="001330AD" w:rsidRPr="00837795" w:rsidRDefault="001330AD" w:rsidP="001330AD">
      <w:pPr>
        <w:pStyle w:val="ATHeading2"/>
      </w:pPr>
      <w:bookmarkStart w:id="2" w:name="title"/>
      <w:r w:rsidRPr="00837795">
        <w:t>ES stratēģija Vidusāzijai</w:t>
      </w:r>
      <w:bookmarkEnd w:id="2"/>
    </w:p>
    <w:p w:rsidR="001330AD" w:rsidRPr="00837795" w:rsidRDefault="001330AD" w:rsidP="001330AD">
      <w:pPr>
        <w:rPr>
          <w:i/>
          <w:vanish/>
        </w:rPr>
      </w:pPr>
      <w:r w:rsidRPr="00837795">
        <w:rPr>
          <w:i/>
        </w:rPr>
        <w:fldChar w:fldCharType="begin"/>
      </w:r>
      <w:r w:rsidRPr="00837795">
        <w:rPr>
          <w:i/>
        </w:rPr>
        <w:instrText xml:space="preserve"> TC"(</w:instrText>
      </w:r>
      <w:bookmarkStart w:id="3" w:name="DocNumber"/>
      <w:r w:rsidRPr="00837795">
        <w:rPr>
          <w:i/>
        </w:rPr>
        <w:instrText>A9-0407/2023</w:instrText>
      </w:r>
      <w:bookmarkEnd w:id="3"/>
      <w:r w:rsidRPr="00837795">
        <w:rPr>
          <w:i/>
        </w:rPr>
        <w:instrText xml:space="preserve"> - Referents: </w:instrText>
      </w:r>
      <w:proofErr w:type="spellStart"/>
      <w:r w:rsidRPr="00837795">
        <w:rPr>
          <w:i/>
        </w:rPr>
        <w:instrText>Karsten</w:instrText>
      </w:r>
      <w:proofErr w:type="spellEnd"/>
      <w:r w:rsidRPr="00837795">
        <w:rPr>
          <w:i/>
        </w:rPr>
        <w:instrText xml:space="preserve"> </w:instrText>
      </w:r>
      <w:proofErr w:type="spellStart"/>
      <w:r w:rsidRPr="00837795">
        <w:rPr>
          <w:i/>
        </w:rPr>
        <w:instrText>Lucke</w:instrText>
      </w:r>
      <w:proofErr w:type="spellEnd"/>
      <w:r w:rsidRPr="00837795">
        <w:rPr>
          <w:i/>
        </w:rPr>
        <w:instrText xml:space="preserve">)"\l3 \n&gt; \* MERGEFORMAT </w:instrText>
      </w:r>
      <w:r w:rsidRPr="00837795">
        <w:rPr>
          <w:i/>
        </w:rPr>
        <w:fldChar w:fldCharType="end"/>
      </w:r>
    </w:p>
    <w:p w:rsidR="001330AD" w:rsidRPr="00837795" w:rsidRDefault="001330AD" w:rsidP="001330AD">
      <w:pPr>
        <w:rPr>
          <w:vanish/>
        </w:rPr>
      </w:pPr>
      <w:bookmarkStart w:id="4" w:name="Commission"/>
      <w:r w:rsidRPr="00837795">
        <w:rPr>
          <w:vanish/>
        </w:rPr>
        <w:t>Ārlietu komiteja</w:t>
      </w:r>
      <w:bookmarkEnd w:id="4"/>
    </w:p>
    <w:p w:rsidR="001330AD" w:rsidRPr="00837795" w:rsidRDefault="001330AD" w:rsidP="001330AD">
      <w:pPr>
        <w:rPr>
          <w:vanish/>
        </w:rPr>
      </w:pPr>
      <w:bookmarkStart w:id="5" w:name="PE"/>
      <w:r w:rsidRPr="00837795">
        <w:rPr>
          <w:vanish/>
        </w:rPr>
        <w:t>PE752.889</w:t>
      </w:r>
      <w:bookmarkEnd w:id="5"/>
    </w:p>
    <w:p w:rsidR="00E26C35" w:rsidRPr="00837795" w:rsidRDefault="001330AD" w:rsidP="00FC229F">
      <w:pPr>
        <w:pStyle w:val="ATHeading3"/>
      </w:pPr>
      <w:bookmarkStart w:id="6" w:name="Sujet"/>
      <w:r w:rsidRPr="00837795">
        <w:t xml:space="preserve">Eiropas Parlamenta 2024. gada </w:t>
      </w:r>
      <w:r w:rsidR="00FC229F" w:rsidRPr="00837795">
        <w:t>17</w:t>
      </w:r>
      <w:r w:rsidRPr="00837795">
        <w:t xml:space="preserve">. </w:t>
      </w:r>
      <w:r w:rsidR="00FC229F" w:rsidRPr="00837795">
        <w:t>janvāra</w:t>
      </w:r>
      <w:r w:rsidRPr="00837795">
        <w:t xml:space="preserve"> rezolūcija par ES stratēģiju Vidusāzijai</w:t>
      </w:r>
      <w:bookmarkEnd w:id="6"/>
      <w:r w:rsidRPr="00837795">
        <w:t xml:space="preserve"> </w:t>
      </w:r>
      <w:bookmarkStart w:id="7" w:name="References"/>
      <w:r w:rsidRPr="00837795">
        <w:t>(2023/2106(INI))</w:t>
      </w:r>
      <w:bookmarkStart w:id="8" w:name="TextBodyBegin"/>
      <w:bookmarkEnd w:id="7"/>
      <w:bookmarkEnd w:id="8"/>
    </w:p>
    <w:p w:rsidR="00E26C35" w:rsidRPr="00837795" w:rsidRDefault="00E26C35" w:rsidP="00E26C35">
      <w:pPr>
        <w:pStyle w:val="EPComma"/>
      </w:pPr>
      <w:r w:rsidRPr="00837795">
        <w:rPr>
          <w:i/>
        </w:rPr>
        <w:t>Eiropas Parlaments</w:t>
      </w:r>
      <w:r w:rsidRPr="00837795">
        <w:t>,</w:t>
      </w:r>
    </w:p>
    <w:p w:rsidR="00E26C35" w:rsidRPr="00837795" w:rsidRDefault="00E26C35" w:rsidP="00E26C35">
      <w:pPr>
        <w:pStyle w:val="NormalHanging12a"/>
      </w:pPr>
      <w:r w:rsidRPr="00837795">
        <w:t>–</w:t>
      </w:r>
      <w:r w:rsidRPr="00837795">
        <w:tab/>
        <w:t>ņemot vērā Komisijas un Savienības Augstās pārstāves ārlietās un drošības politikas jautājumos 2019. gada 15. maija kopīgo paziņojumu “ES un Vidusāzija: jaunas iespējas ciešākai partnerībai” (JOIN(2019)0009),</w:t>
      </w:r>
    </w:p>
    <w:p w:rsidR="00E26C35" w:rsidRPr="00837795" w:rsidRDefault="00E26C35" w:rsidP="00E26C35">
      <w:pPr>
        <w:pStyle w:val="NormalHanging12a"/>
      </w:pPr>
      <w:r w:rsidRPr="00837795">
        <w:t>–</w:t>
      </w:r>
      <w:r w:rsidRPr="00837795">
        <w:tab/>
        <w:t>ņemot vērā Padomes 2019. gada 17. jūnija secinājumus par jauno ES stratēģiju Vidusāzijai,</w:t>
      </w:r>
    </w:p>
    <w:p w:rsidR="00E26C35" w:rsidRPr="00837795" w:rsidRDefault="00E26C35" w:rsidP="00E26C35">
      <w:pPr>
        <w:pStyle w:val="NormalHanging12a"/>
      </w:pPr>
      <w:r w:rsidRPr="00837795">
        <w:t>–</w:t>
      </w:r>
      <w:r w:rsidRPr="00837795">
        <w:tab/>
        <w:t>ņemot vērā Komisijas un Savienības Augstās pārstāves ārlietās un drošības politikas jautājumos 2018. gada 19. septembra kopīgo paziņojumu “Eiropas un Āzijas savienojamība — ES stratēģijas pamatelementi” (JOIN(2018)0031),</w:t>
      </w:r>
    </w:p>
    <w:p w:rsidR="00E26C35" w:rsidRPr="00837795" w:rsidRDefault="00E26C35" w:rsidP="00E26C35">
      <w:pPr>
        <w:pStyle w:val="NormalHanging12a"/>
      </w:pPr>
      <w:r w:rsidRPr="00837795">
        <w:t>–</w:t>
      </w:r>
      <w:r w:rsidRPr="00837795">
        <w:tab/>
        <w:t>ņemot vērā Komisijas un Savienības Augstā pārstāvja ārlietās un drošības politikas jautājumos 2021. gada 1. decembra kopīgo paziņojumu “</w:t>
      </w:r>
      <w:proofErr w:type="spellStart"/>
      <w:r w:rsidRPr="00837795">
        <w:rPr>
          <w:i/>
        </w:rPr>
        <w:t>Global</w:t>
      </w:r>
      <w:proofErr w:type="spellEnd"/>
      <w:r w:rsidRPr="00837795">
        <w:rPr>
          <w:i/>
        </w:rPr>
        <w:t xml:space="preserve"> </w:t>
      </w:r>
      <w:proofErr w:type="spellStart"/>
      <w:r w:rsidRPr="00837795">
        <w:rPr>
          <w:i/>
        </w:rPr>
        <w:t>Gateway</w:t>
      </w:r>
      <w:proofErr w:type="spellEnd"/>
      <w:r w:rsidRPr="00837795">
        <w:t>” (JOIN(2021)0030),</w:t>
      </w:r>
    </w:p>
    <w:p w:rsidR="00E26C35" w:rsidRPr="00837795" w:rsidRDefault="00E26C35" w:rsidP="00E26C35">
      <w:pPr>
        <w:pStyle w:val="NormalHanging12a"/>
      </w:pPr>
      <w:r w:rsidRPr="00837795">
        <w:t>–</w:t>
      </w:r>
      <w:r w:rsidRPr="00837795">
        <w:tab/>
        <w:t>ņemot vērā rezultātus, kas gūti ES un Vidusāzijas ārlietu ministru 18. sanāksmē, kura notika 2022. gada 17. novembrī Samarkandā un kurā galvenā uzmanība tika pievērsta kopīgu problēmu risinājumu meklēšanai,</w:t>
      </w:r>
    </w:p>
    <w:p w:rsidR="00E26C35" w:rsidRPr="00837795" w:rsidRDefault="00E26C35" w:rsidP="00E26C35">
      <w:pPr>
        <w:pStyle w:val="NormalHanging12a"/>
      </w:pPr>
      <w:r w:rsidRPr="00837795">
        <w:t>–</w:t>
      </w:r>
      <w:r w:rsidRPr="00837795">
        <w:tab/>
        <w:t xml:space="preserve">ņemot vērā Vidusāzijas valstu vadītāju un Eiropadomes priekšsēdētāja kopīgo paziņojumu presei pēc otrās reģionālās augsta līmeņa sanāksmes, kas notika 2023. gada 2. jūnijā </w:t>
      </w:r>
      <w:proofErr w:type="spellStart"/>
      <w:r w:rsidRPr="00837795">
        <w:t>Čolponatā</w:t>
      </w:r>
      <w:proofErr w:type="spellEnd"/>
      <w:r w:rsidRPr="00837795">
        <w:t>,</w:t>
      </w:r>
    </w:p>
    <w:p w:rsidR="00E26C35" w:rsidRPr="00837795" w:rsidRDefault="00E26C35" w:rsidP="00E26C35">
      <w:pPr>
        <w:pStyle w:val="NormalHanging12a"/>
      </w:pPr>
      <w:r w:rsidRPr="00837795">
        <w:t>–</w:t>
      </w:r>
      <w:r w:rsidRPr="00837795">
        <w:tab/>
        <w:t>ņemot vērā Padziļināto partnerības un sadarbības nolīgumu starp Eiropas Savienību un tās dalībvalstīm, no vienas puses, un Kazahstānas Republiku, no otras puses</w:t>
      </w:r>
      <w:r w:rsidRPr="00837795">
        <w:rPr>
          <w:rStyle w:val="FootnoteReference"/>
        </w:rPr>
        <w:footnoteReference w:id="1"/>
      </w:r>
      <w:r w:rsidRPr="00837795">
        <w:t>,</w:t>
      </w:r>
    </w:p>
    <w:p w:rsidR="00E26C35" w:rsidRPr="00837795" w:rsidRDefault="00E26C35" w:rsidP="00E26C35">
      <w:pPr>
        <w:pStyle w:val="NormalHanging12a"/>
      </w:pPr>
      <w:r w:rsidRPr="00837795">
        <w:t>–</w:t>
      </w:r>
      <w:r w:rsidRPr="00837795">
        <w:tab/>
        <w:t xml:space="preserve">ņemot vērā Partnerības un Sadarbības Līgumu par partnerības izveidi starp Eiropas Kopienām un to dalībvalstīm, no vienas puses, un Kirgizstānas Republiku, no otras </w:t>
      </w:r>
      <w:r w:rsidRPr="00837795">
        <w:lastRenderedPageBreak/>
        <w:t>puses</w:t>
      </w:r>
      <w:r w:rsidRPr="00837795">
        <w:rPr>
          <w:rStyle w:val="FootnoteReference"/>
        </w:rPr>
        <w:footnoteReference w:id="2"/>
      </w:r>
      <w:r w:rsidRPr="00837795">
        <w:t>,</w:t>
      </w:r>
    </w:p>
    <w:p w:rsidR="00E26C35" w:rsidRPr="00837795" w:rsidRDefault="00E26C35" w:rsidP="00E26C35">
      <w:pPr>
        <w:pStyle w:val="NormalHanging12a"/>
      </w:pPr>
      <w:r w:rsidRPr="00837795">
        <w:t>–</w:t>
      </w:r>
      <w:r w:rsidRPr="00837795">
        <w:tab/>
        <w:t>ņemot vērā Komisijas 2022. gada 13. jūnija priekšlikumu Padomes lēmumam par to, lai Eiropas Savienības vārdā noslēgtu Padziļinātas partnerības un sadarbības nolīgumu starp Eiropas Savienību, no vienas puses, un Kirgizstānas Republiku, no otras puses (COM(2022)0277),</w:t>
      </w:r>
    </w:p>
    <w:p w:rsidR="00E26C35" w:rsidRPr="00837795" w:rsidRDefault="00E26C35" w:rsidP="00E26C35">
      <w:pPr>
        <w:pStyle w:val="NormalHanging12a"/>
      </w:pPr>
      <w:r w:rsidRPr="00837795">
        <w:t>–</w:t>
      </w:r>
      <w:r w:rsidRPr="00837795">
        <w:tab/>
        <w:t>ņemot vērā Partnerības un sadarbības nolīgumu, kas izveido partnerību starp Eiropas Kopienām un to dalībvalstīm, no vienas puses, un Tadžikistānas Republiku, no otras puses</w:t>
      </w:r>
      <w:r w:rsidRPr="00837795">
        <w:rPr>
          <w:rStyle w:val="FootnoteReference"/>
        </w:rPr>
        <w:footnoteReference w:id="3"/>
      </w:r>
      <w:r w:rsidRPr="00837795">
        <w:t>,</w:t>
      </w:r>
    </w:p>
    <w:p w:rsidR="00E26C35" w:rsidRPr="00837795" w:rsidRDefault="00E26C35" w:rsidP="00E26C35">
      <w:pPr>
        <w:pStyle w:val="NormalHanging12a"/>
      </w:pPr>
      <w:r w:rsidRPr="00837795">
        <w:t>–</w:t>
      </w:r>
      <w:r w:rsidRPr="00837795">
        <w:tab/>
        <w:t>ņemot vērā Partnerības un sadarbības nolīgumu par partnerības izveidi starp Eiropas Kopienām un to dalībvalstīm, no vienas puses, un Uzbekistānas Republiku, no otras puses</w:t>
      </w:r>
      <w:r w:rsidRPr="00837795">
        <w:rPr>
          <w:rStyle w:val="FootnoteReference"/>
        </w:rPr>
        <w:footnoteReference w:id="4"/>
      </w:r>
      <w:r w:rsidRPr="00837795">
        <w:t>,</w:t>
      </w:r>
    </w:p>
    <w:p w:rsidR="00E26C35" w:rsidRPr="00837795" w:rsidRDefault="00E26C35" w:rsidP="00E26C35">
      <w:pPr>
        <w:pStyle w:val="NormalHanging12a"/>
      </w:pPr>
      <w:r w:rsidRPr="00837795">
        <w:t>–</w:t>
      </w:r>
      <w:r w:rsidRPr="00837795">
        <w:tab/>
        <w:t>ņemot vērā rezultātus, kas gūti ES un Vidusāzijas savienojamības konferencē, kura notika 2022. gada 18. novembrī, otrajā ES un Vidusāzijas Ekonomikas forumā, kurš notika 2023. gada 18.–19. maijā, ceturtajā ES un Vidusāzijas pilsoniskās sabiedrības forumā, kurš notika 2023. gada 10. martā, un septītajā ES un Vidusāzijas augsta līmeņa konferencē par vidi un ūdens resursiem, kurš notika 2023. gada 23.–24. februārī,</w:t>
      </w:r>
    </w:p>
    <w:p w:rsidR="00E26C35" w:rsidRPr="00837795" w:rsidRDefault="00E26C35" w:rsidP="00E26C35">
      <w:pPr>
        <w:pStyle w:val="NormalHanging12a"/>
      </w:pPr>
      <w:r w:rsidRPr="00837795">
        <w:t>–</w:t>
      </w:r>
      <w:r w:rsidRPr="00837795">
        <w:tab/>
        <w:t>ņemot vērā ES finansēto Eiropas Rekonstrukcijas un attīstības bankas veikto pētījumu “Ilgtspējīgi transporta savienojumi starp Eiropu un Vidusāziju”, kurš tika publicēts 2023. gada 30. jūnijā,</w:t>
      </w:r>
    </w:p>
    <w:p w:rsidR="00E26C35" w:rsidRPr="00837795" w:rsidRDefault="00E26C35" w:rsidP="00E26C35">
      <w:pPr>
        <w:pStyle w:val="NormalHanging12a"/>
      </w:pPr>
      <w:r w:rsidRPr="00837795">
        <w:t>–</w:t>
      </w:r>
      <w:r w:rsidRPr="00837795">
        <w:tab/>
        <w:t xml:space="preserve">ņemot vērā 2022. gada 7. novembrī parakstīto ES un Kazahstānas saprašanās memorandu par stratēģiskas partnerības izveidi izejvielu, akumulatoru un </w:t>
      </w:r>
      <w:proofErr w:type="spellStart"/>
      <w:r w:rsidRPr="00837795">
        <w:t>atjaunīgā</w:t>
      </w:r>
      <w:proofErr w:type="spellEnd"/>
      <w:r w:rsidRPr="00837795">
        <w:t xml:space="preserve"> ūdeņraža jomā,</w:t>
      </w:r>
    </w:p>
    <w:p w:rsidR="00E26C35" w:rsidRPr="00837795" w:rsidRDefault="00E26C35" w:rsidP="00E26C35">
      <w:pPr>
        <w:pStyle w:val="NormalHanging12a"/>
      </w:pPr>
      <w:r w:rsidRPr="00837795">
        <w:t>–</w:t>
      </w:r>
      <w:r w:rsidRPr="00837795">
        <w:tab/>
        <w:t>ņemot vērā cilvēktiesību dialogu ar Vidusāzijas valstīm rezultātus,</w:t>
      </w:r>
    </w:p>
    <w:p w:rsidR="00E26C35" w:rsidRPr="00837795" w:rsidRDefault="00E26C35" w:rsidP="00E26C35">
      <w:pPr>
        <w:pStyle w:val="NormalHanging12a"/>
      </w:pPr>
      <w:r w:rsidRPr="00837795">
        <w:t>–</w:t>
      </w:r>
      <w:r w:rsidRPr="00837795">
        <w:tab/>
        <w:t>ņemot vērā kopīgo ceļvedi attiecību padziļināšanai starp ES un Vidusāziju, kas tika apstiprināts 19. ES un Vidusāzijas ministru sanāksmē, kura notika 2023. gada 23. oktobrī,</w:t>
      </w:r>
    </w:p>
    <w:p w:rsidR="00E26C35" w:rsidRPr="00837795" w:rsidRDefault="00E26C35" w:rsidP="00E26C35">
      <w:pPr>
        <w:pStyle w:val="NormalHanging12a"/>
      </w:pPr>
      <w:r w:rsidRPr="00837795">
        <w:t>–</w:t>
      </w:r>
      <w:r w:rsidRPr="00837795">
        <w:tab/>
        <w:t>ņemot vērā Vidusāzijas valstu vadītāju un Vācijas federālā kanclera kopīgo paziņojumu pēc 2023. gada 29. septembrī Berlīnē notikušā samita,</w:t>
      </w:r>
    </w:p>
    <w:p w:rsidR="00E26C35" w:rsidRPr="00837795" w:rsidRDefault="00E26C35" w:rsidP="00E26C35">
      <w:pPr>
        <w:pStyle w:val="NormalHanging12a"/>
      </w:pPr>
      <w:r w:rsidRPr="00837795">
        <w:t>–</w:t>
      </w:r>
      <w:r w:rsidRPr="00837795">
        <w:tab/>
        <w:t>ņemot vērā iepriekšējās rezolūcijas par Kazahstānu, Kirgizstānu, Tadžikistānu, Turkmenistānu un Uzbekistānu,</w:t>
      </w:r>
    </w:p>
    <w:p w:rsidR="00E26C35" w:rsidRPr="00837795" w:rsidRDefault="00E26C35" w:rsidP="00E26C35">
      <w:pPr>
        <w:pStyle w:val="NormalHanging12a"/>
      </w:pPr>
      <w:r w:rsidRPr="00837795">
        <w:t>–</w:t>
      </w:r>
      <w:r w:rsidRPr="00837795">
        <w:tab/>
        <w:t>ņemot vērā ES Dzimumu līdztiesības rīcības plānu III 2021.–2025. gadam,</w:t>
      </w:r>
    </w:p>
    <w:p w:rsidR="00E26C35" w:rsidRPr="00837795" w:rsidRDefault="00E26C35" w:rsidP="00E26C35">
      <w:pPr>
        <w:pStyle w:val="NormalHanging12a"/>
        <w:rPr>
          <w:b/>
          <w:i/>
        </w:rPr>
      </w:pPr>
      <w:r w:rsidRPr="00837795">
        <w:rPr>
          <w:b/>
          <w:i/>
        </w:rPr>
        <w:t>–</w:t>
      </w:r>
      <w:r w:rsidRPr="00837795">
        <w:rPr>
          <w:b/>
          <w:i/>
        </w:rPr>
        <w:tab/>
      </w:r>
      <w:r w:rsidRPr="00837795">
        <w:t>ņemot vērā 2020. gada 23. oktobra rezolūciju par dzimumu līdztiesību ES ārpolitikā un drošības politikā</w:t>
      </w:r>
      <w:r w:rsidRPr="00837795">
        <w:rPr>
          <w:vertAlign w:val="superscript"/>
        </w:rPr>
        <w:footnoteReference w:id="5"/>
      </w:r>
      <w:r w:rsidRPr="00837795">
        <w:t>,</w:t>
      </w:r>
    </w:p>
    <w:p w:rsidR="00E26C35" w:rsidRPr="00837795" w:rsidRDefault="00E26C35" w:rsidP="00E26C35">
      <w:pPr>
        <w:pStyle w:val="NormalHanging12a"/>
      </w:pPr>
      <w:r w:rsidRPr="00837795">
        <w:lastRenderedPageBreak/>
        <w:t>–</w:t>
      </w:r>
      <w:r w:rsidRPr="00837795">
        <w:tab/>
        <w:t>ņemot vērā Reglamenta 54. pantu,</w:t>
      </w:r>
    </w:p>
    <w:p w:rsidR="00E26C35" w:rsidRPr="00837795" w:rsidRDefault="00E26C35" w:rsidP="00E26C35">
      <w:pPr>
        <w:pStyle w:val="NormalHanging12a"/>
      </w:pPr>
      <w:r w:rsidRPr="00837795">
        <w:t>–</w:t>
      </w:r>
      <w:r w:rsidRPr="00837795">
        <w:tab/>
        <w:t>ņemot vērā Ārlietu komitejas ziņojumu (A9-0407/2023),</w:t>
      </w:r>
    </w:p>
    <w:p w:rsidR="00E26C35" w:rsidRPr="00837795" w:rsidRDefault="00E26C35" w:rsidP="00E26C35">
      <w:pPr>
        <w:pStyle w:val="NormalHanging12a"/>
      </w:pPr>
      <w:r w:rsidRPr="00837795">
        <w:t>A.</w:t>
      </w:r>
      <w:r w:rsidRPr="00837795">
        <w:tab/>
        <w:t xml:space="preserve">tā kā kopš ES stratēģijas Vidusāzijai pieņemšanas 2019. gadā šo reģionu ir ietekmējuši nozīmīgi ārēji faktori, piemēram, Krievijas nelikumīgais agresijas karš pret Ukrainu, talibu nākšana pie varas Afganistānā un Ķīnas arvien uzstājīgākā ārpolitika, kā arī iekšējā nestabilitāte, proti, vardarbīgie nemieri Kazahstānā 2022. gada janvārī, vardarbīgas represijas pēc </w:t>
      </w:r>
      <w:proofErr w:type="spellStart"/>
      <w:r w:rsidRPr="00837795">
        <w:t>pamiriešu</w:t>
      </w:r>
      <w:proofErr w:type="spellEnd"/>
      <w:r w:rsidRPr="00837795">
        <w:t xml:space="preserve"> protestiem, kas bija notikuši Tadžikistānas Kalnu </w:t>
      </w:r>
      <w:proofErr w:type="spellStart"/>
      <w:r w:rsidRPr="00837795">
        <w:t>Badahšānas</w:t>
      </w:r>
      <w:proofErr w:type="spellEnd"/>
      <w:r w:rsidRPr="00837795">
        <w:t xml:space="preserve"> autonomajā apgabalā 2021. gada novembrī un 2022. gada maijā un Uzbekistānas </w:t>
      </w:r>
      <w:proofErr w:type="spellStart"/>
      <w:r w:rsidRPr="00837795">
        <w:t>Karakalpakstānas</w:t>
      </w:r>
      <w:proofErr w:type="spellEnd"/>
      <w:r w:rsidRPr="00837795">
        <w:t xml:space="preserve"> Republikā 2022. gada jūlijā, kā arī atkārtotas sadursmes pie Kirgizstānas un Tadžikistānas robežas;</w:t>
      </w:r>
    </w:p>
    <w:p w:rsidR="00E26C35" w:rsidRPr="00837795" w:rsidRDefault="00E26C35" w:rsidP="00E26C35">
      <w:pPr>
        <w:pStyle w:val="NormalHanging12a"/>
      </w:pPr>
      <w:r w:rsidRPr="00837795">
        <w:t>B.</w:t>
      </w:r>
      <w:r w:rsidRPr="00837795">
        <w:tab/>
        <w:t xml:space="preserve">tā kā Vidusāzija ir Eiropas Savienībai stratēģiski nozīmīgs reģions drošības, savienojamības, enerģijas un resursu diversifikācijas, konfliktu risināšanas un daudzpusējas, uz noteikumiem balstītas starptautiskās kārtības aizstāvības ziņā, ko apdraud Krievijas uzbrukums mūsu vērtībām, globālās pārtikas krīzes saasināšana, agresija un zvērības, dezinformācijas izplatīšana, korupcijas </w:t>
      </w:r>
      <w:proofErr w:type="spellStart"/>
      <w:r w:rsidRPr="00837795">
        <w:t>instrumentalizācija</w:t>
      </w:r>
      <w:proofErr w:type="spellEnd"/>
      <w:r w:rsidRPr="00837795">
        <w:t xml:space="preserve"> un iejaukšanās vēlēšanās;</w:t>
      </w:r>
    </w:p>
    <w:p w:rsidR="00E26C35" w:rsidRPr="00837795" w:rsidRDefault="00E26C35" w:rsidP="00E26C35">
      <w:pPr>
        <w:pStyle w:val="NormalHanging12a"/>
      </w:pPr>
      <w:r w:rsidRPr="00837795">
        <w:t>C.</w:t>
      </w:r>
      <w:r w:rsidRPr="00837795">
        <w:tab/>
        <w:t>tā kā neviena Vidusāzijas valsts neatbalsta Krievijas iebrukumu Ukrainā un neatzīst Krievijas anektētos Ukrainas reģionus par Krievijas Federācijas daļu;</w:t>
      </w:r>
    </w:p>
    <w:p w:rsidR="00E26C35" w:rsidRPr="00837795" w:rsidRDefault="00E26C35" w:rsidP="00E26C35">
      <w:pPr>
        <w:pStyle w:val="NormalHanging12a"/>
      </w:pPr>
      <w:r w:rsidRPr="00837795">
        <w:t>D.</w:t>
      </w:r>
      <w:r w:rsidRPr="00837795">
        <w:tab/>
        <w:t>tā kā 2023. gada 28. martā ES īpašais sūtnis sankciju jautājumos aicināja reģiona valstis censties nesniegt palīdzību Maskavas mēģinājumiem izvairīties no sankcijām, kas Krievijai piemērotas pret Ukrainu vērstā agresijas kara dēļ;</w:t>
      </w:r>
    </w:p>
    <w:p w:rsidR="00E26C35" w:rsidRPr="00837795" w:rsidRDefault="00E26C35" w:rsidP="00E26C35">
      <w:pPr>
        <w:pStyle w:val="NormalHanging12a"/>
      </w:pPr>
      <w:r w:rsidRPr="00837795">
        <w:t>E.</w:t>
      </w:r>
      <w:r w:rsidRPr="00837795">
        <w:tab/>
        <w:t>tā kā Krievijas amatpersonas un propagandisti turpina izmantot agresīvu retoriku pret dažām Vidusāzijas valstīm, jo īpaši pret Kazahstānu, apšaubot tās teritoriālo integritāti un nacionālo identitāti;</w:t>
      </w:r>
    </w:p>
    <w:p w:rsidR="00E26C35" w:rsidRPr="00837795" w:rsidRDefault="00E26C35" w:rsidP="00E26C35">
      <w:pPr>
        <w:pStyle w:val="NormalHanging12a"/>
      </w:pPr>
      <w:r w:rsidRPr="00837795">
        <w:t>F.</w:t>
      </w:r>
      <w:r w:rsidRPr="00837795">
        <w:tab/>
        <w:t>tā kā, ņemot vērā tādus apstākļus kā Krievijas izolācija, kas radusies sakarā ar tās agresijas karu pret Ukrainu, tirdzniecības maršrutu stiprināšana caur Vidusāziju, apejot Krieviju, plānotā ES paplašināšanās Austrumeiropas virzienā un Ķīnas pieaugošā ietekme reģionā, ir nepieciešams pilnībā pārskatīt ES stratēģiju Vidusāzijai un nodrošināt aktīvāku demokrātiskās ES klātbūtni reģionā kā alternatīvu jau esošajiem autokrātiskajiem dalībniekiem;</w:t>
      </w:r>
    </w:p>
    <w:p w:rsidR="00E26C35" w:rsidRPr="00837795" w:rsidRDefault="00E26C35" w:rsidP="00E26C35">
      <w:pPr>
        <w:pStyle w:val="NormalHanging12a"/>
      </w:pPr>
      <w:r w:rsidRPr="00837795">
        <w:t>G.</w:t>
      </w:r>
      <w:r w:rsidRPr="00837795">
        <w:tab/>
        <w:t>tā kā ir jānodrošina Eiropas un Āzijas savienojamība, izvairoties no Krievijas teritorijas šķērsošanas; tā kā Eiropas Savienība ir ļoti ieinteresēta efektīvu tirdzniecības un enerģētikas koridoru izvēršanā starp Eiropu un Āziju, kā to apliecināja ES un Vidusāzijas savienojamības konference, kas notika Samarkandā 2022. gada 18. novembrī;</w:t>
      </w:r>
    </w:p>
    <w:p w:rsidR="00E26C35" w:rsidRPr="00837795" w:rsidRDefault="00E26C35" w:rsidP="00E26C35">
      <w:pPr>
        <w:pStyle w:val="NormalHanging12a"/>
      </w:pPr>
      <w:r w:rsidRPr="00837795">
        <w:t>H.</w:t>
      </w:r>
      <w:r w:rsidRPr="00837795">
        <w:tab/>
        <w:t xml:space="preserve">tā kā visas piecas Vidusāzijas valstis ir ratificējušas Parīzes nolīgumu; tā kā tās ir īpaši neaizsargātas pret klimata pārmaiņu sekām; tā kā nepareiza ūdens resursu apsaimniekošana un lielu upju piesārņošana kokvilnas lauku apūdeņošanai izraisīja ūdens resursu neefektīvu izmantošanu un pielietošanu reģionā; tā kā ledāji Vidusāzijā turpina strauji sarukt, saasinot vienu no smagākajām ūdens krīzēm uz Zemes un pakļaujot reģiona neaizsargātos iedzīvotājus katastrofālām veselības, ekoloģiskām un sociālām problēmām; tā kā biežie konflikti par ūdeni un politiskā nestabilitāte ir </w:t>
      </w:r>
      <w:r w:rsidRPr="00837795">
        <w:lastRenderedPageBreak/>
        <w:t xml:space="preserve">ierobežojuši pārrobežu upju vienotu plānošanu un efektīvu sadali; tā kā ģeopolitiskās pārmaiņas plašākā reģionā rada iespējas mērķtiecīgākai reģionālajai sadarbībai; tā kā šāda reģionāla sadarbība ir izrādījusies efektīva saistībā ar diplomātiju ūdens resursu jomā un robežu strīdu risināšanu un tai būs vēl lielāka nozīme, lai novērstu pieaugošos pārrobežu draudus, ko rada klimata pārmaiņas; </w:t>
      </w:r>
    </w:p>
    <w:p w:rsidR="00E26C35" w:rsidRPr="00837795" w:rsidRDefault="00E26C35" w:rsidP="00E26C35">
      <w:pPr>
        <w:pStyle w:val="NormalHanging12a"/>
      </w:pPr>
      <w:r w:rsidRPr="00837795">
        <w:t>I.</w:t>
      </w:r>
      <w:r w:rsidRPr="00837795">
        <w:tab/>
        <w:t>tā kā padziļināti partnerības un sadarbības nolīgumi (PPSN) ir jaunas</w:t>
      </w:r>
      <w:r w:rsidRPr="00837795">
        <w:noBreakHyphen/>
        <w:t xml:space="preserve">paaudzes nolīgumi, kas ir stūrakmens ES sadarbībai ar Vidusāziju; tā kā Kazahstāna bija pirmā valsts Vidusāzijā, kas 2015. gadā parakstīja PPSN, kurš stājās spēkā 2020. gada 1. martā pēc tam, kad to bija ratificējušas visas dalībvalstis, un tas būtu periodiski jāpārskata; tā kā sarunas par ES un Kirgizstānas PPSN tika pabeigtas 2019. gada 6. jūlijā, bet nolīgums vēl nav parakstīts sakarā ar juridisku strīdu starp Padomi un Komisiju; tā kā 2022. gada 6. jūlijā tika pabeigtas sarunas par ES un Uzbekistānas PPSN; tā kā 2023. gada sākumā ES un Tadžikistāna sāka sarunas par PPSN; tā kā 1998. gadā tika parakstīts partnerības un sadarbības nolīgums (PSN) ar Turkmenistānu, bet Parlaments nav devis piekrišanu nolīguma ratificēšanai, jo tam ir lielas bažas par īstermiņa kritērijiem Turkmenistānas progresā attiecībā uz cilvēktiesībām un pamatbrīvībām; </w:t>
      </w:r>
    </w:p>
    <w:p w:rsidR="00E26C35" w:rsidRPr="00837795" w:rsidRDefault="00E26C35" w:rsidP="00E26C35">
      <w:pPr>
        <w:pStyle w:val="NormalHanging12a"/>
        <w:rPr>
          <w:bCs/>
        </w:rPr>
      </w:pPr>
      <w:r w:rsidRPr="00837795">
        <w:t>J.</w:t>
      </w:r>
      <w:r w:rsidRPr="00837795">
        <w:tab/>
        <w:t xml:space="preserve">tā kā 2022. gada 27. oktobrī Astanā notika pirmā ES un Vidusāzijas līderu sanāksme, kam sekoja otrā šāda sanāksme 2023. gada 2. jūnijā </w:t>
      </w:r>
      <w:proofErr w:type="spellStart"/>
      <w:r w:rsidRPr="00837795">
        <w:t>Čolponatā</w:t>
      </w:r>
      <w:proofErr w:type="spellEnd"/>
      <w:r w:rsidRPr="00837795">
        <w:t xml:space="preserve">; tā kā 2024. gadā tiek plānota vadītāju augstākā līmeņa sanāksme; tā kā šīs sanāksmes ir ES un Vidusāzijas attiecību tālāka </w:t>
      </w:r>
      <w:proofErr w:type="spellStart"/>
      <w:r w:rsidRPr="00837795">
        <w:t>institucionalizācija</w:t>
      </w:r>
      <w:proofErr w:type="spellEnd"/>
      <w:r w:rsidRPr="00837795">
        <w:t xml:space="preserve"> un papildina esošo reģionālo dialogu un platformu darbu,</w:t>
      </w:r>
    </w:p>
    <w:p w:rsidR="00E26C35" w:rsidRPr="00837795" w:rsidRDefault="00E26C35" w:rsidP="00E26C35">
      <w:pPr>
        <w:pStyle w:val="NormalHanging12a"/>
      </w:pPr>
      <w:r w:rsidRPr="00837795">
        <w:t>K.</w:t>
      </w:r>
      <w:r w:rsidRPr="00837795">
        <w:tab/>
        <w:t>tā kā pirmais C5+ 1 samits starp Vidusāzijas līderiem un Amerikas Savienoto Valstu prezidentu notika Ņujorkā 2023. gada 19. septembrī; tā kā C5+ Vācijas samits notika Berlīnē 2023. gada 29. septembrī;</w:t>
      </w:r>
    </w:p>
    <w:p w:rsidR="00E26C35" w:rsidRPr="00837795" w:rsidRDefault="00E26C35" w:rsidP="00E26C35">
      <w:pPr>
        <w:pStyle w:val="NormalHanging12a"/>
        <w:rPr>
          <w:bCs/>
        </w:rPr>
      </w:pPr>
      <w:r w:rsidRPr="00837795">
        <w:t>L.</w:t>
      </w:r>
      <w:r w:rsidRPr="00837795">
        <w:tab/>
        <w:t xml:space="preserve">tā kā visās piecās Vidusāzijas valstīs ir zems demokrātijas vērtējums, kas samazinās, un </w:t>
      </w:r>
      <w:proofErr w:type="spellStart"/>
      <w:r w:rsidRPr="00837795">
        <w:rPr>
          <w:i/>
          <w:iCs/>
        </w:rPr>
        <w:t>Freedom</w:t>
      </w:r>
      <w:proofErr w:type="spellEnd"/>
      <w:r w:rsidRPr="00837795">
        <w:rPr>
          <w:i/>
          <w:iCs/>
        </w:rPr>
        <w:t xml:space="preserve"> </w:t>
      </w:r>
      <w:proofErr w:type="spellStart"/>
      <w:r w:rsidRPr="00837795">
        <w:rPr>
          <w:i/>
          <w:iCs/>
        </w:rPr>
        <w:t>House</w:t>
      </w:r>
      <w:proofErr w:type="spellEnd"/>
      <w:r w:rsidRPr="00837795">
        <w:t xml:space="preserve"> 2023. gada ziņojumā “</w:t>
      </w:r>
      <w:proofErr w:type="spellStart"/>
      <w:r w:rsidRPr="00837795">
        <w:rPr>
          <w:i/>
          <w:iCs/>
        </w:rPr>
        <w:t>Freedom</w:t>
      </w:r>
      <w:proofErr w:type="spellEnd"/>
      <w:r w:rsidRPr="00837795">
        <w:rPr>
          <w:i/>
          <w:iCs/>
        </w:rPr>
        <w:t xml:space="preserve"> </w:t>
      </w:r>
      <w:proofErr w:type="spellStart"/>
      <w:r w:rsidRPr="00837795">
        <w:rPr>
          <w:i/>
          <w:iCs/>
        </w:rPr>
        <w:t>in</w:t>
      </w:r>
      <w:proofErr w:type="spellEnd"/>
      <w:r w:rsidRPr="00837795">
        <w:rPr>
          <w:i/>
          <w:iCs/>
        </w:rPr>
        <w:t xml:space="preserve"> </w:t>
      </w:r>
      <w:proofErr w:type="spellStart"/>
      <w:r w:rsidRPr="00837795">
        <w:rPr>
          <w:i/>
          <w:iCs/>
        </w:rPr>
        <w:t>the</w:t>
      </w:r>
      <w:proofErr w:type="spellEnd"/>
      <w:r w:rsidRPr="00837795">
        <w:rPr>
          <w:i/>
          <w:iCs/>
        </w:rPr>
        <w:t xml:space="preserve"> </w:t>
      </w:r>
      <w:proofErr w:type="spellStart"/>
      <w:r w:rsidRPr="00837795">
        <w:rPr>
          <w:i/>
          <w:iCs/>
        </w:rPr>
        <w:t>World</w:t>
      </w:r>
      <w:proofErr w:type="spellEnd"/>
      <w:r w:rsidRPr="00837795">
        <w:t xml:space="preserve">” (Brīvība pasaulē) tās ir klasificētas kā autoritāri režīmi un tiek uzskatītas par “nebrīvām”; tā kā 2023. gada pasaules preses brīvības indeksā ir ziņots par ievērojamu preses brīvības situācijas pasliktināšanos Vidusāzijā un Vidusāzijas vidējais rādītājs 2022. gada korupcijas uztveres indeksā bija krietni zemāks par pasaules vidējo rādītāju; tā kā organizācija “Reportieri bez robežām” ziņo par daudziem gadījumiem, kad Vidusāzijas iestādes piespiež savus medijus “neitrāli” atspoguļot Krievijas iebrukumu Ukrainā vai to vispār ignorēt; </w:t>
      </w:r>
    </w:p>
    <w:p w:rsidR="00E26C35" w:rsidRPr="00837795" w:rsidRDefault="00E26C35" w:rsidP="00E26C35">
      <w:pPr>
        <w:pStyle w:val="NormalHanging12a"/>
        <w:rPr>
          <w:b/>
          <w:i/>
        </w:rPr>
      </w:pPr>
      <w:r w:rsidRPr="00837795">
        <w:t>M.</w:t>
      </w:r>
      <w:r w:rsidRPr="00837795">
        <w:tab/>
        <w:t>tā kā Parlamenta Ārlietu komiteja 2022. gada 21.–25. februārī apmeklēja Tadžikistānu un Uzbekistānu un 2023. gada 21.–25. augustā — Kazahstānu un Kirgizstānu; tā kā tā Delegācija ES un Kazahstānas, ES un Kirgizstānas, ES un Uzbekistānas, ES un Tadžikistānas parlamentārās sadarbības komitejās, kā arī attiecībām ar Turkmenistānu un Mongoliju uztur regulāras parlamentu attiecības ar Vidusāzijas valstīm;</w:t>
      </w:r>
    </w:p>
    <w:p w:rsidR="00E26C35" w:rsidRPr="00837795" w:rsidRDefault="00E26C35" w:rsidP="00E26C35">
      <w:pPr>
        <w:pStyle w:val="NormalHanging12a"/>
        <w:rPr>
          <w:b/>
          <w:i/>
        </w:rPr>
      </w:pPr>
      <w:r w:rsidRPr="00837795">
        <w:t>N.</w:t>
      </w:r>
      <w:r w:rsidRPr="00837795">
        <w:tab/>
        <w:t xml:space="preserve">tā kā Vidusāzijā pastāv pamatotas bažas par </w:t>
      </w:r>
      <w:proofErr w:type="spellStart"/>
      <w:r w:rsidRPr="00837795">
        <w:t>radikalizāciju</w:t>
      </w:r>
      <w:proofErr w:type="spellEnd"/>
      <w:r w:rsidRPr="00837795">
        <w:t>, pieaugošu ekstrēmismu un terorisma draudiem sakarā ar to, ka reģionā atgriežas ļoti daudzi bijušie ISIS kaujinieki, un smago drošības situāciju Afganistānā;</w:t>
      </w:r>
    </w:p>
    <w:p w:rsidR="00E26C35" w:rsidRPr="00837795" w:rsidRDefault="00E26C35" w:rsidP="00E26C35">
      <w:pPr>
        <w:pStyle w:val="NormalHanging12a"/>
        <w:rPr>
          <w:b/>
          <w:i/>
        </w:rPr>
      </w:pPr>
      <w:r w:rsidRPr="00837795">
        <w:t>O.</w:t>
      </w:r>
      <w:r w:rsidRPr="00837795">
        <w:tab/>
        <w:t xml:space="preserve">tā kā sievietes un meitenes Vidusāzijā joprojām ir ļoti neaizsargātas pret ļaunprātīgu izmantošanu, jo īpaši tāpēc, ka ir augsts pret sievietēm vērstas vardarbības pieņemšanas </w:t>
      </w:r>
      <w:r w:rsidRPr="00837795">
        <w:lastRenderedPageBreak/>
        <w:t>līmenis un ir zema izpratne par dzimumu stereotipiem;</w:t>
      </w:r>
    </w:p>
    <w:p w:rsidR="00E26C35" w:rsidRPr="00837795" w:rsidRDefault="00E26C35" w:rsidP="00E26C35">
      <w:pPr>
        <w:pStyle w:val="NormalHanging12a"/>
      </w:pPr>
      <w:r w:rsidRPr="00837795">
        <w:t>P.</w:t>
      </w:r>
      <w:r w:rsidRPr="00837795">
        <w:tab/>
        <w:t>tā kā Vidusāzijā joprojām ir izplatītas bērnu laulības, jo īpaši Kirgizstānā un Tadžikistānā, kur katra astotā meitene tiek izprecināta pirms 18 gadu vecuma sasniegšanas,</w:t>
      </w:r>
    </w:p>
    <w:p w:rsidR="00E26C35" w:rsidRPr="00837795" w:rsidRDefault="00E26C35" w:rsidP="00E26C35">
      <w:pPr>
        <w:pStyle w:val="NormalHanging12a"/>
        <w:rPr>
          <w:bCs/>
        </w:rPr>
      </w:pPr>
      <w:r w:rsidRPr="00837795">
        <w:rPr>
          <w:rStyle w:val="BoldItalic"/>
        </w:rPr>
        <w:t>ES iesaistīšanās sadarbībā ar Vidusāziju</w:t>
      </w:r>
    </w:p>
    <w:p w:rsidR="00E26C35" w:rsidRPr="00837795" w:rsidRDefault="00E26C35" w:rsidP="00E26C35">
      <w:pPr>
        <w:pStyle w:val="NormalHanging12a"/>
      </w:pPr>
      <w:r w:rsidRPr="00837795">
        <w:t>1.</w:t>
      </w:r>
      <w:r w:rsidRPr="00837795">
        <w:tab/>
        <w:t xml:space="preserve">uzsver, ka gan ES, gan Vidusāzija saskaras ar dziļām globālām un reģionālām ģeopolitiskajām pārmaiņām un izaicinājumiem un tas rada tām būtisku stimulu strādāt, lai izveidotu ilgtermiņa strukturētu un savstarpēji izdevīgu sadarbību kopīgu interešu jautājumos; stingri mudina ES pastiprināt iesaistīšanos sadarbībā ar Vidusāziju, ņemot vērā reģiona </w:t>
      </w:r>
      <w:proofErr w:type="spellStart"/>
      <w:r w:rsidRPr="00837795">
        <w:t>ģeostratēģisko</w:t>
      </w:r>
      <w:proofErr w:type="spellEnd"/>
      <w:r w:rsidRPr="00837795">
        <w:t xml:space="preserve"> nozīmi, un veicināt stratēģisku partnerību ar šīm valstīm, paplašinot sadarbību politiskā un ekonomiskā līmenī; atzinīgi vērtē pieaugušos augsta līmeņa kontaktus starp ES un Vidusāziju, jo īpaši Vidusāzijas valstu vadītāju un Eiropadomes priekšsēdētāja tikšanās, kā arī ES īpašā pārstāvja Vidusāzijā darbu; aicina veikt turpmākus pasākumus saistībā ar visām minētajām augsta līmeņa sanāksmēm un deklarācijām, veicot konkrētus pasākumus; šajā sakarībā atzinīgi vērtē to, ka pirmais ES un Vidusāzijas samits ir plānots 2024. gadā, kā arī to, ka ir apstiprināts kopīgais ceļvedis attiecību padziļināšanai starp ES un Vidusāziju, kas kalpo kā stratēģisks plāns dialoga un sadarbības veicināšanai konkrētās jomās, tostarp kultūras, sociālās un ekonomiskās noturības veidošanā; mudina ES turpināt veicināt politiskās un ekonomiskās reformas, kas stiprina tiesiskumu, demokrātiju, labu pārvaldību un cilvēktiesību ievērošanu; norāda, ka Parlaments ir gatavs veicināt parlamentāro sadarbību ar Vidusāziju;</w:t>
      </w:r>
    </w:p>
    <w:p w:rsidR="00E26C35" w:rsidRPr="00837795" w:rsidRDefault="00E26C35" w:rsidP="00E26C35">
      <w:pPr>
        <w:pStyle w:val="NormalHanging12a"/>
      </w:pPr>
      <w:r w:rsidRPr="00837795">
        <w:t>2.</w:t>
      </w:r>
      <w:r w:rsidRPr="00837795">
        <w:tab/>
        <w:t xml:space="preserve">norāda, ka Krievijas agresijas karš pret Ukrainu un pieaugošie nacionālistiskie vēstījumi ir vājinājuši Krievijas pozīciju šajā reģionā un ir pamudinājuši Vidusāziju īstenot sadarbību ar citiem dalībniekiem un ka šie dalībnieki ir pastiprinājuši sadarbību ar Vidusāziju; ņem vērā arī Ķīnas iesaistīšanos šajā reģionā; uzsver, ka ES tagad ir iespēja paplašināt attiecības ar Vidusāziju un uzņemties nozīmīgāku lomu reģionā; uzsver, ka ES būtu jāizmanto šī iespēja, lai veicinātu abpusēji izdevīgu sadarbību, un jāpiedāvā Vidusāzijai partnerība, kas var kļūt par īpašu virzienu plašākā stratēģijā attiecībā uz ES austrumu kaimiņvalstīm; uzskata, ka šīs sadarbības stiprināšana arī palīdzētu stāties pretī Krievijas ietekmei reģionā; </w:t>
      </w:r>
    </w:p>
    <w:p w:rsidR="00E26C35" w:rsidRPr="00837795" w:rsidRDefault="00E26C35" w:rsidP="00E26C35">
      <w:pPr>
        <w:pStyle w:val="NormalHanging12a"/>
      </w:pPr>
      <w:r w:rsidRPr="00837795">
        <w:t>3.</w:t>
      </w:r>
      <w:r w:rsidRPr="00837795">
        <w:tab/>
        <w:t>uzsver transatlantiskās sadarbības nozīmi attiecībā uz Vidusāziju un aicina ES uzņemties iniciatīvu, kopā ar Amerikas Savienotajām Valstīm izstrādājot kopīgu stratēģiju Vidusāzijai, kurā būtu jāiekļauj sadarbība demokrātijas veicināšanas, ieguldījumu un tirdzniecības, ekonomikas un reģionālās drošības jomā;</w:t>
      </w:r>
    </w:p>
    <w:p w:rsidR="00E26C35" w:rsidRPr="00837795" w:rsidRDefault="00E26C35" w:rsidP="00E26C35">
      <w:pPr>
        <w:pStyle w:val="NormalHanging12a"/>
      </w:pPr>
      <w:r w:rsidRPr="00837795">
        <w:t>4.</w:t>
      </w:r>
      <w:r w:rsidRPr="00837795">
        <w:tab/>
        <w:t>atkārtoti pauž ES apņemšanos sadarboties ar Vidusāzijas valstīm, lai panāktu mieru, drošību, stabilitāti, labklājību un ilgtspējīgu attīstību, pilnībā ievērojot starptautiskās tiesības, kā arī principus, kas paredz ievērot visu valstu neatkarību, suverenitāti un teritoriālo integritāti, neizmantot spēku vai tā izmantošanas draudus un starptautisku strīdu izšķiršanu mierīgā ceļā;</w:t>
      </w:r>
    </w:p>
    <w:p w:rsidR="00E26C35" w:rsidRPr="00837795" w:rsidRDefault="00E26C35" w:rsidP="00E26C35">
      <w:pPr>
        <w:pStyle w:val="NormalHanging12a"/>
      </w:pPr>
      <w:r w:rsidRPr="00837795">
        <w:t>5.</w:t>
      </w:r>
      <w:r w:rsidRPr="00837795">
        <w:tab/>
        <w:t xml:space="preserve">noraida jebkādus mēģinājumus veicināt vai jebkādā veidā palīdzēt starptautiski atzīt separātistu vienību Kipras okupētajā daļā, tostarp saistībā ar tās iespējamo atzīšanu par novērotāju </w:t>
      </w:r>
      <w:proofErr w:type="spellStart"/>
      <w:r w:rsidRPr="00837795">
        <w:t>Tjurku</w:t>
      </w:r>
      <w:proofErr w:type="spellEnd"/>
      <w:r w:rsidRPr="00837795">
        <w:t xml:space="preserve"> valstu organizācijā; mudina attiecīgās Vidusāzijas valstis efektīvi ievērot visu valstu suverenitātes un teritoriālās integritātes principus un neratificēt </w:t>
      </w:r>
      <w:r w:rsidRPr="00837795">
        <w:lastRenderedPageBreak/>
        <w:t xml:space="preserve">grozītos </w:t>
      </w:r>
      <w:proofErr w:type="spellStart"/>
      <w:r w:rsidRPr="00837795">
        <w:t>Tjurku</w:t>
      </w:r>
      <w:proofErr w:type="spellEnd"/>
      <w:r w:rsidRPr="00837795">
        <w:t xml:space="preserve"> valstu organizācijas statūtus, ar kuriem tiktu īstenots lēmums piešķirt novērotāja statusu;</w:t>
      </w:r>
    </w:p>
    <w:p w:rsidR="00E26C35" w:rsidRPr="00837795" w:rsidRDefault="00E26C35" w:rsidP="00E26C35">
      <w:pPr>
        <w:pStyle w:val="NormalHanging12a"/>
      </w:pPr>
      <w:r w:rsidRPr="00837795">
        <w:t>6.</w:t>
      </w:r>
      <w:r w:rsidRPr="00837795">
        <w:tab/>
        <w:t>atzīst, ka Krievijas agresijas karš pret Ukrainu un tā sekas rada gan problēmas, gan iespējas Vidusāzijas valstīm, kuras tradicionāli ir uzturējušas ciešas attiecības ar Krieviju; uzsver ES ieinteresētību paplašināt ekonomiskās attiecības un pastiprināt politiskās saites ar Vidusāzijas valstīm, cita starpā lai līdz minimumam samazinātu pret Krieviju un Baltkrieviju vērsto sankciju apiešanu; uzsver, cik svarīgi ir pastāvīgi īstenot ciešu apmaiņu sankciju jautājumos, un aicina Vidusāzijas valstu iestādes, jo īpaši Kazahstānu, Kirgizstānu un Uzbekistānu, cieši sadarboties ar ES, jo īpaši ar ES sankciju sūtni, lai pastiprinātu viņu centienus novērst sankciju apiešanu; nosoda procedūru, saskaņā ar kuru Krievija vervē Vidusāzijas migrantus un pilsoņus, lai karotu Ukrainā, un atbalsta darbības, kuru mērķis ir to izbeigt; ņem vērā Vidusāzijas valstu individuālos centienus nodrošināt, ka to teritorijas netiek izmantotas, lai apietu ES sankcijas, un atzinīgi vērtē Kazahstānas administratīvos pasākumus un augsta līmeņa politisko iesaisti šajā ziņā; aicina ES tās Vidusāzijas stratēģijā izmantot diferencētu pieeju, kurā tiks novērtēts sadarbības līmenis ar ES attiecībā uz politiku pret Krieviju vērsto sankciju jomā; norāda uz pašu dalībvalstu lomu, nodrošinot, ka attiecībā uz eksporta precēm, kurām, ļoti iespējams, tomēr izdosies nonākt Krievijā caur Vidusāziju, tiek veiktas pienācīgas preventīvas kontroles;</w:t>
      </w:r>
    </w:p>
    <w:p w:rsidR="00E26C35" w:rsidRPr="00837795" w:rsidRDefault="00E26C35" w:rsidP="00E26C35">
      <w:pPr>
        <w:pStyle w:val="NormalHanging12a"/>
      </w:pPr>
      <w:r w:rsidRPr="00837795">
        <w:t>7.</w:t>
      </w:r>
      <w:r w:rsidRPr="00837795">
        <w:tab/>
        <w:t xml:space="preserve">uzskata, ka ir jāpārskata ES un Vidusāzijas stratēģija, lai to atjauninātu, ņemot vērā pēdējo gadu ģeopolitiskos notikumus; atkārtoti uzsver, ka pastiprinātas partnerības un sadarbības nolīgumi pilda būtisku lomu kā satvars sadarbībai ar Vidusāzijas valstīm; ar bažām norāda, ka PPSN ar Kirgizstānu, par kuru sarunas tika pabeigtas 2019. gadā, joprojām nav parakstīts; aicina Padomi un Komisiju nodrošināt strauju progresu notiekošajās sarunās par PPSN ar Tadžikistānu un atrisināt neatrisinātos jautājumus, un nekavējoties parakstīt PPSN ar Kirgizstānu un Uzbekistānu, lai Parlaments varētu īstenot savas prerogatīvas attiecībā uz šo nolīgumu ratifikāciju; uzsver — tas, ka pēc sarunu noslēgšanas nav parakstīti šādi nolīgumi, ļauj šaubīties par ES kā globāla dalībnieka uzticamību; </w:t>
      </w:r>
    </w:p>
    <w:p w:rsidR="00E26C35" w:rsidRPr="00837795" w:rsidRDefault="00E26C35" w:rsidP="00E26C35">
      <w:pPr>
        <w:pStyle w:val="NormalHanging12a"/>
      </w:pPr>
      <w:r w:rsidRPr="00837795">
        <w:t>8.</w:t>
      </w:r>
      <w:r w:rsidRPr="00837795">
        <w:tab/>
        <w:t xml:space="preserve">norāda, ka PPSN ar Vidusāzijas valstīm, par kuriem līdz šim ir notikušas sarunas, īpaša uzmanība ir veltīta demokrātijas principa, cilvēktiesību un tiesiskuma ievērošanai; uzsver, cik svarīgi ir integrēt cilvēktiesības, demokrātiskās vērtības, dzimumu līdztiesību, mediju brīvību un zaļo pārkārtošanos mijiedarbībā ar Vidusāzijas valdībām; </w:t>
      </w:r>
    </w:p>
    <w:p w:rsidR="00E26C35" w:rsidRPr="00837795" w:rsidRDefault="00E26C35" w:rsidP="00E26C35">
      <w:pPr>
        <w:pStyle w:val="Normal12a24b"/>
      </w:pPr>
      <w:r w:rsidRPr="00837795">
        <w:rPr>
          <w:rStyle w:val="BoldItalic"/>
        </w:rPr>
        <w:t>Reģionālā sadarbība</w:t>
      </w:r>
    </w:p>
    <w:p w:rsidR="00E26C35" w:rsidRPr="00837795" w:rsidRDefault="00E26C35" w:rsidP="00E26C35">
      <w:pPr>
        <w:pStyle w:val="NormalHanging12a"/>
      </w:pPr>
      <w:r w:rsidRPr="00837795">
        <w:t>9.</w:t>
      </w:r>
      <w:r w:rsidRPr="00837795">
        <w:tab/>
        <w:t xml:space="preserve">uzsver milzīgo potenciālu, ko sniedz savstarpēji izdevīga sadarbība ilgtspējīgas attīstības, savienojamības, enerģētikas, kritiski svarīgo izejvielu un drošības jomā, jo Vidusāzija ir būtiski svarīgs reģions savienojamībai starp austrumiem un rietumiem; šajā sakarībā atgādina par Krievijas agresijas kara pret Ukrainu būtiskajām ģeopolitiskajām sekām, kas ir atjaunojušas </w:t>
      </w:r>
      <w:proofErr w:type="spellStart"/>
      <w:r w:rsidRPr="00837795">
        <w:t>Viduskoridoru</w:t>
      </w:r>
      <w:proofErr w:type="spellEnd"/>
      <w:r w:rsidRPr="00837795">
        <w:t xml:space="preserve"> ne tikai kā reģionālu ekonomikas zonu, bet arī kā alternatīvu un noturīgu maršrutu starp Āziju un Eiropu, izvairoties no Krievijas teritorijas šķērsošanas; atgādina, ka jaunais Eirāzijas sauszemes tilts šķērso sankcijām pakļauto Krievijas un Baltkrievijas teritoriju; uzsver, ka ir svarīgi veicināt reģionālo integrāciju </w:t>
      </w:r>
      <w:proofErr w:type="spellStart"/>
      <w:r w:rsidRPr="00837795">
        <w:t>Viduskoridorā</w:t>
      </w:r>
      <w:proofErr w:type="spellEnd"/>
      <w:r w:rsidRPr="00837795">
        <w:t xml:space="preserve">, un norāda — lai piesaistītu tik ļoti nepieciešamo finansējumu infrastruktūras projektiem </w:t>
      </w:r>
      <w:proofErr w:type="spellStart"/>
      <w:r w:rsidRPr="00837795">
        <w:rPr>
          <w:i/>
          <w:iCs/>
        </w:rPr>
        <w:t>Global</w:t>
      </w:r>
      <w:proofErr w:type="spellEnd"/>
      <w:r w:rsidRPr="00837795">
        <w:rPr>
          <w:i/>
          <w:iCs/>
        </w:rPr>
        <w:t xml:space="preserve"> </w:t>
      </w:r>
      <w:proofErr w:type="spellStart"/>
      <w:r w:rsidRPr="00837795">
        <w:rPr>
          <w:i/>
          <w:iCs/>
        </w:rPr>
        <w:t>Gateway</w:t>
      </w:r>
      <w:proofErr w:type="spellEnd"/>
      <w:r w:rsidRPr="00837795">
        <w:t xml:space="preserve"> ietvaros, ir jānovērš trūkumi, kurus konstatēja Eiropas Rekonstrukcijas un attīstības bankas veiktais </w:t>
      </w:r>
      <w:r w:rsidRPr="00837795">
        <w:lastRenderedPageBreak/>
        <w:t xml:space="preserve">pētījums; aicina Komisiju izpētīt iespēju nodrošināt Eiropas Investīciju bankas atbalstu ieguldījumiem infrastruktūras attīstībā Vidusāzijas valstīs, jo īpaši </w:t>
      </w:r>
      <w:proofErr w:type="spellStart"/>
      <w:r w:rsidRPr="00837795">
        <w:t>Viduskoridorā</w:t>
      </w:r>
      <w:proofErr w:type="spellEnd"/>
      <w:r w:rsidRPr="00837795">
        <w:t>;</w:t>
      </w:r>
    </w:p>
    <w:p w:rsidR="00E26C35" w:rsidRPr="00837795" w:rsidRDefault="00E26C35" w:rsidP="00E26C35">
      <w:pPr>
        <w:pStyle w:val="NormalHanging12a"/>
      </w:pPr>
      <w:r w:rsidRPr="00837795">
        <w:t>10.</w:t>
      </w:r>
      <w:r w:rsidRPr="00837795">
        <w:tab/>
        <w:t xml:space="preserve">uzskata, ka ES politikai attiecībā pret Vidusāziju enerģētikas, savienojamības un resursu dažādošanas jomā būtu jāiedvesmojas no Eiropas zaļā kuras un tā būtu jābalsta uz savstarpēji izdevīgām stratēģiskām partnerībām, kurās tiek ņemtas vērā ikvienas Vidusāzijas valsts raksturīgās iezīmes, nodrošinot šīm valstīm piekļuvi modernām tehnoloģijām un kvalitatīvām darbvietām, vienlaikus garantējot Eiropas Savienībai drošu un konkurētspējīgu piekļuvi izejvielām un enerģijai; šajā sakarībā pauž bažas par iespējamu atkarību no Krievijas sakarā ar to, ka starp uzņēmumu “Gazprom” un Uzbekistānu tika parakstīts nolīgums par dabasgāzes piegādi caur Kazahstānu; </w:t>
      </w:r>
    </w:p>
    <w:p w:rsidR="00E26C35" w:rsidRPr="00837795" w:rsidRDefault="00E26C35" w:rsidP="00E26C35">
      <w:pPr>
        <w:pStyle w:val="NormalHanging12a"/>
      </w:pPr>
      <w:r w:rsidRPr="00837795">
        <w:t>11.</w:t>
      </w:r>
      <w:r w:rsidRPr="00837795">
        <w:tab/>
        <w:t xml:space="preserve">atzīst ES izšķirošo lomu Vidusāzijas nozaru reformu finansēšanā, energoefektivitātes uzlabošanā un siltumnīcefekta gāzu emisiju samazināšanā; atzinīgi vērtē to, ka 2022. gadā tika uzsākts projekts “Ilgtspējīgi </w:t>
      </w:r>
      <w:proofErr w:type="spellStart"/>
      <w:r w:rsidRPr="00837795">
        <w:t>energosavienojumi</w:t>
      </w:r>
      <w:proofErr w:type="spellEnd"/>
      <w:r w:rsidRPr="00837795">
        <w:t xml:space="preserve"> Vidusāzijā” (</w:t>
      </w:r>
      <w:r w:rsidRPr="00837795">
        <w:rPr>
          <w:i/>
          <w:iCs/>
        </w:rPr>
        <w:t>SECCA</w:t>
      </w:r>
      <w:r w:rsidRPr="00837795">
        <w:t xml:space="preserve">), un cer, ka tas pozitīvi ietekmēs valsts politikas stiprināšanu reģionā attiecībā uz pāreju uz ilgtspējīgu energosistēmu un investīciju, spēju un informētības palielināšanu atjaunojamo energoresursu enerģijas un energoefektivitātes jomā; </w:t>
      </w:r>
    </w:p>
    <w:p w:rsidR="00E26C35" w:rsidRPr="00837795" w:rsidRDefault="00E26C35" w:rsidP="00E26C35">
      <w:pPr>
        <w:pStyle w:val="NormalHanging12a"/>
      </w:pPr>
      <w:r w:rsidRPr="00837795">
        <w:t>12.</w:t>
      </w:r>
      <w:r w:rsidRPr="00837795">
        <w:tab/>
        <w:t xml:space="preserve">uzsver pozitīvas ieguldījumu vides nozīmi Vidusāzijas ekonomikas attīstībā un ES un Vidusāzijas tirdzniecībā un sadarbībā; uzsver, ka pozitīvu ieguldījumu vide, kas rezultātā ļauj izveidot kvalitatīvas darbvietas ar atbilstīgām algām un pienācīgiem darba apstākļiem, ir atkarīga no stabilām demokrātiskām iestādēm, cilvēktiesību un tiesiskuma ievērošanas, kā arī no uzņēmējdarbības un pilsoniskās sabiedrības spējas ievērot pienācīgu rūpību; </w:t>
      </w:r>
    </w:p>
    <w:p w:rsidR="00E26C35" w:rsidRPr="00837795" w:rsidRDefault="00E26C35" w:rsidP="00E26C35">
      <w:pPr>
        <w:pStyle w:val="NormalHanging12a"/>
      </w:pPr>
      <w:r w:rsidRPr="00837795">
        <w:t>13.</w:t>
      </w:r>
      <w:r w:rsidRPr="00837795">
        <w:tab/>
        <w:t>norāda uz Vidusāzijas valstu (izņemot Tadžikistānu) ilgstošo pieeju, kas paredz uzturēt ciešas attiecības ar Afganistānu, un šo valstu mainīgo pragmatisko iesaistīšanos sadarbībā ar talibiem, ko tās tomēr neatzīst, kopš 2021. gadā notika varas pārņemšana; uzsver, ka ne tikai reģiona valstīm, jo īpaši Pakistānai un Ķīnai, bet arī Vidusāzijas valstīm ir būtiska nozīme stabilitātes nodrošināšanā Afganistānā, sniedzot humāno palīdzību, elektroenerģiju, tirdzniecības iespējas un kopīgus savienojamības projektus; mudina ES īpašo sūtni Afganistānā turpināt cieši sadarboties ar kolēģiem Vidusāzijas valstīs ES un Vidusāzijas dialogā par Afganistānu; atzīst, ka Vidusāzija ir būtisks reģions attiecībā uz reliģiskā ekstrēmisma, terorisma un narkotiku tirdzniecības tīklu ierobežošanu un tā saskaras ar pieaugošu migrācijas spiedienu, ko rada pašreizējā humanitārā krīze Afganistānā; atkārtoti pauž sašutumu par talibu attieksmi pret sievietēm kā pret personām ar zemāku statusu nekā otrās šķiras pilsoņiem un aicina Eiropas Ārējās darbības dienestu un ES īpašo sūtni Afganistānā sadarboties ar Turkmenistānu, Uzbekistānu un Tadžikistānu, lai palīdzētu sievietēm, kuras mēģina bēgt no Afganistānas;</w:t>
      </w:r>
    </w:p>
    <w:p w:rsidR="00E26C35" w:rsidRPr="00837795" w:rsidRDefault="00E26C35" w:rsidP="00E26C35">
      <w:pPr>
        <w:pStyle w:val="NormalHanging12a"/>
      </w:pPr>
      <w:r w:rsidRPr="00837795">
        <w:t>14.</w:t>
      </w:r>
      <w:r w:rsidRPr="00837795">
        <w:tab/>
        <w:t xml:space="preserve">uzsver, ka ES ir nozīmīga palīdzības sniedzēja šim reģionam; uzsver, ka ir svarīgi izmantot vienotu pieeju kā Eiropas komandai, jo tas ļauj radīt sinerģiju un maksimāli palielināt veikto pasākumu ietekmi un uzskatāmi parāda priekšrocības, ko sniedz daudzpusējā sadarbība, kā arī apvieno labākos instrumentus un partnerus, piemēram, pilsoniskās sabiedrības organizācijas, cilvēktiesību aizstāvjus, neatkarīgos medijus un ekspertus un publisko un privāto sektoru, lai panāktu paredzēto ietekmi; uzsver, ka ir jānodrošina ES palīdzības un investīciju </w:t>
      </w:r>
      <w:proofErr w:type="spellStart"/>
      <w:r w:rsidRPr="00837795">
        <w:t>pamanāmība</w:t>
      </w:r>
      <w:proofErr w:type="spellEnd"/>
      <w:r w:rsidRPr="00837795">
        <w:t xml:space="preserve">, un aicina sasaistīt Vidusāzijas valstīm sniegto ES palīdzību un budžeta atbalstu ar konkrētiem kritērijiem demokrātisko reformu, cilvēktiesību aizsardzības, tiesiskuma un ilgtspējīgas attīstības </w:t>
      </w:r>
      <w:r w:rsidRPr="00837795">
        <w:lastRenderedPageBreak/>
        <w:t>jomā; uzsver, cik svarīga ir koordinēta sadarbība ar citiem partneriem un starptautiskām organizācijām, lai nodrošinātu sinerģiju un novērstu darba dublēšanos;</w:t>
      </w:r>
    </w:p>
    <w:p w:rsidR="00E26C35" w:rsidRPr="00837795" w:rsidRDefault="00E26C35" w:rsidP="00E26C35">
      <w:pPr>
        <w:pStyle w:val="NormalHanging12a"/>
      </w:pPr>
      <w:r w:rsidRPr="00837795">
        <w:t>15.</w:t>
      </w:r>
      <w:r w:rsidRPr="00837795">
        <w:tab/>
        <w:t>norāda, ka klimata pārmaiņas, iedzīvotāju skaita pieaugums un ekonomiskās vajadzības rada Vidusāzijā arvien lielāku ūdens resursu noslogojumu; uzsver, ka šajā jautājumā ir vajadzīga ciešāka reģionālā sadarbība starp augšteces un lejteces valstīm, lai novērstu konfliktus par ūdens resursu sadali un izmantošanu; atzinīgi vērtē reģionālās platformas, piemēram, Starptautisko Arāla jūras glābšanas fondu, kas veicina dialogu un sadarbību starp Vidusāzijas valstīm; atgādina, ka ES un Vidusāzijas vides dialogs tika izveidots, lai atbalstītu Arāla jūras stabilizāciju un veicinātu labāku ūdens resursu apsaimniekošanu; aicina īstenot Parīzes nolīgumu par klimata pārmaiņām un pauž gatavību nodrošināt speciālās zināšanas un sadarbību, lai to panāktu;</w:t>
      </w:r>
    </w:p>
    <w:p w:rsidR="00E26C35" w:rsidRPr="00837795" w:rsidRDefault="00E26C35" w:rsidP="00E26C35">
      <w:pPr>
        <w:pStyle w:val="NormalHanging12a"/>
      </w:pPr>
      <w:r w:rsidRPr="00837795">
        <w:t>16.</w:t>
      </w:r>
      <w:r w:rsidRPr="00837795">
        <w:tab/>
        <w:t>uzsver, ka konfliktu, tostarp to, kas saistīti ar ūdens sadali, atrisināšana saskaņā ar starptautiskajām tiesībām un labām kaimiņattiecībām un par katru cenu izvairoties no spēka lietošanas vai draudiem, ir izšķiroši svarīga, lai sasniegtu gan ilgtermiņa reģionālo stabilitāti, gan ilgtspējīgas attīstības mērķus; uzsver, ka ir svarīgi veikt apstrīdēto pierobežas apgabalu noteikšanu un demarkāciju starp Tadžikistānu un Kirgizstānu, lai novērstu turpmākas militāras sadursmes starp abām valstīm, un atzinīgi vērtē abu pušu pasākumus šajā ziņā; atkārtoti pauž ES piedāvājumu atbalstīt konflikta noregulējumu mierīgā ceļā, izmantojot tehnisko palīdzību un uzticības veicināšanas pasākumus; atzinīgi vērtē to, ka 2023. gada janvārī starp Kirgizstānu un Uzbekistānu tika atrisināts robežu noteikšanas jautājums; atkārtoti norāda, ka ES ir apņēmusies šajā teritorijā neizplatīt masu iznīcināšanas ieročus;</w:t>
      </w:r>
    </w:p>
    <w:p w:rsidR="00E26C35" w:rsidRPr="00837795" w:rsidRDefault="00E26C35" w:rsidP="00E26C35">
      <w:pPr>
        <w:pStyle w:val="Normal12a24b"/>
      </w:pPr>
      <w:r w:rsidRPr="00837795">
        <w:rPr>
          <w:rStyle w:val="BoldItalic"/>
        </w:rPr>
        <w:t xml:space="preserve">Demokrātija un cilvēktiesības </w:t>
      </w:r>
    </w:p>
    <w:p w:rsidR="00E26C35" w:rsidRPr="00837795" w:rsidRDefault="00E26C35" w:rsidP="00E26C35">
      <w:pPr>
        <w:pStyle w:val="NormalHanging12a"/>
      </w:pPr>
      <w:r w:rsidRPr="00837795">
        <w:t>17.</w:t>
      </w:r>
      <w:r w:rsidRPr="00837795">
        <w:tab/>
        <w:t>uzstāj, ka cilvēktiesību un starptautisko saistību ievērošana ir svarīgs nosacījums ES attiecībām ar Vidusāziju; mudina Vidusāzijas valstis ievērot to saistības demokrātijas un cilvēktiesību jomā, norādot, ka tas atbilst arī partnerības un sadarbības nolīgumiem un vispārējo preferenču shēmai Plus (VPS+); uzsver, ka ir svarīgi uzturēt regulārus cilvēktiesību dialogus ar Vidusāzijas valstīm, jo šie dialogi ir instruments, ar ko veicināt cilvēktiesību, pamatbrīvību un politiskā plurālisma ievērošanu, un forums problemātisku jautājumu risināšanai; aicina ES delegācijas un dalībvalstu pārstāvniecības Vidusāzijā turpināt aktīvi uzraudzīt situāciju uz vietas, sadarboties ar cilvēktiesību aizstāvjiem un reaģēt uz cilvēktiesību pārkāpumiem un politiski motivētu vajāšanu, tostarp apmeklējot tiesas procesus un apmeklējot politieslodzītos; mudina sadarboties ar ANO līgumu struktūrām un īpašajām procedūrām, kā arī daudzpusējos cilvēktiesību forumos, piemēram, ANO Cilvēktiesību padomē;</w:t>
      </w:r>
    </w:p>
    <w:p w:rsidR="00E26C35" w:rsidRPr="00837795" w:rsidRDefault="00E26C35" w:rsidP="00E26C35">
      <w:pPr>
        <w:pStyle w:val="NormalHanging12a"/>
      </w:pPr>
      <w:r w:rsidRPr="00837795">
        <w:t>18.</w:t>
      </w:r>
      <w:r w:rsidRPr="00837795">
        <w:tab/>
        <w:t xml:space="preserve">pauž bažas par to, ka trūkst atbildības par nopietniem plaša mēroga cilvēktiesību pārkāpumiem, tostarp attiecībā uz gadījumiem, kad varas iestādes īstenojušas stingrus pasākumus, lai izbeigtu masu protestus un no tiem izrietošos nemierus tā dēvētajos “asiņainā janvāra” notikumos Kazahstānā, kā arī Kalnu </w:t>
      </w:r>
      <w:proofErr w:type="spellStart"/>
      <w:r w:rsidRPr="00837795">
        <w:t>Badahšānas</w:t>
      </w:r>
      <w:proofErr w:type="spellEnd"/>
      <w:r w:rsidRPr="00837795">
        <w:t xml:space="preserve"> autonomajā apgabalā (GBAO) Tadžikistānā un </w:t>
      </w:r>
      <w:proofErr w:type="spellStart"/>
      <w:r w:rsidRPr="00837795">
        <w:t>Karakalpakstānas</w:t>
      </w:r>
      <w:proofErr w:type="spellEnd"/>
      <w:r w:rsidRPr="00837795">
        <w:t xml:space="preserve"> Republikā Uzbekistānā; aicina visu piecu Vidusāzijas valstu iestādes veikt efektīvus pasākumus, lai sāktu neatkarīgu un rūpīgu izmeklēšanu saistībā ar visiem ziņojumiem par iespējamu spīdzināšanu un sliktu izturēšanos un citiem nopietniem cilvēktiesību pārkāpumiem, un novērst to, ka policija un drošības spēki izmanto pārmērīgu spēku un spīdzināšanu; aicina Vidusāzijas valstu valdības veikt tiesu sistēmas reformas, lai nodrošinātu lielāku neatkarību un </w:t>
      </w:r>
      <w:proofErr w:type="spellStart"/>
      <w:r w:rsidRPr="00837795">
        <w:lastRenderedPageBreak/>
        <w:t>pārredzamību</w:t>
      </w:r>
      <w:proofErr w:type="spellEnd"/>
      <w:r w:rsidRPr="00837795">
        <w:t>;</w:t>
      </w:r>
    </w:p>
    <w:p w:rsidR="00E26C35" w:rsidRPr="00837795" w:rsidRDefault="00E26C35" w:rsidP="00E26C35">
      <w:pPr>
        <w:pStyle w:val="NormalHanging12a"/>
      </w:pPr>
      <w:r w:rsidRPr="00837795">
        <w:t>19.</w:t>
      </w:r>
      <w:r w:rsidRPr="00837795">
        <w:tab/>
        <w:t>uzsver būtiskos demokrātijas trūkumus Vidusāzijā, kuri joprojām pastāv un pēdējā laikā vairākos aspektos ir pasliktinājušies — attiecībā uz demokrātisku pārvaldību, tiesiskumu un cilvēktiesību aizsardzību; uzsver, ka vēlēšanu procesi ir jāpadara pārredzamāki, atvērtāki un taisnīgāki visiem politiskajiem dalībniekiem; uzsver, ka pilsoniskajai sabiedrībai var būt svarīga loma demokrātisko reformu, labas pārvaldības un cilvēktiesību aizsardzības atbalstīšanā un veicināšanā Vidusāzijā; pauž nožēlu, ka likumdošanas iniciatīvās attiecībā uz nevalstiskajām organizācijām un medijiem tiek izmantota ierobežojoša pieeja, kas samazina pilsoniskās sabiedrības darbības iespējas; aicina Vidusāzijas valstis veikt nozīmīgus pasākumus, lai novērstu šos trūkumus, īstenotu attiecīgas Starptautiskās Darba organizācijas konvencijas un nodrošinātu atbilstību šo valstu starptautiskajām saistībām attiecībā uz demokrātisku pārvaldību un cilvēktiesību aizsardzību, norādot, ka tās ir apņēmušās to nodrošināt saskaņā ar partnerības un sadarbības nolīgumiem ar ES, apspriestajiem PPSN un ES vispārējo preferenču shēmu Plus; norāda, ka Vidusāzijas valstu iedzīvotāji ir jauni un dinamiski un būtu jādod viņiem iespēja jēgpilni iesaistīties savas valsts nākotnes veidošanā; atzinīgi vērtē ES un Vidusāzijas pilsoniskās sabiedrības foruma darbību un aicina ES palielināt atbalstu pilsoniskajai sabiedrībai;</w:t>
      </w:r>
    </w:p>
    <w:p w:rsidR="00E26C35" w:rsidRPr="00837795" w:rsidRDefault="00E26C35" w:rsidP="00E26C35">
      <w:pPr>
        <w:pStyle w:val="NormalHanging12a"/>
      </w:pPr>
      <w:r w:rsidRPr="00837795">
        <w:t>20.</w:t>
      </w:r>
      <w:r w:rsidRPr="00837795">
        <w:tab/>
        <w:t xml:space="preserve">norāda uz nepieciešamību palielināt Vidusāzijas noturību pret dezinformāciju, veicinot neatkarīgus medijus un saturu vietējās valodās, uzlabojot </w:t>
      </w:r>
      <w:proofErr w:type="spellStart"/>
      <w:r w:rsidRPr="00837795">
        <w:t>medijpratību</w:t>
      </w:r>
      <w:proofErr w:type="spellEnd"/>
      <w:r w:rsidRPr="00837795">
        <w:t xml:space="preserve"> un organizējot mērķtiecīgus kursus vietējiem žurnālistiem; uzsver nepieciešamību stiprināt mediju neatkarību, plurālismu un vārda brīvību Vidusāzijā saskaņā ar augstākajiem demokrātijas standartiem; aicina nodrošināt lielāku </w:t>
      </w:r>
      <w:proofErr w:type="spellStart"/>
      <w:r w:rsidRPr="00837795">
        <w:t>pārredzamību</w:t>
      </w:r>
      <w:proofErr w:type="spellEnd"/>
      <w:r w:rsidRPr="00837795">
        <w:t xml:space="preserve"> attiecībā uz mediju īpašumtiesībām un finansējumu, lai palielinātu mediju neatkarību un plurālismu; pauž nožēlu par to, ka Vidusāzijas iestādes cīņu pret dezinformāciju ir izmantojušas nolūkā ierobežot vārda brīvības likumīgu īstenošanu, cita starpā apsūdzot, iespējams, “nepatiesas” informācijas izplatīšanā, “nesaticības” izraisīšanā un “ekstrēmisma” veicināšanā tos, kuri atklāti runā par korupciju, netaisnību un varas ļaunprātīgu izmantošanu; pauž bažas par arvien biežākiem žurnālistu un </w:t>
      </w:r>
      <w:proofErr w:type="spellStart"/>
      <w:r w:rsidRPr="00837795">
        <w:t>blogeru</w:t>
      </w:r>
      <w:proofErr w:type="spellEnd"/>
      <w:r w:rsidRPr="00837795">
        <w:t xml:space="preserve"> arestiem un par draudiem slēgt neatkarīgus medijus; uzstāj, ka ir jānodrošina žurnālistu, neatkarīgu </w:t>
      </w:r>
      <w:proofErr w:type="spellStart"/>
      <w:r w:rsidRPr="00837795">
        <w:t>blogeru</w:t>
      </w:r>
      <w:proofErr w:type="spellEnd"/>
      <w:r w:rsidRPr="00837795">
        <w:t>, cilvēktiesību aizstāvju, pilsonisko un vides aktīvistu tiesību ievērošana, jānodrošina viņiem aizsardzība pret vajāšanu, spiedienu un draudiem, ir jāizmeklē visi pret viņiem vērstie uzbrukumi un nekavējoties un bez nosacījumiem jāatbrīvo visi nepamatoti aizturētie un ieslodzītie; nosoda vairākas nesenās valdības iniciatīvas slēgt neatkarīgus medijus un bloķēt piekļuvi to objektiem Tadžikistānā un Kirgizstānā, kā arī pašlaik Kirgizstānā un Kazahstānā izskatītos mediju tiesību aktu projektus, kas draud palielināt valsts kontroli pār mediju darbībām;</w:t>
      </w:r>
    </w:p>
    <w:p w:rsidR="00E26C35" w:rsidRPr="00837795" w:rsidRDefault="00E26C35" w:rsidP="00E26C35">
      <w:pPr>
        <w:pStyle w:val="NormalHanging12a"/>
      </w:pPr>
      <w:r w:rsidRPr="00837795">
        <w:t>21.</w:t>
      </w:r>
      <w:r w:rsidRPr="00837795">
        <w:tab/>
        <w:t xml:space="preserve">aicina Vidusāzijas valstu varas iestādes atbrīvot visus politieslodzītos; konkrēti, pieprasa, lai Kazahstānas iestādes atbrīvo šādas personas: </w:t>
      </w:r>
      <w:proofErr w:type="spellStart"/>
      <w:r w:rsidRPr="00837795">
        <w:t>Aigerim</w:t>
      </w:r>
      <w:proofErr w:type="spellEnd"/>
      <w:r w:rsidRPr="00837795">
        <w:t xml:space="preserve"> </w:t>
      </w:r>
      <w:proofErr w:type="spellStart"/>
      <w:r w:rsidRPr="00837795">
        <w:t>Tleuzhan</w:t>
      </w:r>
      <w:proofErr w:type="spellEnd"/>
      <w:r w:rsidRPr="00837795">
        <w:t xml:space="preserve">, Marat </w:t>
      </w:r>
      <w:proofErr w:type="spellStart"/>
      <w:r w:rsidRPr="00837795">
        <w:t>Zhylanbayev</w:t>
      </w:r>
      <w:proofErr w:type="spellEnd"/>
      <w:r w:rsidRPr="00837795">
        <w:t xml:space="preserve">, </w:t>
      </w:r>
      <w:proofErr w:type="spellStart"/>
      <w:r w:rsidRPr="00837795">
        <w:t>Bekizhan</w:t>
      </w:r>
      <w:proofErr w:type="spellEnd"/>
      <w:r w:rsidRPr="00837795">
        <w:t xml:space="preserve"> </w:t>
      </w:r>
      <w:proofErr w:type="spellStart"/>
      <w:r w:rsidRPr="00837795">
        <w:t>Mendygaziyev</w:t>
      </w:r>
      <w:proofErr w:type="spellEnd"/>
      <w:r w:rsidRPr="00837795">
        <w:t xml:space="preserve">, </w:t>
      </w:r>
      <w:proofErr w:type="spellStart"/>
      <w:r w:rsidRPr="00837795">
        <w:t>Timur</w:t>
      </w:r>
      <w:proofErr w:type="spellEnd"/>
      <w:r w:rsidRPr="00837795">
        <w:t xml:space="preserve"> </w:t>
      </w:r>
      <w:proofErr w:type="spellStart"/>
      <w:r w:rsidRPr="00837795">
        <w:t>Danebayev</w:t>
      </w:r>
      <w:proofErr w:type="spellEnd"/>
      <w:r w:rsidRPr="00837795">
        <w:t xml:space="preserve">, </w:t>
      </w:r>
      <w:proofErr w:type="spellStart"/>
      <w:r w:rsidRPr="00837795">
        <w:t>Kairat</w:t>
      </w:r>
      <w:proofErr w:type="spellEnd"/>
      <w:r w:rsidRPr="00837795">
        <w:t xml:space="preserve"> </w:t>
      </w:r>
      <w:proofErr w:type="spellStart"/>
      <w:r w:rsidRPr="00837795">
        <w:t>Klyshev</w:t>
      </w:r>
      <w:proofErr w:type="spellEnd"/>
      <w:r w:rsidRPr="00837795">
        <w:t xml:space="preserve">; Kirgizstānas iestādes – šādas personas: </w:t>
      </w:r>
      <w:proofErr w:type="spellStart"/>
      <w:r w:rsidRPr="00837795">
        <w:t>Azimbek</w:t>
      </w:r>
      <w:proofErr w:type="spellEnd"/>
      <w:r w:rsidRPr="00837795">
        <w:t xml:space="preserve"> </w:t>
      </w:r>
      <w:proofErr w:type="spellStart"/>
      <w:r w:rsidRPr="00837795">
        <w:t>Beknazarov</w:t>
      </w:r>
      <w:proofErr w:type="spellEnd"/>
      <w:r w:rsidRPr="00837795">
        <w:t xml:space="preserve">, </w:t>
      </w:r>
      <w:proofErr w:type="spellStart"/>
      <w:r w:rsidRPr="00837795">
        <w:t>Aibek</w:t>
      </w:r>
      <w:proofErr w:type="spellEnd"/>
      <w:r w:rsidRPr="00837795">
        <w:t xml:space="preserve"> </w:t>
      </w:r>
      <w:proofErr w:type="spellStart"/>
      <w:r w:rsidRPr="00837795">
        <w:t>Buzurmankulov</w:t>
      </w:r>
      <w:proofErr w:type="spellEnd"/>
      <w:r w:rsidRPr="00837795">
        <w:t xml:space="preserve">, </w:t>
      </w:r>
      <w:proofErr w:type="spellStart"/>
      <w:r w:rsidRPr="00837795">
        <w:t>Aidanbek</w:t>
      </w:r>
      <w:proofErr w:type="spellEnd"/>
      <w:r w:rsidRPr="00837795">
        <w:t xml:space="preserve"> </w:t>
      </w:r>
      <w:proofErr w:type="spellStart"/>
      <w:r w:rsidRPr="00837795">
        <w:t>Akmatov</w:t>
      </w:r>
      <w:proofErr w:type="spellEnd"/>
      <w:r w:rsidRPr="00837795">
        <w:t xml:space="preserve">, </w:t>
      </w:r>
      <w:proofErr w:type="spellStart"/>
      <w:r w:rsidRPr="00837795">
        <w:t>Temir</w:t>
      </w:r>
      <w:proofErr w:type="spellEnd"/>
      <w:r w:rsidRPr="00837795">
        <w:t xml:space="preserve"> </w:t>
      </w:r>
      <w:proofErr w:type="spellStart"/>
      <w:r w:rsidRPr="00837795">
        <w:t>Makhmudov</w:t>
      </w:r>
      <w:proofErr w:type="spellEnd"/>
      <w:r w:rsidRPr="00837795">
        <w:t xml:space="preserve">, Marat </w:t>
      </w:r>
      <w:proofErr w:type="spellStart"/>
      <w:r w:rsidRPr="00837795">
        <w:t>Bayazov</w:t>
      </w:r>
      <w:proofErr w:type="spellEnd"/>
      <w:r w:rsidRPr="00837795">
        <w:t xml:space="preserve">; Uzbekistānas iestādes – šādas personas: </w:t>
      </w:r>
      <w:proofErr w:type="spellStart"/>
      <w:r w:rsidRPr="00837795">
        <w:t>Dauletmurat</w:t>
      </w:r>
      <w:proofErr w:type="spellEnd"/>
      <w:r w:rsidRPr="00837795">
        <w:t xml:space="preserve"> </w:t>
      </w:r>
      <w:proofErr w:type="spellStart"/>
      <w:r w:rsidRPr="00837795">
        <w:t>Tazhimuratov</w:t>
      </w:r>
      <w:proofErr w:type="spellEnd"/>
      <w:r w:rsidRPr="00837795">
        <w:t xml:space="preserve">, </w:t>
      </w:r>
      <w:proofErr w:type="spellStart"/>
      <w:r w:rsidRPr="00837795">
        <w:t>Allabai</w:t>
      </w:r>
      <w:proofErr w:type="spellEnd"/>
      <w:r w:rsidRPr="00837795">
        <w:t xml:space="preserve"> </w:t>
      </w:r>
      <w:proofErr w:type="spellStart"/>
      <w:r w:rsidRPr="00837795">
        <w:t>Tokymbetov</w:t>
      </w:r>
      <w:proofErr w:type="spellEnd"/>
      <w:r w:rsidRPr="00837795">
        <w:t xml:space="preserve">, </w:t>
      </w:r>
      <w:proofErr w:type="spellStart"/>
      <w:r w:rsidRPr="00837795">
        <w:t>Nurlan</w:t>
      </w:r>
      <w:proofErr w:type="spellEnd"/>
      <w:r w:rsidRPr="00837795">
        <w:t xml:space="preserve"> </w:t>
      </w:r>
      <w:proofErr w:type="spellStart"/>
      <w:r w:rsidRPr="00837795">
        <w:t>Naiypov</w:t>
      </w:r>
      <w:proofErr w:type="spellEnd"/>
      <w:r w:rsidRPr="00837795">
        <w:t xml:space="preserve">, </w:t>
      </w:r>
      <w:proofErr w:type="spellStart"/>
      <w:r w:rsidRPr="00837795">
        <w:t>Amirbek</w:t>
      </w:r>
      <w:proofErr w:type="spellEnd"/>
      <w:r w:rsidRPr="00837795">
        <w:t xml:space="preserve"> </w:t>
      </w:r>
      <w:proofErr w:type="spellStart"/>
      <w:r w:rsidRPr="00837795">
        <w:t>Adilbekov</w:t>
      </w:r>
      <w:proofErr w:type="spellEnd"/>
      <w:r w:rsidRPr="00837795">
        <w:t xml:space="preserve">; Tadžikistānas iestādes – šādas personas: </w:t>
      </w:r>
      <w:proofErr w:type="spellStart"/>
      <w:r w:rsidRPr="00837795">
        <w:t>Faromuz</w:t>
      </w:r>
      <w:proofErr w:type="spellEnd"/>
      <w:r w:rsidRPr="00837795">
        <w:t xml:space="preserve"> </w:t>
      </w:r>
      <w:proofErr w:type="spellStart"/>
      <w:r w:rsidRPr="00837795">
        <w:t>Irgashov</w:t>
      </w:r>
      <w:proofErr w:type="spellEnd"/>
      <w:r w:rsidRPr="00837795">
        <w:t xml:space="preserve">, </w:t>
      </w:r>
      <w:proofErr w:type="spellStart"/>
      <w:r w:rsidRPr="00837795">
        <w:t>Ulfatkhonim</w:t>
      </w:r>
      <w:proofErr w:type="spellEnd"/>
      <w:r w:rsidRPr="00837795">
        <w:t xml:space="preserve"> </w:t>
      </w:r>
      <w:proofErr w:type="spellStart"/>
      <w:r w:rsidRPr="00837795">
        <w:t>Mamadshoeva</w:t>
      </w:r>
      <w:proofErr w:type="spellEnd"/>
      <w:r w:rsidRPr="00837795">
        <w:t xml:space="preserve">, </w:t>
      </w:r>
      <w:proofErr w:type="spellStart"/>
      <w:r w:rsidRPr="00837795">
        <w:t>Khursand</w:t>
      </w:r>
      <w:proofErr w:type="spellEnd"/>
      <w:r w:rsidRPr="00837795">
        <w:t xml:space="preserve"> </w:t>
      </w:r>
      <w:proofErr w:type="spellStart"/>
      <w:r w:rsidRPr="00837795">
        <w:t>Mamadshoev</w:t>
      </w:r>
      <w:proofErr w:type="spellEnd"/>
      <w:r w:rsidRPr="00837795">
        <w:t xml:space="preserve">, </w:t>
      </w:r>
      <w:proofErr w:type="spellStart"/>
      <w:r w:rsidRPr="00837795">
        <w:t>Khushruz</w:t>
      </w:r>
      <w:proofErr w:type="spellEnd"/>
      <w:r w:rsidRPr="00837795">
        <w:t xml:space="preserve"> </w:t>
      </w:r>
      <w:proofErr w:type="spellStart"/>
      <w:r w:rsidRPr="00837795">
        <w:t>Djumaev</w:t>
      </w:r>
      <w:proofErr w:type="spellEnd"/>
      <w:r w:rsidRPr="00837795">
        <w:t xml:space="preserve">; un Turkmenistānas iestādes – šādas personas: </w:t>
      </w:r>
      <w:proofErr w:type="spellStart"/>
      <w:r w:rsidRPr="00837795">
        <w:t>Omruzak</w:t>
      </w:r>
      <w:proofErr w:type="spellEnd"/>
      <w:r w:rsidRPr="00837795">
        <w:t xml:space="preserve"> </w:t>
      </w:r>
      <w:proofErr w:type="spellStart"/>
      <w:r w:rsidRPr="00837795">
        <w:t>Omarkuliev</w:t>
      </w:r>
      <w:proofErr w:type="spellEnd"/>
      <w:r w:rsidRPr="00837795">
        <w:t xml:space="preserve">, </w:t>
      </w:r>
      <w:proofErr w:type="spellStart"/>
      <w:r w:rsidRPr="00837795">
        <w:t>Murat</w:t>
      </w:r>
      <w:proofErr w:type="spellEnd"/>
      <w:r w:rsidRPr="00837795">
        <w:t xml:space="preserve"> </w:t>
      </w:r>
      <w:proofErr w:type="spellStart"/>
      <w:r w:rsidRPr="00837795">
        <w:t>Dushemov</w:t>
      </w:r>
      <w:proofErr w:type="spellEnd"/>
      <w:r w:rsidRPr="00837795">
        <w:t xml:space="preserve">, </w:t>
      </w:r>
      <w:proofErr w:type="spellStart"/>
      <w:r w:rsidRPr="00837795">
        <w:t>Murat</w:t>
      </w:r>
      <w:proofErr w:type="spellEnd"/>
      <w:r w:rsidRPr="00837795">
        <w:t xml:space="preserve"> </w:t>
      </w:r>
      <w:proofErr w:type="spellStart"/>
      <w:r w:rsidRPr="00837795">
        <w:t>Ovezov</w:t>
      </w:r>
      <w:proofErr w:type="spellEnd"/>
      <w:r w:rsidRPr="00837795">
        <w:t xml:space="preserve">, </w:t>
      </w:r>
      <w:proofErr w:type="spellStart"/>
      <w:r w:rsidRPr="00837795">
        <w:t>Mansur</w:t>
      </w:r>
      <w:proofErr w:type="spellEnd"/>
      <w:r w:rsidRPr="00837795">
        <w:t xml:space="preserve"> </w:t>
      </w:r>
      <w:proofErr w:type="spellStart"/>
      <w:r w:rsidRPr="00837795">
        <w:t>Mingelov</w:t>
      </w:r>
      <w:proofErr w:type="spellEnd"/>
      <w:r w:rsidRPr="00837795">
        <w:t xml:space="preserve">, </w:t>
      </w:r>
      <w:proofErr w:type="spellStart"/>
      <w:r w:rsidRPr="00837795">
        <w:t>Nurgeldy</w:t>
      </w:r>
      <w:proofErr w:type="spellEnd"/>
      <w:r w:rsidRPr="00837795">
        <w:t xml:space="preserve"> </w:t>
      </w:r>
      <w:proofErr w:type="spellStart"/>
      <w:r w:rsidRPr="00837795">
        <w:t>Khalykov</w:t>
      </w:r>
      <w:proofErr w:type="spellEnd"/>
      <w:r w:rsidRPr="00837795">
        <w:t>;</w:t>
      </w:r>
    </w:p>
    <w:p w:rsidR="00E26C35" w:rsidRPr="00837795" w:rsidRDefault="00E26C35" w:rsidP="00E26C35">
      <w:pPr>
        <w:pStyle w:val="NormalHanging12a"/>
      </w:pPr>
      <w:r w:rsidRPr="00837795">
        <w:lastRenderedPageBreak/>
        <w:t>22.</w:t>
      </w:r>
      <w:r w:rsidRPr="00837795">
        <w:tab/>
        <w:t xml:space="preserve">pauž bažas par to, ka, lai gan dzimumu līdztiesību, domājams, aizsargā tiesību akti visās valstīs, Vidusāzijā joprojām ir plaši izplatīta ar dzimumu saistīta vardarbība, vardarbība ģimenē, bērnu laulības, etnisko un reliģisko minoritāšu un </w:t>
      </w:r>
      <w:r w:rsidRPr="00837795">
        <w:rPr>
          <w:i/>
          <w:iCs/>
        </w:rPr>
        <w:t>LGTBIQ</w:t>
      </w:r>
      <w:r w:rsidRPr="00837795">
        <w:t xml:space="preserve"> personu diskriminācija un aizskaršana; mudina Vidusāzijas valstu valdības novērst šos cilvēktiesību pārkāpumus, izmantojot atbilstīgus tiesību aktus, izglītojošas kampaņas un pasākumus, tostarp palielinot valsts amatpersonu, jo īpaši policijas darbinieku, informētību un kvalifikāciju, stiprinot pilsoniskās sabiedrības organizāciju spēju iestāties par tiesību aktu izmaiņām, uzlabojot svarīgāko pakalpojumu sniegšanu cietušajām personām un palielinot informētību, lai apkarotu pastāvošos stereotipus un veicinātu līdztiesību sabiedrībā; pauž bažas par to, ka </w:t>
      </w:r>
      <w:r w:rsidRPr="00837795">
        <w:rPr>
          <w:i/>
          <w:iCs/>
        </w:rPr>
        <w:t>LGBTIQ</w:t>
      </w:r>
      <w:r w:rsidRPr="00837795">
        <w:t xml:space="preserve"> personas joprojām tiek </w:t>
      </w:r>
      <w:proofErr w:type="spellStart"/>
      <w:r w:rsidRPr="00837795">
        <w:t>kriminalizētas</w:t>
      </w:r>
      <w:proofErr w:type="spellEnd"/>
      <w:r w:rsidRPr="00837795">
        <w:t xml:space="preserve">, lielākajā daļā valstu trūkst tiesību </w:t>
      </w:r>
      <w:proofErr w:type="spellStart"/>
      <w:r w:rsidRPr="00837795">
        <w:t>pamataktu</w:t>
      </w:r>
      <w:proofErr w:type="spellEnd"/>
      <w:r w:rsidRPr="00837795">
        <w:t xml:space="preserve"> diskriminācijas novēršanai, pret lesbietēm tiek vērsta koriģējoša </w:t>
      </w:r>
      <w:proofErr w:type="spellStart"/>
      <w:r w:rsidRPr="00837795">
        <w:t>izvarošana</w:t>
      </w:r>
      <w:proofErr w:type="spellEnd"/>
      <w:r w:rsidRPr="00837795">
        <w:t xml:space="preserve"> un nav drošas vides, kur </w:t>
      </w:r>
      <w:r w:rsidRPr="00837795">
        <w:rPr>
          <w:i/>
          <w:iCs/>
        </w:rPr>
        <w:t>LGBTIQ</w:t>
      </w:r>
      <w:r w:rsidRPr="00837795">
        <w:t xml:space="preserve"> personas varētu pulcēties, un joprojām bāros un sociālajās telpās notiek reidi un pieaug policijas brutalitāte; uzsver, ka jebkurai ES stratēģijai attiecībā uz Vidusāziju ir jāatbilst ES Dzimumu līdztiesības rīcības plānam III;</w:t>
      </w:r>
    </w:p>
    <w:p w:rsidR="00E26C35" w:rsidRPr="00837795" w:rsidRDefault="00E26C35" w:rsidP="00E26C35">
      <w:pPr>
        <w:pStyle w:val="NormalHanging12a"/>
      </w:pPr>
      <w:r w:rsidRPr="00837795">
        <w:t>23.</w:t>
      </w:r>
      <w:r w:rsidRPr="00837795">
        <w:tab/>
        <w:t xml:space="preserve">atkārtoti pauž bažas par plaši izplatīto korupciju un </w:t>
      </w:r>
      <w:proofErr w:type="spellStart"/>
      <w:r w:rsidRPr="00837795">
        <w:t>kleptokrātiju</w:t>
      </w:r>
      <w:proofErr w:type="spellEnd"/>
      <w:r w:rsidRPr="00837795">
        <w:t xml:space="preserve"> Vidusāzijā, kas mazina uzticēšanos valdībai, veicina nevienlīdzību, liedz iedzīvotājiem sabiedrisko pakalpojumu izmantošanas iespējas un palēnina ekonomikas izaugsmi; aicina Vidusāzijas valdības ne tikai izmantot plaši izplatītu pretkorupcijas retoriku, bet veikt pasākumus un beidzot apņemties apkarot korupciju un </w:t>
      </w:r>
      <w:proofErr w:type="spellStart"/>
      <w:r w:rsidRPr="00837795">
        <w:t>kleptokrātiju</w:t>
      </w:r>
      <w:proofErr w:type="spellEnd"/>
      <w:r w:rsidRPr="00837795">
        <w:t xml:space="preserve"> un pieņemt valstu stratēģijas, kas uzmanības centrā liek integrētu pieeju korupcijas novēršanai un izskaušanai, kā arī palielināt </w:t>
      </w:r>
      <w:proofErr w:type="spellStart"/>
      <w:r w:rsidRPr="00837795">
        <w:t>pārredzamību</w:t>
      </w:r>
      <w:proofErr w:type="spellEnd"/>
      <w:r w:rsidRPr="00837795">
        <w:t xml:space="preserve"> un piekļuvi informācijai un ierobežot privāto ietekmi;</w:t>
      </w:r>
    </w:p>
    <w:p w:rsidR="00E26C35" w:rsidRPr="00837795" w:rsidRDefault="00E26C35" w:rsidP="00E26C35">
      <w:pPr>
        <w:pStyle w:val="NormalHanging12a"/>
      </w:pPr>
      <w:r w:rsidRPr="00837795">
        <w:t>24.</w:t>
      </w:r>
      <w:r w:rsidRPr="00837795">
        <w:tab/>
        <w:t>uzsver, ka ES būtu jāizmanto savs pozitīvais tēls Vidusāzijā, plašāk iesaistoties kultūras un publiskajā diplomātijā; aicina stiprināt saiknes un palielināt sadarbības iespējas starp Eiropas un Vidusāzijas iestādēm un veicināt cilvēku savstarpējos kontaktus un mobilitāti, sniedzot iespējas izglītībā un zinātnē, piemēram, akadēmiskā līmeņa apmaiņā, izmantojot programmas “</w:t>
      </w:r>
      <w:proofErr w:type="spellStart"/>
      <w:r w:rsidRPr="00837795">
        <w:t>Erasmus</w:t>
      </w:r>
      <w:proofErr w:type="spellEnd"/>
      <w:r w:rsidRPr="00837795">
        <w:t>+” un “Apvārsnis 2020”, kā arī palielinot ilgtspējīgu tūrismu;</w:t>
      </w:r>
    </w:p>
    <w:p w:rsidR="00E26C35" w:rsidRPr="00837795" w:rsidRDefault="00E26C35" w:rsidP="00E26C35">
      <w:pPr>
        <w:pStyle w:val="NormalHanging12a"/>
      </w:pPr>
      <w:r w:rsidRPr="00837795">
        <w:t>25.</w:t>
      </w:r>
      <w:r w:rsidRPr="00837795">
        <w:tab/>
        <w:t xml:space="preserve">norāda uz Vidusāzijas valstu vēlmi sākt dialogu ar ES par vīzu režīma liberalizāciju un aicina Komisiju intensīvāk apspriest mērķtiecīgu un visaptverošu reformu ceļvežu izstrādi Vidusāzijas valstīm, lai pavērtu ceļu vīzu režīma atvieglošanas un </w:t>
      </w:r>
      <w:proofErr w:type="spellStart"/>
      <w:r w:rsidRPr="00837795">
        <w:t>atpakaļuzņemšanas</w:t>
      </w:r>
      <w:proofErr w:type="spellEnd"/>
      <w:r w:rsidRPr="00837795">
        <w:t xml:space="preserve"> nolīgumiem;</w:t>
      </w:r>
    </w:p>
    <w:p w:rsidR="00E26C35" w:rsidRPr="00837795" w:rsidRDefault="00E26C35" w:rsidP="00E26C35">
      <w:pPr>
        <w:pStyle w:val="NormalHanging12a"/>
        <w:rPr>
          <w:b/>
          <w:i/>
        </w:rPr>
      </w:pPr>
      <w:r w:rsidRPr="00837795">
        <w:rPr>
          <w:b/>
          <w:i/>
        </w:rPr>
        <w:t>Divpusējā sadarbība</w:t>
      </w:r>
    </w:p>
    <w:p w:rsidR="00E26C35" w:rsidRPr="00837795" w:rsidRDefault="00E26C35" w:rsidP="00E26C35">
      <w:pPr>
        <w:pStyle w:val="NormalHanging12a"/>
      </w:pPr>
      <w:r w:rsidRPr="00837795">
        <w:t>26.</w:t>
      </w:r>
      <w:r w:rsidRPr="00837795">
        <w:tab/>
      </w:r>
      <w:r w:rsidR="00837795" w:rsidRPr="00837795">
        <w:t xml:space="preserve">norāda, ka Kazahstāna ir pirmā Vidusāzijas valsts ar ratificētu PPSN, kas nodrošina stabilu pamatu sadarbības paplašināšanai tādās svarīgās savstarpējo interešu jomās kā savienojamība, energoefektivitāte, zaļā ekonomika un </w:t>
      </w:r>
      <w:proofErr w:type="spellStart"/>
      <w:r w:rsidR="00837795" w:rsidRPr="00837795">
        <w:t>digitalizācija</w:t>
      </w:r>
      <w:proofErr w:type="spellEnd"/>
      <w:r w:rsidR="00837795" w:rsidRPr="00837795">
        <w:t xml:space="preserve">; atzinīgi vērtē saprašanās memoranda parakstīšanu starp Kazahstānas Republiku un ES par stratēģisku partnerību ilgtspējīgu izejvielu, akumulatoru un </w:t>
      </w:r>
      <w:proofErr w:type="spellStart"/>
      <w:r w:rsidR="00837795" w:rsidRPr="00837795">
        <w:t>atjaunīgā</w:t>
      </w:r>
      <w:proofErr w:type="spellEnd"/>
      <w:r w:rsidR="00837795" w:rsidRPr="00837795">
        <w:t xml:space="preserve"> ūdeņraža vērtības ķēžu jomā; aicina Kazahstānas iestādes turpināt īstenot politiskās un ekonomiskās reformas, kurām būtu jāstiprina demokrātija, tiesiskums un laba pārvaldība; uzsver, ka redzējuma „Taisnīga un godīga Kazahstāna” īstenošanai ir jāietver cilvēktiesību un vārda, biedrošanās un pulcēšanās brīvības ievērošanas nodrošināšana un vēlēšanu sistēmas uzlabošana saskaņā ar EDSO Demokrātisku iestāžu un cilvēktiesību biroja ieteikumiem; aicina Kazahstānas iestādes pabeigt izmeklēšanu par 2022. gada janvāra notikumiem, publicēt tās konstatējumus un nodrošināt taisnīgumu spīdzināšanas upuriem; norāda uz </w:t>
      </w:r>
      <w:r w:rsidR="00837795" w:rsidRPr="00837795">
        <w:lastRenderedPageBreak/>
        <w:t>potenciālajiem ieguvumiem, ko varētu sniegt pastiprināta cilvēku savstarpējā saziņa ar Kazahstānu, izmantojot nolīgumu par vīzu režīma atvieglošanu, par kuru apspriedes sākās 2023. gada maijā;</w:t>
      </w:r>
    </w:p>
    <w:p w:rsidR="00E26C35" w:rsidRPr="00837795" w:rsidRDefault="00E26C35" w:rsidP="00E26C35">
      <w:pPr>
        <w:pStyle w:val="NormalHanging12a"/>
      </w:pPr>
      <w:r w:rsidRPr="00837795">
        <w:t>27.</w:t>
      </w:r>
      <w:r w:rsidRPr="00837795">
        <w:tab/>
        <w:t>uzsver, ka gaidāmā PPSN parakstīšana un pašreizējā VPS+ īstenošana vēl vairāk ir akcentējusi nepieciešamību nodrošināt Kirgizstānā cilvēktiesību un pamatbrīvību ievērošanu saskaņā ar tās starptautiskajām saistībām; ar bažām konstatē, ka pēdējos gados ir pasliktinājušies demokrātijas standarti un cilvēktiesības, ņemot vērā to, ka Kirgizstāna tiek uzskatīta par visdemokrātiskāko reģiona valsti, kurā ir dinamiska pilsoniskā sabiedrība un brīvi mediji; pauž bažas par politiskās opozīcijas, tostarp Sociāldemokrātiskās partijas pārstāvju, vajāšanu un par negatīvo ietekmi, ko rada likumdošanas iniciatīvas, kas vērstas pret neatkarīgu mediju un pilsoniskās sabiedrības darbībām, jo īpaši likums par "viltus informāciju” un likumprojekti par “ārvalstu pārstāvjiem”, “masu medijiem” un ”bērnu aizsardzību pret kaitīgu informāciju”, kā arī par to, ka pieaug pret cilvēktiesību aizstāvjiem, mediju darbiniekiem un žurnālistiem, kā arī medijiem vērstu lietu skaits; aicina ES turpināt atbalstīt pilsonisko sabiedrību un neatkarīgos medijus;</w:t>
      </w:r>
    </w:p>
    <w:p w:rsidR="00E26C35" w:rsidRPr="00837795" w:rsidRDefault="00E26C35" w:rsidP="00E26C35">
      <w:pPr>
        <w:pStyle w:val="NormalHanging12a"/>
      </w:pPr>
      <w:r w:rsidRPr="00837795">
        <w:t>28.</w:t>
      </w:r>
      <w:r w:rsidRPr="00837795">
        <w:tab/>
        <w:t xml:space="preserve">norāda, ka sarunu sākšana par PPSN nolīgumu ar Tadžikistānu ir iespēja paplašināt divpusējās sadarbības un apmaiņas jomu; uzsver, ka ir jāturpina cieša sadarbība drošības jautājumos, jo Afganistāna joprojām ir nestabilitātes un drošības problēmu avots, ko rada talibu skarbā vara un humanitārās krīzes valstī; atkārtoti uzsver, ka likumīgo cīņu pret terorismu un ekstrēmismu nedrīkst izmantot par attaisnojumu, lai apspiestu opozīcijas darbību, ierobežotu vārda brīvību vai apdraudētu tiesu iestāžu neatkarību; atzinīgi vērtē Tadžikistānas interesi pievienoties VPS+, kas var atbalstīt ilgtspējīgu ekonomikas izaugsmi un veicināt tirdzniecību, un prasa efektīvi īstenot starptautiskos cilvēktiesību un darba tiesību standartus; aicina Tadžikistānu uzlabot cilvēktiesību un pamatbrīvību aizsardzību, jo īpaši vārda brīvību, un pārtraukt mediju darbinieku, cilvēktiesību aizstāvju, neatkarīgo juristu un pilsoniskās sabiedrības iebiedēšanu un vajāšanu, kā arī represijas pret </w:t>
      </w:r>
      <w:proofErr w:type="spellStart"/>
      <w:r w:rsidRPr="00837795">
        <w:t>pamiriešu</w:t>
      </w:r>
      <w:proofErr w:type="spellEnd"/>
      <w:r w:rsidRPr="00837795">
        <w:t xml:space="preserve"> minoritāti GBAO;</w:t>
      </w:r>
    </w:p>
    <w:p w:rsidR="00E26C35" w:rsidRPr="00837795" w:rsidRDefault="00E26C35" w:rsidP="00E26C35">
      <w:pPr>
        <w:pStyle w:val="NormalHanging12a"/>
        <w:rPr>
          <w:i/>
          <w:u w:val="single"/>
        </w:rPr>
      </w:pPr>
      <w:r w:rsidRPr="00837795">
        <w:t>29.</w:t>
      </w:r>
      <w:r w:rsidRPr="00837795">
        <w:tab/>
        <w:t>norāda, ka Turkmenistāna joprojām ir vienīgā Vidusāzijas valsts, kurai nav PSN ar ES, un tas ierobežo divpusējās iesaistes iespējas; uzsver ― lai Parlaments varētu pārskatīt savu nostāju un ratificēt PSN, Turkmenistānai ir jāapliecina, ka tās smagā demokrātijas un cilvēktiesību situācija ir uzlabojusies; mudina Turkmenistānas valdību atcelt kriminālatbildību par abpusēji labprātīgām seksuālajām attiecībām starp vīriešiem; norāda, ka Turkmenistānas interesēs ir kļūt atvērtai, lai tā nebūtu izolēta reģiona valsts, kurai ir ierobežotas sadarbības iespējas; atzīst savstarpēji izdevīgas sadarbības potenciālu tādās jomās kā enerģētika, savienojamība un tirdzniecība un atzinīgi vērtē Turkmenistānas pausto interesi piegādāt gāzi Eiropai, izbūvējot Kaspijas jūras gāzes cauruļvadu;</w:t>
      </w:r>
    </w:p>
    <w:p w:rsidR="00E26C35" w:rsidRPr="00837795" w:rsidRDefault="00E26C35" w:rsidP="00E26C35">
      <w:pPr>
        <w:pStyle w:val="NormalHanging12a"/>
        <w:rPr>
          <w:i/>
          <w:u w:val="single"/>
        </w:rPr>
      </w:pPr>
      <w:r w:rsidRPr="00837795">
        <w:t>30.</w:t>
      </w:r>
      <w:r w:rsidRPr="00837795">
        <w:tab/>
        <w:t xml:space="preserve">norāda uz Uzbekistānas paziņotajām reformām, kuru mērķis ir panākt patiesas pārmaiņas valstī attiecībā uz sociālekonomisko attīstību, efektīvu pārvaldi, neatkarīgāku tiesu sistēmu un cilvēktiesību un pamatbrīvību ievērošanu; uzsver, ka konstitucionālā reforma ir iespēja stiprināt tiesiskumu un nodrošināt reformām stabilu juridisko pamatu; tomēr atkārtoti pauž dziļas bažas par Uzbekistānas sliktajiem rādītājiem demokrātijas, mediju brīvības, cilvēktiesību un tiesiskuma jomā, tostarp par </w:t>
      </w:r>
      <w:proofErr w:type="spellStart"/>
      <w:r w:rsidRPr="00837795">
        <w:t>Karakalpakstānas</w:t>
      </w:r>
      <w:proofErr w:type="spellEnd"/>
      <w:r w:rsidRPr="00837795">
        <w:t xml:space="preserve"> protestu brutālo apspiešanu un biedrošanās brīvības ierobežojumiem, kas noteikti gan nevalstiskajām organizācijām, gan politiskajām partijām, kā arī žurnālistu, neatkarīgo </w:t>
      </w:r>
      <w:proofErr w:type="spellStart"/>
      <w:r w:rsidRPr="00837795">
        <w:t>blogeru</w:t>
      </w:r>
      <w:proofErr w:type="spellEnd"/>
      <w:r w:rsidRPr="00837795">
        <w:t xml:space="preserve">, satura veidotāju un cilvēktiesību aizstāvju vajāšanu un pret viņiem vērstajiem </w:t>
      </w:r>
      <w:r w:rsidRPr="00837795">
        <w:lastRenderedPageBreak/>
        <w:t xml:space="preserve">draudiem; atgādina iestādēm, ka ir svarīgi saglabāt vārda brīvību gan tiešsaistē, gan </w:t>
      </w:r>
      <w:proofErr w:type="spellStart"/>
      <w:r w:rsidRPr="00837795">
        <w:t>bezsaistē</w:t>
      </w:r>
      <w:proofErr w:type="spellEnd"/>
      <w:r w:rsidRPr="00837795">
        <w:t xml:space="preserve">, pulcēšanās brīvību, biedrošanās brīvību un mediju neatkarību; atzinīgi vērtē dažus vērā ņemamus uzlabojumus Uzbekistānā sieviešu tiesību jomā; mudina Uzbekistānas valdību atcelt kriminālatbildību par abpusēji labprātīgām seksuālajām attiecībām starp vīriešiem; atzinīgi vērtē sarunu pabeigšanu par ES un Uzbekistānas PPSN un atkārtoti aicina ātri pabeigt nepieciešamās juridiskās un tehniskās procedūras PPSN parakstīšanai; atzinīgi vērtē Uzbekistānas vadošo lomu reģionālās sadarbības veicināšanā dažādās jomās, tostarp attiecībā uz savienojamību un ūdens resursu izmantošanu; </w:t>
      </w:r>
    </w:p>
    <w:p w:rsidR="00E26C35" w:rsidRPr="00837795" w:rsidRDefault="00E26C35" w:rsidP="00E26C35">
      <w:pPr>
        <w:pStyle w:val="NormalCenter12a"/>
      </w:pPr>
      <w:r w:rsidRPr="00837795">
        <w:t>°</w:t>
      </w:r>
    </w:p>
    <w:p w:rsidR="00E26C35" w:rsidRPr="00837795" w:rsidRDefault="00E26C35" w:rsidP="00E26C35">
      <w:pPr>
        <w:pStyle w:val="NormalCenter12a"/>
      </w:pPr>
      <w:r w:rsidRPr="00837795">
        <w:t>°</w:t>
      </w:r>
      <w:r w:rsidRPr="00837795">
        <w:tab/>
        <w:t>°</w:t>
      </w:r>
    </w:p>
    <w:p w:rsidR="00E26C35" w:rsidRPr="00837795" w:rsidRDefault="00E26C35" w:rsidP="00E26C35">
      <w:pPr>
        <w:pStyle w:val="NormalHanging12a"/>
        <w:ind w:left="560" w:hanging="560"/>
      </w:pPr>
      <w:r w:rsidRPr="00837795">
        <w:t>31.</w:t>
      </w:r>
      <w:r w:rsidRPr="00837795">
        <w:tab/>
        <w:t>uzdod priekšsēdētājai šo rezolūciju nosūtīt Padomei, Komisijai, Komisijas priekšsēdētājas vietniekam / Savienības Augstajam pārstāvim ārlietās un drošības politikas jautājumos un Kazahstānas, Kirgizstānas, Tadžikistānas, Turkmenistānas un Uzbekistānas prezidentiem, valdībām un parlamentiem.</w:t>
      </w:r>
    </w:p>
    <w:sectPr w:rsidR="00E26C35" w:rsidRPr="00837795" w:rsidSect="002B66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0AD" w:rsidRPr="002B6614" w:rsidRDefault="001330AD">
      <w:r w:rsidRPr="002B6614">
        <w:separator/>
      </w:r>
    </w:p>
  </w:endnote>
  <w:endnote w:type="continuationSeparator" w:id="0">
    <w:p w:rsidR="001330AD" w:rsidRPr="002B6614" w:rsidRDefault="001330AD">
      <w:r w:rsidRPr="002B6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6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6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6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0AD" w:rsidRPr="002B6614" w:rsidRDefault="001330AD">
      <w:r w:rsidRPr="002B6614">
        <w:separator/>
      </w:r>
    </w:p>
  </w:footnote>
  <w:footnote w:type="continuationSeparator" w:id="0">
    <w:p w:rsidR="001330AD" w:rsidRPr="002B6614" w:rsidRDefault="001330AD">
      <w:r w:rsidRPr="002B6614">
        <w:continuationSeparator/>
      </w:r>
    </w:p>
  </w:footnote>
  <w:footnote w:id="1">
    <w:p w:rsidR="00E26C35" w:rsidRPr="002B6614" w:rsidRDefault="00E26C35" w:rsidP="002B6614">
      <w:pPr>
        <w:pStyle w:val="FootnoteText"/>
        <w:ind w:left="567" w:hanging="567"/>
        <w:rPr>
          <w:sz w:val="24"/>
          <w:lang w:val="lv-LV"/>
        </w:rPr>
      </w:pPr>
      <w:r w:rsidRPr="002B6614">
        <w:rPr>
          <w:rStyle w:val="FootnoteReference"/>
          <w:sz w:val="24"/>
          <w:lang w:val="lv-LV"/>
        </w:rPr>
        <w:footnoteRef/>
      </w:r>
      <w:r w:rsidR="002B6614" w:rsidRPr="002B6614">
        <w:rPr>
          <w:sz w:val="24"/>
          <w:lang w:val="lv-LV"/>
        </w:rPr>
        <w:t xml:space="preserve"> </w:t>
      </w:r>
      <w:r w:rsidR="002B6614" w:rsidRPr="002B6614">
        <w:rPr>
          <w:sz w:val="24"/>
          <w:lang w:val="lv-LV"/>
        </w:rPr>
        <w:tab/>
      </w:r>
      <w:r w:rsidRPr="00FC229F">
        <w:rPr>
          <w:sz w:val="24"/>
          <w:lang w:val="lv-LV"/>
        </w:rPr>
        <w:t>OV L 29, 4.2.2016., 3. lpp.</w:t>
      </w:r>
    </w:p>
  </w:footnote>
  <w:footnote w:id="2">
    <w:p w:rsidR="00E26C35" w:rsidRPr="002B6614" w:rsidRDefault="00E26C35" w:rsidP="002B6614">
      <w:pPr>
        <w:pStyle w:val="FootnoteText"/>
        <w:ind w:left="567" w:hanging="567"/>
        <w:rPr>
          <w:sz w:val="24"/>
          <w:lang w:val="lv-LV"/>
        </w:rPr>
      </w:pPr>
      <w:r w:rsidRPr="002B6614">
        <w:rPr>
          <w:rStyle w:val="FootnoteReference"/>
          <w:sz w:val="24"/>
          <w:lang w:val="lv-LV"/>
        </w:rPr>
        <w:footnoteRef/>
      </w:r>
      <w:r w:rsidR="002B6614" w:rsidRPr="002B6614">
        <w:rPr>
          <w:sz w:val="24"/>
          <w:lang w:val="lv-LV"/>
        </w:rPr>
        <w:t xml:space="preserve"> </w:t>
      </w:r>
      <w:r w:rsidR="002B6614" w:rsidRPr="002B6614">
        <w:rPr>
          <w:sz w:val="24"/>
          <w:lang w:val="lv-LV"/>
        </w:rPr>
        <w:tab/>
      </w:r>
      <w:r w:rsidRPr="00FC229F">
        <w:rPr>
          <w:sz w:val="24"/>
          <w:lang w:val="lv-LV"/>
        </w:rPr>
        <w:t>OV L 196, 28.7.1999., 48. lpp.</w:t>
      </w:r>
    </w:p>
  </w:footnote>
  <w:footnote w:id="3">
    <w:p w:rsidR="00E26C35" w:rsidRPr="002B6614" w:rsidRDefault="00E26C35" w:rsidP="002B6614">
      <w:pPr>
        <w:pStyle w:val="FootnoteText"/>
        <w:ind w:left="567" w:hanging="567"/>
        <w:rPr>
          <w:sz w:val="24"/>
          <w:lang w:val="lv-LV"/>
        </w:rPr>
      </w:pPr>
      <w:r w:rsidRPr="002B6614">
        <w:rPr>
          <w:rStyle w:val="FootnoteReference"/>
          <w:sz w:val="24"/>
          <w:lang w:val="lv-LV"/>
        </w:rPr>
        <w:footnoteRef/>
      </w:r>
      <w:r w:rsidR="002B6614" w:rsidRPr="002B6614">
        <w:rPr>
          <w:sz w:val="24"/>
          <w:lang w:val="lv-LV"/>
        </w:rPr>
        <w:t xml:space="preserve"> </w:t>
      </w:r>
      <w:r w:rsidR="002B6614" w:rsidRPr="002B6614">
        <w:rPr>
          <w:sz w:val="24"/>
          <w:lang w:val="lv-LV"/>
        </w:rPr>
        <w:tab/>
      </w:r>
      <w:r w:rsidRPr="00FC229F">
        <w:rPr>
          <w:sz w:val="24"/>
          <w:shd w:val="clear" w:color="auto" w:fill="FFFFFF"/>
          <w:lang w:val="lv-LV"/>
        </w:rPr>
        <w:t>OV L 350, 29.12.2009., 3. lpp.</w:t>
      </w:r>
    </w:p>
  </w:footnote>
  <w:footnote w:id="4">
    <w:p w:rsidR="00E26C35" w:rsidRPr="002B6614" w:rsidRDefault="00E26C35" w:rsidP="002B6614">
      <w:pPr>
        <w:pStyle w:val="FootnoteText"/>
        <w:ind w:left="567" w:hanging="567"/>
        <w:rPr>
          <w:color w:val="0000FF"/>
          <w:sz w:val="24"/>
          <w:u w:val="single" w:color="0000FF"/>
          <w:lang w:val="lv-LV"/>
        </w:rPr>
      </w:pPr>
      <w:r w:rsidRPr="002B6614">
        <w:rPr>
          <w:rStyle w:val="FootnoteReference"/>
          <w:sz w:val="24"/>
          <w:lang w:val="lv-LV"/>
        </w:rPr>
        <w:footnoteRef/>
      </w:r>
      <w:r w:rsidR="002B6614" w:rsidRPr="002B6614">
        <w:rPr>
          <w:sz w:val="24"/>
          <w:lang w:val="lv-LV"/>
        </w:rPr>
        <w:t xml:space="preserve"> </w:t>
      </w:r>
      <w:r w:rsidR="002B6614" w:rsidRPr="002B6614">
        <w:rPr>
          <w:sz w:val="24"/>
          <w:lang w:val="lv-LV"/>
        </w:rPr>
        <w:tab/>
      </w:r>
      <w:r w:rsidRPr="00FC229F">
        <w:rPr>
          <w:sz w:val="24"/>
          <w:lang w:val="lv-LV"/>
        </w:rPr>
        <w:t>OV L 229, 31.8.1999., 3. lpp.</w:t>
      </w:r>
    </w:p>
  </w:footnote>
  <w:footnote w:id="5">
    <w:p w:rsidR="00E26C35" w:rsidRPr="002B6614" w:rsidRDefault="00E26C35" w:rsidP="002B6614">
      <w:pPr>
        <w:pStyle w:val="FootnoteText"/>
        <w:ind w:left="567" w:hanging="567"/>
        <w:rPr>
          <w:sz w:val="24"/>
          <w:lang w:val="lv-LV"/>
        </w:rPr>
      </w:pPr>
      <w:r w:rsidRPr="002B6614">
        <w:rPr>
          <w:rStyle w:val="FootnoteReference"/>
          <w:sz w:val="24"/>
          <w:lang w:val="lv-LV"/>
        </w:rPr>
        <w:footnoteRef/>
      </w:r>
      <w:r w:rsidR="002B6614" w:rsidRPr="002B6614">
        <w:rPr>
          <w:sz w:val="24"/>
          <w:lang w:val="lv-LV"/>
        </w:rPr>
        <w:t xml:space="preserve"> </w:t>
      </w:r>
      <w:r w:rsidR="002B6614" w:rsidRPr="002B6614">
        <w:rPr>
          <w:sz w:val="24"/>
          <w:lang w:val="lv-LV"/>
        </w:rPr>
        <w:tab/>
      </w:r>
      <w:r w:rsidRPr="00FC229F">
        <w:rPr>
          <w:sz w:val="24"/>
          <w:lang w:val="lv-LV"/>
        </w:rPr>
        <w:t>OV C 404, 6.10.2021., 202.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6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6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66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LV"/>
    <w:docVar w:name="dvnumam" w:val="0"/>
    <w:docVar w:name="dvpe" w:val="752.889"/>
    <w:docVar w:name="dvrapporteur" w:val="Referents: "/>
    <w:docVar w:name="dvtitre" w:val="Eiropas Parlamenta 2024. gada XX. XXX  rezolūcija par ES stratēģiju Vidusāzijai(2023/2106(INI))"/>
  </w:docVars>
  <w:rsids>
    <w:rsidRoot w:val="001330AD"/>
    <w:rsid w:val="00002272"/>
    <w:rsid w:val="00064002"/>
    <w:rsid w:val="000677B9"/>
    <w:rsid w:val="000831BA"/>
    <w:rsid w:val="000A42CC"/>
    <w:rsid w:val="000E7DD9"/>
    <w:rsid w:val="0010095E"/>
    <w:rsid w:val="00125B37"/>
    <w:rsid w:val="001330AD"/>
    <w:rsid w:val="00187494"/>
    <w:rsid w:val="001F32AE"/>
    <w:rsid w:val="002767FF"/>
    <w:rsid w:val="002A1BE0"/>
    <w:rsid w:val="002B18FE"/>
    <w:rsid w:val="002B5493"/>
    <w:rsid w:val="002B661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79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C35"/>
    <w:rsid w:val="00E365E1"/>
    <w:rsid w:val="00E820A4"/>
    <w:rsid w:val="00EB006A"/>
    <w:rsid w:val="00EB4772"/>
    <w:rsid w:val="00ED169E"/>
    <w:rsid w:val="00ED4235"/>
    <w:rsid w:val="00F04346"/>
    <w:rsid w:val="00F075DC"/>
    <w:rsid w:val="00F149E9"/>
    <w:rsid w:val="00F5134D"/>
    <w:rsid w:val="00F74202"/>
    <w:rsid w:val="00F87713"/>
    <w:rsid w:val="00FB4360"/>
    <w:rsid w:val="00FC229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766C"/>
  <w15:chartTrackingRefBased/>
  <w15:docId w15:val="{09056EE3-0B3E-4A2F-8EE7-4F14038D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26C35"/>
    <w:rPr>
      <w:b/>
    </w:rPr>
  </w:style>
  <w:style w:type="paragraph" w:customStyle="1" w:styleId="NormalHanging12a">
    <w:name w:val="NormalHanging12a"/>
    <w:basedOn w:val="Normal"/>
    <w:link w:val="NormalHanging12aChar"/>
    <w:rsid w:val="00E26C35"/>
    <w:pPr>
      <w:spacing w:after="240"/>
      <w:ind w:left="567" w:hanging="567"/>
    </w:pPr>
  </w:style>
  <w:style w:type="paragraph" w:customStyle="1" w:styleId="EPComma">
    <w:name w:val="EPComma"/>
    <w:basedOn w:val="Normal"/>
    <w:rsid w:val="00E26C35"/>
    <w:pPr>
      <w:spacing w:before="480" w:after="240"/>
    </w:pPr>
  </w:style>
  <w:style w:type="character" w:styleId="Hyperlink">
    <w:name w:val="Hyperlink"/>
    <w:basedOn w:val="DefaultParagraphFont"/>
    <w:unhideWhenUsed/>
    <w:rsid w:val="00E26C35"/>
    <w:rPr>
      <w:color w:val="0563C1" w:themeColor="hyperlink"/>
      <w:u w:val="single"/>
    </w:rPr>
  </w:style>
  <w:style w:type="character" w:customStyle="1" w:styleId="BoldItalic">
    <w:name w:val="BoldItalic"/>
    <w:uiPriority w:val="1"/>
    <w:rsid w:val="00E26C35"/>
    <w:rPr>
      <w:b/>
      <w:bCs w:val="0"/>
      <w:i/>
      <w:iCs w:val="0"/>
      <w:strike w:val="0"/>
      <w:dstrike w:val="0"/>
      <w:u w:val="none"/>
      <w:effect w:val="none"/>
    </w:rPr>
  </w:style>
  <w:style w:type="paragraph" w:customStyle="1" w:styleId="Normal12a24b">
    <w:name w:val="Normal12a24b"/>
    <w:basedOn w:val="Normal"/>
    <w:rsid w:val="00E26C35"/>
    <w:pPr>
      <w:snapToGrid w:val="0"/>
      <w:spacing w:before="360" w:after="240"/>
    </w:pPr>
    <w:rPr>
      <w:lang w:eastAsia="en-US"/>
    </w:rPr>
  </w:style>
  <w:style w:type="paragraph" w:customStyle="1" w:styleId="NormalCenter12a">
    <w:name w:val="NormalCenter12a"/>
    <w:basedOn w:val="Normal"/>
    <w:rsid w:val="00E26C35"/>
    <w:pPr>
      <w:spacing w:after="240"/>
      <w:jc w:val="center"/>
    </w:pPr>
  </w:style>
  <w:style w:type="character" w:customStyle="1" w:styleId="NormalHanging12aChar">
    <w:name w:val="NormalHanging12a Char"/>
    <w:basedOn w:val="DefaultParagraphFont"/>
    <w:link w:val="NormalHanging12a"/>
    <w:rsid w:val="00E26C35"/>
    <w:rPr>
      <w:sz w:val="24"/>
      <w:lang w:val="lv-LV"/>
    </w:rPr>
  </w:style>
  <w:style w:type="paragraph" w:styleId="BalloonText">
    <w:name w:val="Balloon Text"/>
    <w:basedOn w:val="Normal"/>
    <w:link w:val="BalloonTextChar"/>
    <w:rsid w:val="00837795"/>
    <w:rPr>
      <w:rFonts w:ascii="Segoe UI" w:hAnsi="Segoe UI" w:cs="Segoe UI"/>
      <w:sz w:val="18"/>
      <w:szCs w:val="18"/>
    </w:rPr>
  </w:style>
  <w:style w:type="character" w:customStyle="1" w:styleId="BalloonTextChar">
    <w:name w:val="Balloon Text Char"/>
    <w:basedOn w:val="DefaultParagraphFont"/>
    <w:link w:val="BalloonText"/>
    <w:rsid w:val="0083779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FAB66-3C45-4267-B600-A670DE39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4668</Words>
  <Characters>32198</Characters>
  <Application>Microsoft Office Word</Application>
  <DocSecurity>0</DocSecurity>
  <Lines>519</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2024-01-17T14:10:00Z</dcterms:created>
  <dcterms:modified xsi:type="dcterms:W3CDTF">2024-01-17T14:10:00Z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A9-0407/2023</vt:lpwstr>
  </property>
  <property fmtid="{D5CDD505-2E9C-101B-9397-08002B2CF9AE}" pid="4" name="&lt;Type&gt;">
    <vt:lpwstr>RR</vt:lpwstr>
  </property>
</Properties>
</file>