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2A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2A9A" w:rsidRDefault="005F4960" w:rsidP="0010095E">
            <w:pPr>
              <w:pStyle w:val="EPName"/>
            </w:pPr>
            <w:bookmarkStart w:id="0" w:name="_GoBack"/>
            <w:bookmarkEnd w:id="0"/>
            <w:r w:rsidRPr="00A42A9A">
              <w:t>Parlament Ewropew</w:t>
            </w:r>
          </w:p>
          <w:p w:rsidR="00751A4A" w:rsidRPr="00A42A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2A9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42A9A" w:rsidRDefault="00187494" w:rsidP="0010095E">
            <w:pPr>
              <w:pStyle w:val="EPLogo"/>
            </w:pPr>
            <w:r w:rsidRPr="00A42A9A">
              <w:rPr>
                <w:noProof/>
                <w:lang w:val="da-DK"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2A9A" w:rsidRDefault="00D058B8" w:rsidP="004C5D52">
      <w:pPr>
        <w:pStyle w:val="LineTop"/>
      </w:pPr>
    </w:p>
    <w:p w:rsidR="00680577" w:rsidRPr="00A42A9A" w:rsidRDefault="005F4960" w:rsidP="00680577">
      <w:pPr>
        <w:pStyle w:val="EPBodyTA1"/>
      </w:pPr>
      <w:r w:rsidRPr="00A42A9A">
        <w:t>TESTI ADOTTATI</w:t>
      </w:r>
    </w:p>
    <w:p w:rsidR="00D058B8" w:rsidRPr="00A42A9A" w:rsidRDefault="00D058B8" w:rsidP="00D058B8">
      <w:pPr>
        <w:pStyle w:val="LineBottom"/>
      </w:pPr>
    </w:p>
    <w:p w:rsidR="005F4960" w:rsidRPr="00545122" w:rsidRDefault="005F4960" w:rsidP="005F4960">
      <w:pPr>
        <w:pStyle w:val="ATHeading1"/>
      </w:pPr>
      <w:bookmarkStart w:id="1" w:name="TANumber"/>
      <w:r w:rsidRPr="00A42A9A">
        <w:t>P9_TA(2024)00</w:t>
      </w:r>
      <w:bookmarkEnd w:id="1"/>
      <w:r w:rsidR="00545122" w:rsidRPr="00545122">
        <w:t>27</w:t>
      </w:r>
    </w:p>
    <w:p w:rsidR="005F4960" w:rsidRPr="006345E0" w:rsidRDefault="006345E0" w:rsidP="005F4960">
      <w:pPr>
        <w:pStyle w:val="ATHeading2"/>
      </w:pPr>
      <w:r w:rsidRPr="006345E0">
        <w:t>L-istrateġija tal-UE għall-Asja Ċentrali</w:t>
      </w:r>
    </w:p>
    <w:p w:rsidR="005F4960" w:rsidRPr="00A42A9A" w:rsidRDefault="005F4960" w:rsidP="005F4960">
      <w:pPr>
        <w:rPr>
          <w:i/>
          <w:vanish/>
        </w:rPr>
      </w:pPr>
      <w:r w:rsidRPr="00A42A9A">
        <w:rPr>
          <w:i/>
        </w:rPr>
        <w:fldChar w:fldCharType="begin"/>
      </w:r>
      <w:r w:rsidRPr="00A42A9A">
        <w:rPr>
          <w:i/>
        </w:rPr>
        <w:instrText xml:space="preserve"> TC"(</w:instrText>
      </w:r>
      <w:bookmarkStart w:id="2" w:name="DocNumber"/>
      <w:r w:rsidRPr="00A42A9A">
        <w:rPr>
          <w:i/>
        </w:rPr>
        <w:instrText>A9-0407/2023</w:instrText>
      </w:r>
      <w:bookmarkEnd w:id="2"/>
      <w:r w:rsidRPr="00A42A9A">
        <w:rPr>
          <w:i/>
        </w:rPr>
        <w:instrText xml:space="preserve"> - Rapporteur: Karsten Lucke)"\l3 \n&gt; \* MERGEFORMAT </w:instrText>
      </w:r>
      <w:r w:rsidRPr="00A42A9A">
        <w:rPr>
          <w:i/>
        </w:rPr>
        <w:fldChar w:fldCharType="end"/>
      </w:r>
    </w:p>
    <w:p w:rsidR="005F4960" w:rsidRPr="00A42A9A" w:rsidRDefault="005F4960" w:rsidP="005F4960">
      <w:pPr>
        <w:rPr>
          <w:vanish/>
        </w:rPr>
      </w:pPr>
      <w:bookmarkStart w:id="3" w:name="Commission"/>
      <w:r w:rsidRPr="00A42A9A">
        <w:rPr>
          <w:vanish/>
        </w:rPr>
        <w:t>Kumitat għall-Affarijiet Barranin</w:t>
      </w:r>
      <w:bookmarkEnd w:id="3"/>
    </w:p>
    <w:p w:rsidR="005F4960" w:rsidRPr="00A42A9A" w:rsidRDefault="005F4960" w:rsidP="005F4960">
      <w:pPr>
        <w:rPr>
          <w:vanish/>
        </w:rPr>
      </w:pPr>
      <w:bookmarkStart w:id="4" w:name="PE"/>
      <w:r w:rsidRPr="00A42A9A">
        <w:rPr>
          <w:vanish/>
        </w:rPr>
        <w:t>PE752.889</w:t>
      </w:r>
      <w:bookmarkEnd w:id="4"/>
    </w:p>
    <w:p w:rsidR="005F4960" w:rsidRPr="00A42A9A" w:rsidRDefault="005F4960" w:rsidP="005F4960">
      <w:pPr>
        <w:pStyle w:val="ATHeading3"/>
      </w:pPr>
      <w:bookmarkStart w:id="5" w:name="Sujet"/>
      <w:r w:rsidRPr="00A42A9A">
        <w:t xml:space="preserve">Riżoluzzjoni tal-Parlament Ewropew </w:t>
      </w:r>
      <w:r w:rsidR="003A2620">
        <w:t>tas-17 ta’ Jannar</w:t>
      </w:r>
      <w:r w:rsidR="00A52E32" w:rsidRPr="0091748D">
        <w:t xml:space="preserve"> </w:t>
      </w:r>
      <w:r w:rsidR="006345E0" w:rsidRPr="0091748D">
        <w:t xml:space="preserve">2024 </w:t>
      </w:r>
      <w:r w:rsidRPr="00A42A9A">
        <w:t>dwar l-istrateġija tal-UE għall-Asja Ċentrali</w:t>
      </w:r>
      <w:bookmarkEnd w:id="5"/>
      <w:r w:rsidRPr="00A42A9A">
        <w:t xml:space="preserve"> </w:t>
      </w:r>
      <w:bookmarkStart w:id="6" w:name="References"/>
      <w:r w:rsidRPr="00A42A9A">
        <w:t>(2023/2106(INI))</w:t>
      </w:r>
      <w:bookmarkEnd w:id="6"/>
    </w:p>
    <w:p w:rsidR="00810039" w:rsidRPr="00A42A9A" w:rsidRDefault="00810039" w:rsidP="00810039">
      <w:pPr>
        <w:pStyle w:val="EPComma"/>
      </w:pPr>
      <w:bookmarkStart w:id="7" w:name="TextBodyBegin"/>
      <w:bookmarkEnd w:id="7"/>
      <w:r w:rsidRPr="00A42A9A">
        <w:rPr>
          <w:i/>
        </w:rPr>
        <w:t>Il-Parlament Ewropew</w:t>
      </w:r>
      <w:r w:rsidRPr="00A42A9A">
        <w:t>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l-komunikazzjoni konġunta tal-Kummissjoni u tar-Rappreżentant Għoli tal-Unjoni għall-Affarijiet Barranin u l-Politika ta’ Sigurtà tal-15 ta’ Mejju 2019 bit-titolu “L-UE u l-Asja Ċentrali: Opportunitajiet ġodda għal sħubija aktar b’saħħitha”, (JOIN(2019)0009),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l-konklużjonijiet tal-Kunsill tas-17 ta’ Ġunju 2019 dwar l-Istrateġija l-Ġdida dwar l-Asja Ċentrali,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l-komunikaz</w:t>
      </w:r>
      <w:r w:rsidR="007D1446">
        <w:t>s</w:t>
      </w:r>
      <w:r w:rsidRPr="00A42A9A">
        <w:t>zjoni konġunta tal-Kummissjoni u tar-Rappreżentant Għoli tal-Unjoni għall-Affarijiet Barranin u l-Politika ta’ Sigurtà tad-19 ta’ Settembru 2018 bit-titolu “Konnessjoni bejn l-Ewropa u l-Asja – Elementi fundamentali għal Strateġija tal-UE” (JOIN(2018)0031),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l-komunikazzjoni konġunta tal-Kummissjoni u tar-Rappreżentant Għoli tal-Unjoni għall-Affarijiet Barranin u l-Politika ta’ Sigurtà tal-1 ta’ Diċembru 2021 bit-titolu “Il-Portal Globali” (JOIN(2021)0030),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l-eżiti tat-18-il laqgħa tal-Ministri tal-Affarijiet Barranin tal-UE u l-Asja Ċentrali, li saret fis-17 ta’ Novembru 2022 f’Samarkand, li ffukat fuq is-sejbien ta’ soluzzjonijiet għal sfidi komuni,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l-istqarrija għall-istampa konġunta mill-kapijiet ta’ stat tal-Asja Ċentrali u l-President tal-Kunsill Ewropew, maħruġa wara t-tieni laqgħa reġjonali ta’ livell għoli li saret f’Cholpon-Ata fit-2 ta’ Ġunju 2023,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 xml:space="preserve">wara li kkunsidra l-Ftehim Imsaħħaħ ta’ Sħubija u Kooperazzjoni bejn l-Unjoni Ewropea u l-Istati Membri tagħha, min-naħa l-waħda, u r-Repubblika tal-Każakistan, </w:t>
      </w:r>
      <w:r w:rsidRPr="00A42A9A">
        <w:lastRenderedPageBreak/>
        <w:t>min-naħa l-oħra</w:t>
      </w:r>
      <w:r w:rsidRPr="00A42A9A">
        <w:rPr>
          <w:rStyle w:val="FootnoteReference"/>
        </w:rPr>
        <w:footnoteReference w:id="1"/>
      </w:r>
      <w:r w:rsidRPr="00A42A9A">
        <w:t>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l-Ftehim ta’ Assoċjazzjoni u Kooperazzjoni li jistabbilixxi assoċjazzjoni bejn il-Komunitajiet Ewropej u l-Istati Membri tagħhom, min-naħa l-waħda, u r-Repubblika Kirgiża, min-naħa l-oħra</w:t>
      </w:r>
      <w:r w:rsidRPr="00A42A9A">
        <w:rPr>
          <w:rStyle w:val="FootnoteReference"/>
        </w:rPr>
        <w:footnoteReference w:id="2"/>
      </w:r>
      <w:r w:rsidRPr="00A42A9A">
        <w:t>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l-proposta tal-Kummissjoni tat-13 ta’ Ġunju 2022 għal deċiżjoni tal-Kunsill dwar il-konklużjoni, f’isem l-Unjoni Ewropea, tal-Ftehim Imsaħħaħ ta’ Sħubija u Kooperazzjoni bejn l-Unjoni Ewropea, minn naħa waħda, u r-Repubblika Kirgiża, min-naħa l-oħra (COM(2022)0277),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l-Ftehim ta’ Sħubija u Kooperazzjoni li jistabbilixxi sħubija bejn il-Komunitajiet Ewropej u l-Istati Membri tagħhom, minn naħa waħda, u r-Repubblika tat-Taġikistan, min-naħa l-oħra</w:t>
      </w:r>
      <w:r w:rsidRPr="00A42A9A">
        <w:rPr>
          <w:rStyle w:val="FootnoteReference"/>
        </w:rPr>
        <w:footnoteReference w:id="3"/>
      </w:r>
      <w:r w:rsidRPr="00A42A9A">
        <w:t>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l-Ftehim ta’ Sħubija u Kooperazzjoni li jistabbilixxi sħubija bejn il-Komunitajiet Ewropej u l-Istati Membri tagħhom, minn naħa waħda, u r-Repubblika tal-Użbekistan, min-naħa l-oħra</w:t>
      </w:r>
      <w:r w:rsidRPr="00A42A9A">
        <w:rPr>
          <w:rStyle w:val="FootnoteReference"/>
        </w:rPr>
        <w:footnoteReference w:id="4"/>
      </w:r>
      <w:r w:rsidRPr="00A42A9A">
        <w:t>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l-eżiti tal-Konferenza dwar il-Konnettività bejn l-UE u l-Asja Ċentrali, li saret fit-18 ta’ Novembru 2022, it-tieni Forum Ekonomiku bejn l-UE u l-Asja Ċentrali, li sar mit-18 sad-19 ta’ Mejju 2023, ir-raba’ Forum tas-Soċjetà Ċivili bejn l-UE u l-Asja Ċentrali, li sar fl-10 ta’ Marzu 2023, u s-seba’ Konferenza ta’ Livell Għoli bejn l-UE u l-Asja Ċentrali dwar l-Ambjent u r-Riżorsi tal-Ilma, li saret bejn it-23 u l-24 ta’ Frar 2023,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l-istudju ffinanzjat mill-UE bit-titolu “Sustainable transport connections between Europe and Central Asia” (Konnessjonijiet tat-trasport sostenibbli bejn l-Ewropa u l-Asja Ċentrali), imwettaq mill-Bank Ewropew għar-Rikostruzzjoni u l-Iżvilupp u ppubblikat fit-30 ta’ Ġunju 2023,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l-Memorandum ta’ Qbil bejn l-UE u l-Każakistan dwar sħubija strateġika fil-qasam tal-materja prima, il-batteriji u l-idroġenu rinnovabbli, iffirmat fis-7 ta’ Novembru 2022,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r-riżultati tad-djalogi dwar id-drittijiet tal-bniedem mal-Istati tal-Asja Ċentrali,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l-Pjan Direzzjonali Konġunt għall-Approfondiment tar-Rabtiet bejn l-UE u l-Asja Ċentrali, approvat matul id-19-il Laqgħa Ministerjali UE-Asja Ċentrali li saret fit-23 ta’ Ottubru 2023,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d-dikjarazzjoni konġunta tal-kapijiet ta’ stat tal-Asja Ċentrali u tal-Kanċillier Federali tal-Ġermanja wara s-summit tagħhom tad-29 ta’ Settembru 2023 f’Berlin,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r-riżoluzzjonijiet preċedenti tiegħu dwar il-Każakistan, il-Kirgistan, it-</w:t>
      </w:r>
      <w:r w:rsidRPr="00A42A9A">
        <w:lastRenderedPageBreak/>
        <w:t>Taġikistan, it-Turkmenistan u l-Użbekistan,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l-Pjan ta’ Azzjoni tal-UE dwar il-Ġeneru III għall-2021-2025,</w:t>
      </w:r>
    </w:p>
    <w:p w:rsidR="00810039" w:rsidRPr="00A42A9A" w:rsidRDefault="00810039" w:rsidP="00810039">
      <w:pPr>
        <w:pStyle w:val="NormalHanging12a"/>
        <w:rPr>
          <w:b/>
          <w:i/>
        </w:rPr>
      </w:pPr>
      <w:r w:rsidRPr="00A42A9A">
        <w:rPr>
          <w:b/>
          <w:i/>
        </w:rPr>
        <w:t>–</w:t>
      </w:r>
      <w:r w:rsidRPr="00A42A9A">
        <w:rPr>
          <w:b/>
          <w:i/>
        </w:rPr>
        <w:tab/>
      </w:r>
      <w:r w:rsidRPr="00A42A9A">
        <w:t>wara li kkunsidra r-riżoluzzjoni tiegħu tat-23 ta’ Ottubru 2020 dwar l-Ugwaljanza bejn il-Ġeneri fil-politika estera u ta’ sigurtà komuni tal-UE</w:t>
      </w:r>
      <w:r w:rsidRPr="00A42A9A">
        <w:rPr>
          <w:vertAlign w:val="superscript"/>
        </w:rPr>
        <w:footnoteReference w:id="5"/>
      </w:r>
      <w:r w:rsidRPr="00A42A9A">
        <w:t>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l-Artikolu 54 tar-Regoli ta’ Proċedura tiegħu,</w:t>
      </w:r>
    </w:p>
    <w:p w:rsidR="00810039" w:rsidRPr="00A42A9A" w:rsidRDefault="00810039" w:rsidP="00810039">
      <w:pPr>
        <w:pStyle w:val="NormalHanging12a"/>
      </w:pPr>
      <w:r w:rsidRPr="00A42A9A">
        <w:t>–</w:t>
      </w:r>
      <w:r w:rsidRPr="00A42A9A">
        <w:tab/>
        <w:t>wara li kkunsidra r-rapport tal-Kumitat għall-Affarijiet Barranin (A9-0407/2023),</w:t>
      </w:r>
    </w:p>
    <w:p w:rsidR="00810039" w:rsidRPr="00A42A9A" w:rsidRDefault="00810039" w:rsidP="00810039">
      <w:pPr>
        <w:pStyle w:val="NormalHanging12a"/>
      </w:pPr>
      <w:r w:rsidRPr="00A42A9A">
        <w:t>A.</w:t>
      </w:r>
      <w:r w:rsidRPr="00A42A9A">
        <w:tab/>
        <w:t>billi minn mindu ġiet adottata l-istrateġija tal-UE dwar l-Asja Ċentrali fl-2019, ir-reġjun ġie affettwat minn fatturi esterni sinifikanti, bħall-gwerra illegali ta’ aggressjoni tar-Russja kontra l-Ukrajna, it-teħid tal-kontroll tal-Afganistan mit-Talibani u l-politika barranija taċ-Ċina dejjem aktar assertiva, kif ukoll mill-instabbiltà interna, b’mod partikolari l-inkwiet vjolenti fil-Każakistan f’Jannar 2022, ir-repressjoni vjolenti wara protesti mill-Pamiris fl-Oblast Awtonomu ta’ Gorno-Badakhshan tat-Taġikistan f’Novembru 2021 u f’Mejju 2022 u fir-Repubblika ta’ Karakalpakstan, l-Użbekistan, f’Lulju 2022, u l-ġlied ripetut fuq il-fruntiera Kirgiża-Taġikistana;</w:t>
      </w:r>
    </w:p>
    <w:p w:rsidR="00810039" w:rsidRPr="00A42A9A" w:rsidRDefault="00810039" w:rsidP="00810039">
      <w:pPr>
        <w:pStyle w:val="NormalHanging12a"/>
      </w:pPr>
      <w:r w:rsidRPr="00A42A9A">
        <w:t>B.</w:t>
      </w:r>
      <w:r w:rsidRPr="00A42A9A">
        <w:tab/>
        <w:t>billi l-Asja Ċentrali hija reġjun ta’ interess strateġiku għall-UE f’termini ta’ sigurtà u konnettività kif ukoll f’termini ta’ diversifikazzjoni tal-enerġija u r-riżorsi, ir-riżoluzzjoni tal-kunflitti u d-difiża tal-ordni internazzjonali multilaterali bbażat fuq ir-regoli, li ġie sfidat mill-attakk tar-Russja fuq il-valuri tagħna, l-aggravar tal-kriżi globali tal-ikel, l-aggressjoni u l-atroċitajiet, it-tixrid tad-diżinformazzjoni, il-korruzzjoni bl-użu tal-armi u l-indħil fl-elezzjonijiet;</w:t>
      </w:r>
    </w:p>
    <w:p w:rsidR="00810039" w:rsidRPr="00A42A9A" w:rsidRDefault="00810039" w:rsidP="00810039">
      <w:pPr>
        <w:pStyle w:val="NormalHanging12a"/>
      </w:pPr>
      <w:r w:rsidRPr="00A42A9A">
        <w:t>C.</w:t>
      </w:r>
      <w:r w:rsidRPr="00A42A9A">
        <w:tab/>
        <w:t>billi l-ebda wieħed mill-Istati tal-Asja Ċentrali ma jappoġġja l-invażjoni tal-Ukrajna mir-Russja u lanqas ma jirrikonoxxi r-reġjuni Ukreni annessi mir-Russja bħala partijiet mill-Federazzjoni Russa;</w:t>
      </w:r>
    </w:p>
    <w:p w:rsidR="00810039" w:rsidRPr="00A42A9A" w:rsidRDefault="00810039" w:rsidP="00810039">
      <w:pPr>
        <w:pStyle w:val="NormalHanging12a"/>
      </w:pPr>
      <w:r w:rsidRPr="00A42A9A">
        <w:t>D.</w:t>
      </w:r>
      <w:r w:rsidRPr="00A42A9A">
        <w:tab/>
        <w:t>billi fit-28 ta’ Marzu 2023, il-Mibgħut Speċjali tas-Sanzjonijiet tal-UE stieden lill-pajjiżi fir-reġjun jevitaw li jassistu lit-tentattivi ta’ Moska biex tevadi s-sanzjonijiet imposti fuq ir-Russja minħabba l-gwerra ta’ aggressjoni tagħha kontra l-Ukrajna;</w:t>
      </w:r>
    </w:p>
    <w:p w:rsidR="00810039" w:rsidRPr="00A42A9A" w:rsidRDefault="00810039" w:rsidP="00810039">
      <w:pPr>
        <w:pStyle w:val="NormalHanging12a"/>
      </w:pPr>
      <w:r w:rsidRPr="00A42A9A">
        <w:t>E.</w:t>
      </w:r>
      <w:r w:rsidRPr="00A42A9A">
        <w:tab/>
        <w:t>billi l-uffiċjali u l-propagandisti Russi qed ikomplu jużaw retorika aggressiva kontra xi Stati tal-Asja Ċentrali, b’mod partikolari kontra l-Każakistan, filwaqt li jqajmu dubji dwar l-integrità territorjali u l-identità nazzjonali tal-pajjiż;</w:t>
      </w:r>
    </w:p>
    <w:p w:rsidR="00810039" w:rsidRPr="00A42A9A" w:rsidRDefault="00810039" w:rsidP="00810039">
      <w:pPr>
        <w:pStyle w:val="NormalHanging12a"/>
      </w:pPr>
      <w:r w:rsidRPr="00A42A9A">
        <w:t>F.</w:t>
      </w:r>
      <w:r w:rsidRPr="00A42A9A">
        <w:tab/>
        <w:t>billi ċirkostanzi bħall-iżolament tar-Russja bħala riżultat tal-gwerra ta’ aggressjoni tagħha kontra l-Ukrajna, it-tisħiħ tar-rotot kummerċjali mill-Asja Ċentrali li jevitaw ir-Russja, it-tkabbir ippjanat tal-UE fl-Ewropa tal-Lvant u l-influwenza dejjem tikber taċ-Ċina fir-reġjun jitolbu riforma sħiħa tal-istrateġija tal-UE għall-Asja Ċentrali u preżenza aktar attiva tal-UE demokratika fir-reġjun bħala alternattiva għall-atturi awtokratiċi stabbiliti;</w:t>
      </w:r>
    </w:p>
    <w:p w:rsidR="00810039" w:rsidRPr="00A42A9A" w:rsidRDefault="00810039" w:rsidP="00810039">
      <w:pPr>
        <w:pStyle w:val="NormalHanging12a"/>
      </w:pPr>
      <w:r w:rsidRPr="00A42A9A">
        <w:t>G.</w:t>
      </w:r>
      <w:r w:rsidRPr="00A42A9A">
        <w:tab/>
        <w:t>billi hemm bżonn li tiġi żgurata konnettività bejn l-Ewropa u l-Asja b’mod li tevita li tgħaddi mit-territorju Russu; billi l-UE għandha interess qawwi fit-tiftiħ ta’ kurituri kummerċjali u enerġetiċi effiċjenti bejn l-Ewropa u l-Asja, kif uriet il-Konferenza dwar il-Konnettività bejn l-UE u l-Asja Ċentrali li saret f’Samarkand fit-</w:t>
      </w:r>
      <w:r w:rsidRPr="00A42A9A">
        <w:lastRenderedPageBreak/>
        <w:t>18 ta’ Novembru 2022;</w:t>
      </w:r>
    </w:p>
    <w:p w:rsidR="00810039" w:rsidRPr="00A42A9A" w:rsidRDefault="00810039" w:rsidP="00810039">
      <w:pPr>
        <w:pStyle w:val="NormalHanging12a"/>
      </w:pPr>
      <w:r w:rsidRPr="00A42A9A">
        <w:t>H.</w:t>
      </w:r>
      <w:r w:rsidRPr="00A42A9A">
        <w:tab/>
        <w:t xml:space="preserve">billi l-ħames Stati tal-Asja Ċentrali kollha rratifikaw il-Ftehim ta’ Pariġi; billi huma partikolarment vulnerabbli għall-konsegwenzi tat-tibdil fil-klima; billi l-ġestjoni ħażina tal-ilma u t-tniġġis irresponsabbli tax-xmajjar ewlenin għall-irrigazzjoni tal-għelieqi tal-qoton irriżultaw fl-użu u fl-isfruttament ineffettivi tar-riżorsi tal-ilma fir-reġjun; billi l-glaċieri fl-Asja Ċentrali qed ikomplu jonqsu b’mod rapidu, u b’hekk qed jaggravaw waħda mill-aktar kriżijiet serji tal-ilma fid-Dinja u jesponu lill-popolazzjoni vulnerabbli taż-żona għal problemi ta’ saħħa, ekoloġiċi u soċjali diżastrużi; billi l-kunflitti frekwenti dwar l-ilma u l-instabbiltà politika llimitaw l-ippjanar unifikat u l-allokazzjoni effiċjenti tax-xmajjar transkonfinali; billi l-bidliet ġeopolitiċi fir-reġjun usa’ joħolqu opportunitajiet għal kooperazzjoni reġjonali aktar sinifikanti; billi kooperazzjoni reġjonali bħal din uriet li għandha impatt fil-kuntest tad-diplomazija fil-qasam tal-ilma u fis-soluzzjoni tat-tilwim dwar il-fruntieri, u se tkun saħansitra aktar kruċjali biex jiġi indirizzat it-theddid transkonfinali dejjem akbar ikkawżat mit-tibdil fil-klima; </w:t>
      </w:r>
    </w:p>
    <w:p w:rsidR="00810039" w:rsidRPr="00A42A9A" w:rsidRDefault="00810039" w:rsidP="00810039">
      <w:pPr>
        <w:pStyle w:val="NormalHanging12a"/>
      </w:pPr>
      <w:r w:rsidRPr="00A42A9A">
        <w:t>I.</w:t>
      </w:r>
      <w:r w:rsidRPr="00A42A9A">
        <w:tab/>
        <w:t>billi l-Ftehimiet Imsaħħa ta’ Sħubija u Kooperazzjoni huma ftehimiet ta’ ġenerazzjoni ġdida li huma l-pedament tal-impenn tal</w:t>
      </w:r>
      <w:r w:rsidRPr="00A42A9A">
        <w:noBreakHyphen/>
        <w:t xml:space="preserve">UE mal-Asja Ċentrali; billi l-Każakistan kien l-ewwel stat tal-Asja Ċentrali li ffirma Ftehim Imsaħħaħ ta’ Sħubija u Kooperazzjoni (EPCA) fl-2015, li daħal fis-seħħ fl-1 ta’ Marzu 2020 wara r-ratifika tiegħu mill-Istati Membri kollha, u għandu jiġi rieżaminat perjodikament; billi n-negozjati dwar l-EPCA UE-Kirgistan ġew konklużi fis-6 ta’ Lulju 2019, iżda l-ftehim għadu ma ġiex iffirmat minħabba tilwima legali bejn il-Kunsill u l-Kummissjoni; billi n-negozjati dwar l-EPCA UE-Użbekistan ġew konklużi fis-6 ta’ Lulju 2022; billi fil-bidu tal-2023, l-UE u t-Taġikistan bdew negozjati dwar EPCA; billi fl-1998 ġie ffirmat Ftehim ta’ Sħubija u Kooperazzjoni (FSK) mat-Turkmenistan, iżda l-Parlament ma tax l-approvazzjoni tiegħu biex jirratifika l-ftehim minħabba t-tħassib serju tiegħu dwar il-punti ta’ riferiment fuq terminu qasir għall-progress tat-Turkmenistan dwar id-drittijiet tal-bniedem u l-libertajiet fundamentali; </w:t>
      </w:r>
    </w:p>
    <w:p w:rsidR="00810039" w:rsidRPr="00A42A9A" w:rsidRDefault="00810039" w:rsidP="00810039">
      <w:pPr>
        <w:pStyle w:val="NormalHanging12a"/>
        <w:rPr>
          <w:bCs/>
        </w:rPr>
      </w:pPr>
      <w:r w:rsidRPr="00A42A9A">
        <w:t>J.</w:t>
      </w:r>
      <w:r w:rsidRPr="00A42A9A">
        <w:tab/>
        <w:t>billi l-ewwel laqgħa tal-mexxejja tal-UE u tal-Asja Ċentrali saret f’Astana fis-27 ta’ Ottubru 2022, segwita mit-tieni laqgħa ta’ dan it-tip f’Cholpon-Ata fit-2 ta’ Ġunju 2023; billi huwa ppjanat summit tal-mexxejja għall-2024; billi dawn il-laqgħat jirrappreżentaw istituzzjonalizzazzjoni ulterjuri tar-relazzjonijiet bejn l-UE u l-Asja Ċentrali u jikkomplementaw il-ħidma ta’ djalogi u pjattaformi reġjonali eżistenti;</w:t>
      </w:r>
    </w:p>
    <w:p w:rsidR="00810039" w:rsidRPr="00A42A9A" w:rsidRDefault="00810039" w:rsidP="00810039">
      <w:pPr>
        <w:pStyle w:val="NormalHanging12a"/>
      </w:pPr>
      <w:r w:rsidRPr="00A42A9A">
        <w:t>K.</w:t>
      </w:r>
      <w:r w:rsidRPr="00A42A9A">
        <w:tab/>
        <w:t>billi l-ewwel summit C5+1 bejn il-mexxejja tal-Asja Ċentrali u l-President tal-Istati Uniti sar fi New York fid-19 ta’ Settembru 2023; billi s-summit C5+Ġermanja sar f’Berlin fid-29 ta’ Settembru 2023;</w:t>
      </w:r>
    </w:p>
    <w:p w:rsidR="00810039" w:rsidRPr="00A42A9A" w:rsidRDefault="00810039" w:rsidP="00810039">
      <w:pPr>
        <w:pStyle w:val="NormalHanging12a"/>
        <w:rPr>
          <w:bCs/>
        </w:rPr>
      </w:pPr>
      <w:r w:rsidRPr="00A42A9A">
        <w:t>L.</w:t>
      </w:r>
      <w:r w:rsidRPr="00A42A9A">
        <w:tab/>
        <w:t xml:space="preserve">billi l-ħames Stati tal-Asja Ċentrali kollha għandhom punteġġi baxxi u li qed jonqsu fid-demokrazija u r-rapport Freedom in the World tal-2023 ta’ Freedom House jikklassifikahom bħala reġimi awtoritarji u bħala “mhux liberi”; billi l-Indiċi Dinji tal-Libertà tal-Istampa tal-2023 irrapporta deterjorament sinifikanti fis-sitwazzjoni tal-libertà tal-istampa fl-Asja Ċentrali u l-punteġġ medju għall-Asja Ċentrali fl-Indiċi tal-Perċezzjoni tal-Korruzzjoni tal-2022 kien ferm taħt il-medja globali; billi Reporters Mingħajr Fruntieri rrappurtaw bosta każijiet ta’ awtoritajiet tal-Asja Ċentrali li għamlu pressjoni fuq il-midja tagħhom biex jew tkopri l-invażjoni tal-Ukrajna mir-Russja b’mod “newtrali”, jew biex tinjoraha għalkollox; </w:t>
      </w:r>
    </w:p>
    <w:p w:rsidR="00810039" w:rsidRPr="00A42A9A" w:rsidRDefault="00810039" w:rsidP="00810039">
      <w:pPr>
        <w:pStyle w:val="NormalHanging12a"/>
        <w:rPr>
          <w:b/>
          <w:i/>
        </w:rPr>
      </w:pPr>
      <w:r w:rsidRPr="00A42A9A">
        <w:t>M.</w:t>
      </w:r>
      <w:r w:rsidRPr="00A42A9A">
        <w:tab/>
        <w:t xml:space="preserve">billi l-Kumitat għall-Affarijiet Barranin tal-Parlament żar it-Taġikistan u l-Użbekistan </w:t>
      </w:r>
      <w:r w:rsidRPr="00A42A9A">
        <w:lastRenderedPageBreak/>
        <w:t>bejn il-21 u l-25 ta’ Frar 2022 u l-Każakistan u l-Kirgistan bejn il-21 u l-25 ta’ Awwissu 2023; billi d-Delegazzjoni tiegħu għall-Kumitati ta’ Kooperazzjoni Parlamentari UE-Każakistan, UE-Kirgistan, UE-Użbekistan u UE-Taġikistan, u għar-relazzjonijiet mat-Turkmenistan u l-Mongolja żżomm relazzjonijiet interparlamentari regolari mal-pajjiżi tal-Asja Ċentrali;</w:t>
      </w:r>
    </w:p>
    <w:p w:rsidR="00810039" w:rsidRPr="00A42A9A" w:rsidRDefault="00810039" w:rsidP="00810039">
      <w:pPr>
        <w:pStyle w:val="NormalHanging12a"/>
        <w:rPr>
          <w:b/>
          <w:i/>
        </w:rPr>
      </w:pPr>
      <w:r w:rsidRPr="00A42A9A">
        <w:t>N.</w:t>
      </w:r>
      <w:r w:rsidRPr="00A42A9A">
        <w:tab/>
        <w:t>billi fl-Asja Ċentrali, hemm biżgħat fondati sew ta’ radikalizzazzjoni, estremiżmu li qed jikber u theddida terroristika, b’għadd kbir ħafna ta’ eks ġellieda tal-ISIS li qed jirritornaw lejn ir-reġjun u sitwazzjoni mwiegħra ta’ sigurtà fl-Afganistan;</w:t>
      </w:r>
    </w:p>
    <w:p w:rsidR="00810039" w:rsidRPr="00A42A9A" w:rsidRDefault="00810039" w:rsidP="00810039">
      <w:pPr>
        <w:pStyle w:val="NormalHanging12a"/>
        <w:rPr>
          <w:b/>
          <w:i/>
        </w:rPr>
      </w:pPr>
      <w:r w:rsidRPr="00A42A9A">
        <w:t>O.</w:t>
      </w:r>
      <w:r w:rsidRPr="00A42A9A">
        <w:tab/>
        <w:t>billi n-nisa u l-bniet fl-Asja Ċentrali għadhom vulnerabbli mmens għall-abbuż, speċjalment peress li hemm livell għoli ta’ aċċettazzjoni tal-vjolenza kontra n-nisa u għarfien baxx tal-istereotipi marbuta mal-ġeneru;</w:t>
      </w:r>
    </w:p>
    <w:p w:rsidR="00810039" w:rsidRPr="00A42A9A" w:rsidRDefault="00810039" w:rsidP="00810039">
      <w:pPr>
        <w:pStyle w:val="NormalHanging12a"/>
      </w:pPr>
      <w:r w:rsidRPr="00A42A9A">
        <w:t>P.</w:t>
      </w:r>
      <w:r w:rsidRPr="00A42A9A">
        <w:tab/>
        <w:t>billi ż-żwieġ tat-tfal għadu komuni fl-Asja Ċentrali, b’mod partikolari fil-Kirgistan u fit-Taġikistan fejn tifla waħda minn kull tmienja tiżżewweġ qabel l-età ta’ 18-il sena;</w:t>
      </w:r>
    </w:p>
    <w:p w:rsidR="00810039" w:rsidRPr="00A42A9A" w:rsidRDefault="00810039" w:rsidP="00810039">
      <w:pPr>
        <w:pStyle w:val="NormalHanging12a"/>
        <w:rPr>
          <w:bCs/>
        </w:rPr>
      </w:pPr>
      <w:r w:rsidRPr="00A42A9A">
        <w:rPr>
          <w:rStyle w:val="BoldItalic"/>
        </w:rPr>
        <w:t>L-impenn tal-UE mal-Asja Ċentrali</w:t>
      </w:r>
    </w:p>
    <w:p w:rsidR="00810039" w:rsidRPr="00A42A9A" w:rsidRDefault="00810039" w:rsidP="00810039">
      <w:pPr>
        <w:pStyle w:val="NormalHanging12a"/>
      </w:pPr>
      <w:r w:rsidRPr="00A42A9A">
        <w:t>1.</w:t>
      </w:r>
      <w:r w:rsidRPr="00A42A9A">
        <w:tab/>
        <w:t>Jissottolinja li l-UE u l-Asja Ċentrali qed jiffaċċjaw bidliet u sfidi ġeopolitiċi globali u reġjonali profondi, li jipprovdu impetu sinifikanti għalihom biex jaħdmu favur kooperazzjoni fit-tul, strutturata u ta’ benefiċċju reċiproku fi kwistjonijiet ta’ interess komuni; iħeġġeġ bil-qawwa lill-UE tintensifika l-impenn tagħha mal-Asja Ċentrali, minħabba l-importanza ġeostrateġika tar-reġjun, u tippromwovi sħubija strateġika ma’ dawn il-pajjiżi billi tespandi l-kooperazzjoni fil-livell politiku u ekonomiku; jilqa’ ż-żieda fil-kuntatt ta’ livell għoli bejn l-UE u l-Asja Ċentrali, b’mod partikolari l-laqgħat bejn il-kapijiet ta’ stat tal-Asja Ċentrali u l-President tal-Kunsill Ewropew, u l-ħidma tar-Rappreżentant Speċjali tal-UE għall-Asja Ċentrali; jitlob segwitu għal dawn il-laqgħat u d-dikjarazzjonijiet ta’ livell għoli kollha b’azzjonijiet konkreti; jilqa’, f’dan il-kuntest, il-fatt li l-ewwel summit bejn l-UE u l-Asja Ċentrali huwa ppjanat għall-2024, u l-approvazzjoni tal-Pjan Direzzjonali Konġunt għall-Approfondiment tar-Rabtiet bejn l-UE u l-Asja Ċentrali, li jservi bħala pjan ta’ azzjoni strateġiku biex jitmexxew ’il quddiem id-djalogu u l-kooperazzjoni f’oqsma speċifiċi, fosthom il-bini ta’ reżiljenza kulturali, soċjali u ekonomika; iħeġġeġ lill-UE tkompli tippromwovi riformi politiċi u ekonomiċi li jsaħħu l-istat tad-dritt, id-demokrazija, il-governanza tajba u r-rispett għad-drittijiet tal-bniedem; jinnota li l-Parlament huwa lest li jippromwovi l-kooperazzjoni parlamentari mal-Asja Ċentrali;</w:t>
      </w:r>
    </w:p>
    <w:p w:rsidR="00810039" w:rsidRPr="00A42A9A" w:rsidRDefault="00810039" w:rsidP="00810039">
      <w:pPr>
        <w:pStyle w:val="NormalHanging12a"/>
      </w:pPr>
      <w:r w:rsidRPr="00A42A9A">
        <w:t>2.</w:t>
      </w:r>
      <w:r w:rsidRPr="00A42A9A">
        <w:tab/>
        <w:t xml:space="preserve">Jinnota li l-gwerra ta’ aggressjoni tar-Russja kontra l-Ukrajna u ż-żieda fin-narrattivi nazzjonalistiċi tagħha dgħajfu l-pożizzjoni tar-Russja fir-reġjun u ħeġġew lill-Asja Ċentrali tfittex kooperazzjoni ma’ atturi oħra, u li dawn l-atturi intensifikaw il-kooperazzjoni tagħhom mal-Asja Ċentrali; jieħu nota wkoll tal-impenn Ċiniż fir-reġjun; jisħaq li l-UE issa għandha l-opportunità li tespandi r-rabtiet tagħha mal-Asja Ċentrali u jkollha rwol aktar prominenti fir-reġjun; jissottolinja li l-UE għandha tuża din l-opportunità biex trawwem kooperazzjoni ta’ benefiċċju reċiproku u toffri lill-Asja Ċentrali sħubija li tista’ ssir rotta speċjali fi strateġija usa’ fil-konfront tal-ġirien tal-Lvant tal-UE; iqis li t-tisħiħ ta’ din il-kooperazzjoni jikkontribwixxi wkoll għall-ġlieda kontra l-influwenza tar-Russja fir-reġjun; </w:t>
      </w:r>
    </w:p>
    <w:p w:rsidR="00810039" w:rsidRPr="00A42A9A" w:rsidRDefault="00810039" w:rsidP="00810039">
      <w:pPr>
        <w:pStyle w:val="NormalHanging12a"/>
      </w:pPr>
      <w:r w:rsidRPr="00A42A9A">
        <w:t>3.</w:t>
      </w:r>
      <w:r w:rsidRPr="00A42A9A">
        <w:tab/>
        <w:t xml:space="preserve">Jissottolinja l-importanza tal-kooperazzjoni transatlantika dwar l-Asja Ċentrali u jistieden lill-UE tieħu inizjattiva fit-tfassil ta’ strateġija konġunta għall-Asja Ċentrali </w:t>
      </w:r>
      <w:r w:rsidRPr="00A42A9A">
        <w:lastRenderedPageBreak/>
        <w:t>mal-Istati Uniti, li għandha tinkludi kooperazzjoni fl-oqsma tal-promozzjoni tad-demokrazija, l-investimenti u l-kummerċ, l-ekonomija u s-sigurtà reġjonali;</w:t>
      </w:r>
    </w:p>
    <w:p w:rsidR="00810039" w:rsidRPr="00A42A9A" w:rsidRDefault="00810039" w:rsidP="00810039">
      <w:pPr>
        <w:pStyle w:val="NormalHanging12a"/>
      </w:pPr>
      <w:r w:rsidRPr="00A42A9A">
        <w:t>4.</w:t>
      </w:r>
      <w:r w:rsidRPr="00A42A9A">
        <w:tab/>
        <w:t>Itenni l-impenn tal-UE li taħdem flimkien mal-pajjiżi tal-Asja Ċentrali għall-paċi, is-sigurtà, l-istabbiltà, il-prosperità u l-iżvilupp sostenibbli b’rispett sħiħ tad-dritt internazzjonali, kif ukoll il-prinċipji tar-rispett għall-indipendenza, is-sovranità u l-integrità territorjali tal-pajjiżi kollha, in-nuqqas ta’ użu tal-forza jew it-theddida tal-użu tagħha u s-soluzzjoni paċifika tat-tilwim internazzjonali;</w:t>
      </w:r>
    </w:p>
    <w:p w:rsidR="00810039" w:rsidRPr="00A42A9A" w:rsidRDefault="00810039" w:rsidP="00810039">
      <w:pPr>
        <w:pStyle w:val="NormalHanging12a"/>
      </w:pPr>
      <w:r w:rsidRPr="00A42A9A">
        <w:t>5.</w:t>
      </w:r>
      <w:r w:rsidRPr="00A42A9A">
        <w:tab/>
        <w:t>Jirrifjuta kwalunkwe tentattiv biex jiġi ffaċilitat jew assistit bi kwalunkwe mod ir-rikonoxximent internazzjonali tal-entità seċessjonista f’Ċipru okkupat, inkluż fir-rigward tal-allegata aċċettazzjoni tagħha bħala osservatur fl-Organizzazzjoni tal-Istati Turkiċi; iħeġġeġ lill-Istati kkonċernati tal-Asja Ċentrali biex effettivament jiddefendu r-rispett tal-prinċipji tas-sovranità u l-integrità territorjali tal-Istati kollha u biex ma jirratifikawx l-Istatut emendat tal-Organizzazzjoni tal-Istati Turkiċi, li jdaħħal fis-seħħ id-deċiżjoni li jingħata status ta’ osservatur;</w:t>
      </w:r>
    </w:p>
    <w:p w:rsidR="00810039" w:rsidRPr="00A42A9A" w:rsidRDefault="00810039" w:rsidP="00810039">
      <w:pPr>
        <w:pStyle w:val="NormalHanging12a"/>
      </w:pPr>
      <w:r w:rsidRPr="00A42A9A">
        <w:t>6.</w:t>
      </w:r>
      <w:r w:rsidRPr="00A42A9A">
        <w:tab/>
        <w:t>Jirrikonoxxi li l-gwerra ta’ aggressjoni tar-Russja kontra l-Ukrajna u l-implikazzjonijiet tagħha jippreżentaw kemm sfidi kif ukoll opportunitajiet għall-Istati tal-Asja Ċentrali, li tradizzjonalment żammew relazzjonijiet mill-qrib mar-Russja; jissottolinja l-interess tal-UE li żżid ir-relazzjonijiet ekonomiċi u tintensifika r-rabtiet politiċi mal-pajjiżi tal-Asja Ċentrali, parzjalment biex timminimizza ċ-ċirkomvenzjoni tas-sanzjonijiet kontra r-Russja u l-Bjelorussja; jenfasizza s-sinifikat ta’ skambju mill-qrib kontinwu dwar is-sanzjonijiet u jistieden lill-awtoritajiet tal-Istati tal-Asja Ċentrali, b’mod partikolari l-Każakistan, il-Kirgistan u l-Użbekistan, jikkooperaw mill-qrib mal-UE, speċjalment mal-Mibgħut tas-Sanzjonijiet tagħha, sabiex jintensifikaw l-isforzi tagħhom biex jipprevjenu ċ-ċirkomvenzjoni tas-sanzjonijiet; jikkundanna l-proċedura tar-Russja li tirrekluta migranti u ċittadini tal-Asja Ċentrali biex tiġġieled fl-Ukrajna u jappoġġja azzjonijiet immirati biex din tintemm; jinnota l-isforzi individwali tal-Istati tal-Asja Ċentrali biex jiżguraw li t-territorji tagħhom ma jintużawx biex jevitaw is-sanzjonijiet tal-UE u jilqa’ l-miżuri amministrattivi u l-impenn politiku ta’ livell għoli tal-Każakistan f’dan ir-rigward; jistieden lill-UE tuża approċċ differenzjat fl-istrateġija tagħha għall-Asja Ċentrali, li se tivvaluta l-livell ta’ kooperazzjoni mal-UE dwar il-politika ta’ sanzjonijiet fil-konfront tar-Russja; jinnota r-rwol li għandhom l-Istati Membri nfushom biex jiġi żgurat li l-prodotti tal-esportazzjoni li x’aktarx xorta se jaslu r-Russja mill-Asja Ċentrali jgħaddu mill-kontrolli preventivi xierqa;</w:t>
      </w:r>
    </w:p>
    <w:p w:rsidR="00810039" w:rsidRPr="00A42A9A" w:rsidRDefault="00810039" w:rsidP="00810039">
      <w:pPr>
        <w:pStyle w:val="NormalHanging12a"/>
      </w:pPr>
      <w:r w:rsidRPr="00A42A9A">
        <w:t>7.</w:t>
      </w:r>
      <w:r w:rsidRPr="00A42A9A">
        <w:tab/>
        <w:t xml:space="preserve">Iqis li huwa meħtieġ rieżami tal-istrateġija tal-UE għall-Asja Ċentrali sabiex din tiġi aġġornata fid-dawl tal-avvenimenti ġeopolitiċi li seħħew f’dawn l-aħħar snin; itenni r-rwol ewlieni tal-Ftehimiet Imsaħħa ta’ Sħubija u Kooperazzjoni bħala l-qafas għall-kooperazzjoni mal-Istati tal-Asja Ċentrali; jinnota, bi tħassib, li l-EPCA mal-Kirgistan, li n-negozjati dwaru ġew konklużi fl-2019, għadu mhux iffirmat; jistieden lill-Kunsill u lill-Kummissjoni javvanzaw malajr fin-negozjati li għaddejjin dwar EPCA mat-Taġikistan, isolvu l-kwistjonijiet pendenti u jiffirmaw il-Ftehimiet Imsaħħa ta’ Sħubija u Kooperazzjoni mal-Kirgistan u l-Użbekistan mingħajr aktar dewmien sabiex il-Parlament jeżerċita l-prerogattivi tiegħu rigward ir-ratifika ta’ dawn il-ftehimiet; jisħaq li l-fatt li ma jiġux iffirmati ftehimiet bħal dawn wara l-konklużjoni tan-negozjati jqajjem dubji dwar il-kredibbiltà tal-UE bħala attur globali; </w:t>
      </w:r>
    </w:p>
    <w:p w:rsidR="00810039" w:rsidRPr="00A42A9A" w:rsidRDefault="00810039" w:rsidP="00810039">
      <w:pPr>
        <w:pStyle w:val="NormalHanging12a"/>
      </w:pPr>
      <w:r w:rsidRPr="00A42A9A">
        <w:t>8.</w:t>
      </w:r>
      <w:r w:rsidRPr="00A42A9A">
        <w:tab/>
        <w:t>Jinnota li l-Ftehimiet Imsaħħa ta’ Sħubija u Kooperazzjoni mal-Istati tal-Asja Ċentrali nnegozjati s’issa poġġew enfasi qawwija fuq ir-rispett għall-prinċipji demokratiċi, id-</w:t>
      </w:r>
      <w:r w:rsidRPr="00A42A9A">
        <w:lastRenderedPageBreak/>
        <w:t xml:space="preserve">drittijiet tal-bniedem u l-istat tad-dritt; jisħaq fuq l-importanza tal-integrazzjoni tad-drittijiet tal-bniedem, tal-valuri demokratiċi, tal-ugwaljanza bejn il-ġeneri, tal-media ħielsa u tat-tranżizzjoni ekoloġika fl-interazzjonijiet mal-gvernijiet tal-Asja Ċentrali; </w:t>
      </w:r>
    </w:p>
    <w:p w:rsidR="00810039" w:rsidRPr="00A42A9A" w:rsidRDefault="00810039" w:rsidP="00810039">
      <w:pPr>
        <w:pStyle w:val="Normal12a24b"/>
      </w:pPr>
      <w:r w:rsidRPr="00A42A9A">
        <w:rPr>
          <w:rStyle w:val="BoldItalic"/>
        </w:rPr>
        <w:t>Il-kooperazzjoni reġjonali</w:t>
      </w:r>
    </w:p>
    <w:p w:rsidR="00810039" w:rsidRPr="00A42A9A" w:rsidRDefault="00810039" w:rsidP="00810039">
      <w:pPr>
        <w:pStyle w:val="NormalHanging12a"/>
      </w:pPr>
      <w:r w:rsidRPr="00A42A9A">
        <w:t>9.</w:t>
      </w:r>
      <w:r w:rsidRPr="00A42A9A">
        <w:tab/>
        <w:t>Jissottolinja l-potenzjal kbir ta’ kooperazzjoni ta’ benefiċċju reċiproku dwar l-iżvilupp sostenibbli, il-konnettività, l-enerġija, il-materja prima kritika u s-sigurtà, u li l-Asja Ċentrali hija reġjun fundamentali għall-konnettività bejn il-Lvant u l-Punent; ifakkar, f’dan il-kuntest, fil-konsegwenzi ġeopolitiċi sinifikanti tal-gwerra ta’ aggressjoni tar-Russja kontra l-Ukrajna, li reġgħet saħħet il-“Kuritur tan-Nofs” (Middle Corridor) mhux biss bħala żona ekonomika reġjonali, iżda wkoll bħala rotta alternattiva u sostenibbli bejn l-Asja u l-Ewropa li tevita li taqsam it-territorju Russu; ifakkar li l-Pont Kontinentali l-Ġdid tal-Ewrasja jgħaddi mit-territorju Russu u Belarussu sanzjonat; jisħaq fuq is-sinifikat tal-promozzjoni tal-integrazzjoni reġjonali tul il-“Kuritur tan-Nofs” u jinnota li sabiex jiġi attirat il-finanzjament tant meħtieġ għal proġetti ta’ infrastruttura fl-ambitu tal-Global Gateway, iridu jiġu eliminati l-ostakli identifikati fl-istudju mwettaq mill-Bank Ewropew għar-Rikostruzzjoni u l-Iżvilupp; jistieden lill-Kummissjoni tinvestiga l-possibbiltà li l-Bank Ewropew tal-Investiment jappoġġja l-investimenti fl-iżvilupp tal-infrastruttura fl-Istati tal-Asja Ċentrali, speċjalment fil-“Kuritur tan-Nofs”;</w:t>
      </w:r>
    </w:p>
    <w:p w:rsidR="00810039" w:rsidRPr="00A42A9A" w:rsidRDefault="00810039" w:rsidP="00810039">
      <w:pPr>
        <w:pStyle w:val="NormalHanging12a"/>
      </w:pPr>
      <w:r w:rsidRPr="00A42A9A">
        <w:t>10.</w:t>
      </w:r>
      <w:r w:rsidRPr="00A42A9A">
        <w:tab/>
        <w:t xml:space="preserve">Jemmen li l-politika tal-UE lejn l-Asja Ċentrali fl-oqsma tal-enerġija, il-konnettività u d-diversifikazzjoni tar-riżorsi għandha tkun ispirata mill-Patt Ekoloġiku Ewropew u bbażata fuq sħubijiet strateġiċi ta’ benefiċċju reċiproku li jqisu l-pekuljaritajiet ta’ kull wieħed mill-Istati tal-Asja Ċentrali, filwaqt li jiżguraw l-aċċess tagħhom għal teknoloġiji moderni u impjiegi ta’ kwalità, filwaqt li jiggarantixxu aċċess sigur u kompetittiv għall-materja prima u l-enerġija għall-UE; jinsab imħasseb, f’dan ir-rigward, bil-fatt li nħolqot dipendenza fuq ir-Russja bħala riżultat tal-iffirmar tal-ftehim dwar il-gass naturali bejn Gazprom u l-Użbekistan permezz tal-Każakistan; </w:t>
      </w:r>
    </w:p>
    <w:p w:rsidR="00810039" w:rsidRPr="00A42A9A" w:rsidRDefault="00810039" w:rsidP="00810039">
      <w:pPr>
        <w:pStyle w:val="NormalHanging12a"/>
      </w:pPr>
      <w:r w:rsidRPr="00A42A9A">
        <w:t>11.</w:t>
      </w:r>
      <w:r w:rsidRPr="00A42A9A">
        <w:tab/>
        <w:t xml:space="preserve">Jirrikonoxxi r-rwol kruċjali tal-UE fil-finanzjament tar-riformi settorjali tal-Asja Ċentrali, fit-titjib tal-effiċjenza enerġetika tagħha u fit-tnaqqis tal-emissjonijiet tagħha ta’ gassijiet b’effett ta’ serra; jilqa’ t-tnedija tal-proġett dwar il-Konnettività tal-Enerġija Sostenibbli fl-Asja Ċentrali (SECCA) fl-2022, u jistenna bil-ħerqa l-impatt pożittiv tiegħu fuq it-tisħiħ tal-politiki nazzjonali għat-tranżizzjoni lejn sistema tal-enerġija sostenibbli u ż-żieda fl-investiment, fil-kapaċità u fis-sensibilizzazzjoni rigward l-enerġija rinnovabbli u l-effiċjenza enerġetika fir-reġjun; </w:t>
      </w:r>
    </w:p>
    <w:p w:rsidR="00810039" w:rsidRPr="00A42A9A" w:rsidRDefault="00810039" w:rsidP="00810039">
      <w:pPr>
        <w:pStyle w:val="NormalHanging12a"/>
      </w:pPr>
      <w:r w:rsidRPr="00A42A9A">
        <w:t>12.</w:t>
      </w:r>
      <w:r w:rsidRPr="00A42A9A">
        <w:tab/>
        <w:t xml:space="preserve">Jissottolinja l-importanza ta’ klima ta’ investiment pożittiva għall-iżvilupp ekonomiku tal-Asja Ċentrali u tal-kummerċ u l-kooperazzjoni bejn l-UE u l-Asja Ċentrali; jenfasizza li klima ta’ investiment pożittiva li twassal għall-ħolqien ta’ postijiet tax-xogħol ta’ kwalità b’salarji adegwati u kundizzjonijiet tax-xogħol deċenti tiddependi minn istituzzjonijiet demokratiċi stabbli, mir-rispett għad-drittijiet tal-bniedem u l-istat tad-dritt, kif ukoll mill-kapaċità tan-negozji u tas-soċjetà ċivili għall-applikazzjoni tad-diliġenza dovuta; </w:t>
      </w:r>
    </w:p>
    <w:p w:rsidR="00810039" w:rsidRPr="00A42A9A" w:rsidRDefault="00810039" w:rsidP="00810039">
      <w:pPr>
        <w:pStyle w:val="NormalHanging12a"/>
      </w:pPr>
      <w:r w:rsidRPr="00A42A9A">
        <w:t>13.</w:t>
      </w:r>
      <w:r w:rsidRPr="00A42A9A">
        <w:tab/>
        <w:t>Jinnota l-approċċ li ilhom iħaddnu l-Istati tal-Asja Ċentrali, bl-eċċezzjoni tat-Taġikistan, li jżommu relazzjonijiet mal-Afganistan u l-impenn prammatiku tagħhom li qed jevolvi mat-Talibani, li madankollu ma jirrikonoxxux, minn mindu ħadu l-kontroll fl-2021; jissottolinja li l-pajjiżi fir-reġjun, b’mod partikolari l-Pakistan u ċ-Ċina, iżda anke l-</w:t>
      </w:r>
      <w:r w:rsidRPr="00A42A9A">
        <w:lastRenderedPageBreak/>
        <w:t>Istati tal-Asja Ċentrali għandhom rwol ewlieni biex jiżguraw l-istabbiltà fl-Afganistan permezz tal-għoti ta’ għajnuna umanitarja, elettriku, opportunitajiet kummerċjali u proġetti konġunti ta’ konnettività; iħeġġeġ lill-Mibgħut Speċjali tal-UE għall-Afganistan ikompli jikkoopera mill-qrib mal-kontropartijiet fl-Istati tal-Asja Ċentrali bħala parti mid-djalogu bejn l-UE u l-Asja Ċentrali dwar l-Afganistan; jirrikonoxxi li l-Asja Ċentrali hija żona kruċjali biex jitrażżnu l-estremiżmu reliġjuż, it-terroriżmu u n-networks tat-traffikar tad-droga u qed tiffaċċja pressjoni migratorja akbar minħabba l-kriżi umanitarja li għaddejja fl-Afganistan; itenni r-rabja tiegħu għat-trattament tan-nisa mit-Talibani bħala inqas minn ċittadini sekondarji u jistieden lis-Servizz Ewropew għall-Azzjoni Esterna u lill-Mibgħut Speċjali tal-UE għall-Afganistan jikkooperaw mat-Turkmenistan, l-Użbekistan u t-Taġikistan biex jassistu lin-nisa li jippruvaw jaħarbu mill-Afganistan;</w:t>
      </w:r>
    </w:p>
    <w:p w:rsidR="00810039" w:rsidRPr="00A42A9A" w:rsidRDefault="00810039" w:rsidP="00810039">
      <w:pPr>
        <w:pStyle w:val="NormalHanging12a"/>
      </w:pPr>
      <w:r w:rsidRPr="00A42A9A">
        <w:t>14.</w:t>
      </w:r>
      <w:r w:rsidRPr="00A42A9A">
        <w:tab/>
        <w:t>Jenfasizza r-rwol tal-UE bħala donatur importanti ta’ għajnuna lir-reġjun; jissottolinja l-importanza li jittieħed approċċ magħqud bħala Tim Ewropa, peress li dan jagħmilha possibbli li jinħolqu sinerġiji u jiġi mmassimizzat l-impatt tal-azzjoni meħuda u juri l-benefiċċji tal-kooperazzjoni multilaterali, u jlaqqa’ flimkien l-aħjar għodod u sħab, bħall-organizzazzjonijiet tas-soċjetà ċivili, id-difensuri tad-drittijiet tal-bniedem, il-media u l-esperti indipendenti, u s-settur pubbliku u privat, biex jinkiseb l-impatt maħsub; jisħaq fuq il-ħtieġa li tiġi żgurata l-viżibbiltà tal-assistenza u l-investiment tal-UE u jitlob li l-assistenza u l-appoġġ baġitarju tal-UE lill-Istati tal-Asja Ċentrali jkunu marbuta ma’ parametri referenzjarji konkreti għall-progress fir-riformi demokratiċi, fid-drittijiet tal-bniedem, fil-protezzjoni, fl-istat tad-dritt u fl-iżvilupp sostenibbli; jisħaq fuq l-importanza ta’ kooperazzjoni koordinata ma’ sħab u organizzazzjonijiet internazzjonali oħra biex ikunu jistgħu jsiru sinerġiji u tiġi evitata d-duplikazzjoni;</w:t>
      </w:r>
    </w:p>
    <w:p w:rsidR="00810039" w:rsidRPr="00A42A9A" w:rsidRDefault="00810039" w:rsidP="00810039">
      <w:pPr>
        <w:pStyle w:val="NormalHanging12a"/>
      </w:pPr>
      <w:r w:rsidRPr="00A42A9A">
        <w:t>15.</w:t>
      </w:r>
      <w:r w:rsidRPr="00A42A9A">
        <w:tab/>
        <w:t>Jinnota li t-tibdil fil-klima, il-popolazzjoni li qed tikber u l-ħtiġijiet ekonomiċi qed ipoġġu pressjoni dejjem akbar fuq ir-riżorsi tal-ilma fl-Asja Ċentrali; jisħaq fuq il-ħtieġa ta’ kooperazzjoni reġjonali aktar mill-qrib dwar din il-kwistjoni bejn il-pajjiżi upstream u downstream sabiex jiġu evitati kunflitti dwar id-distribuzzjoni u l-użu tar-riżorsi tal-ilma; jilqa’ l-pjattaformi reġjonali, bħall-Fond Internazzjonali biex Jissalva l-Baħar ta’ Aral, li jħeġġu d-djalogu u l-kooperazzjoni bejn l-Istati tal-Asja Ċentrali; ifakkar li d-djalogu ambjentali bejn l-UE u l-Asja Ċentrali ġie stabbilit sabiex jappoġġja l-istabbilizzazzjoni tal-Baħar ta’ Aral u jrawwem ġestjoni aħjar tar-riżorsi tal-ilma; jitlob li jiġi implimentat il-Ftehim ta’ Pariġi dwar it-tibdil fil-klima u jinsab lest li jipprovdi għarfien espert u kooperazzjoni sabiex dan jinkiseb;</w:t>
      </w:r>
    </w:p>
    <w:p w:rsidR="00810039" w:rsidRPr="00A42A9A" w:rsidRDefault="00810039" w:rsidP="00810039">
      <w:pPr>
        <w:pStyle w:val="NormalHanging12a"/>
      </w:pPr>
      <w:r w:rsidRPr="00A42A9A">
        <w:t>16.</w:t>
      </w:r>
      <w:r w:rsidRPr="00A42A9A">
        <w:tab/>
        <w:t>Jenfasizza li s-soluzzjoni tal-kunflitti, inklużi dawk li jikkonċernaw id-distribuzzjoni tal-ilma, f’konformità mad-dritt internazzjonali u r-relazzjonijiet tajbin ta’ viċinat, u l-evitar akkost ta’ kollox tal-użu jew tat-theddida tal-forza huma kruċjali biex jinkisbu kemm l-istabbiltà reġjonali fit-tul kif ukoll l-Għanijiet ta’ Żvilupp Sostenibbli; jissottolinja l-importanza tad-delimitazzjoni u d-demarkazzjoni ta’ żoni tal-fruntiera kkontestati bejn it-Taġikistan u l-Kirgistan biex jiġi evitat aktar ġlied militari bejn iż-żewġ pajjiżi u jilqa’ l-passi li ħadu ż-żewġ naħat f’dan ir-rigward; itenni l-offerta tal-UE li tappoġġja r-riżoluzzjoni paċifika tal-kunflitt permezz ta’ assistenza teknika u miżuri għall-bini tal-fiduċja; jilqa’ s-soluzzjoni tal-kwistjoni tad-delimitazzjoni tal-fruntieri bejn il-Kirgistan u l-Użbekistan f’Jannar 2023; itenni li l-UE hija impenjata favur in-nonproliferazzjoni tal-armi ta’ qerda massiva fiż-żona;</w:t>
      </w:r>
    </w:p>
    <w:p w:rsidR="00810039" w:rsidRPr="00A42A9A" w:rsidRDefault="00810039" w:rsidP="00810039">
      <w:pPr>
        <w:pStyle w:val="Normal12a24b"/>
      </w:pPr>
      <w:r w:rsidRPr="00A42A9A">
        <w:rPr>
          <w:rStyle w:val="BoldItalic"/>
        </w:rPr>
        <w:t xml:space="preserve">Id-demokrazija u d-drittijiet tal-bniedem </w:t>
      </w:r>
    </w:p>
    <w:p w:rsidR="00810039" w:rsidRPr="00A42A9A" w:rsidRDefault="00810039" w:rsidP="00810039">
      <w:pPr>
        <w:pStyle w:val="NormalHanging12a"/>
      </w:pPr>
      <w:r w:rsidRPr="00A42A9A">
        <w:lastRenderedPageBreak/>
        <w:t>17.</w:t>
      </w:r>
      <w:r w:rsidRPr="00A42A9A">
        <w:tab/>
        <w:t>Jinsisti li r-rispett għad-drittijiet tal-bniedem u l-konformità mal-obbligi internazzjonali huma importanti għar-relazzjonijiet tal-UE mal-Asja Ċentrali; iħeġġeġ lill-Istati tal-Asja Ċentrali jaderixxu mal-obbligi tagħhom dwar id-demokrazija u d-drittijiet tal-bniedem, filwaqt li jinnota li dan huwa wkoll konformi mal-Ftehimiet ta’ Sħubija u Kooperazzjoni u l-Iskema Ġeneralizzata ta’ Preferenzi Plus; jisħaq fuq l-importanza li jinżammu djalogi regolari dwar id-drittijiet tal-bniedem mal-Istati tal-Asja Ċentrali, peress li dawn id-djalogi huma strument għall-promozzjoni tar-rispett għad-drittijiet tal-bniedem u l-libertajiet fundamentali u għall-pluraliżmu politiku, u forum biex jitqajmu kwistjonijiet ta’ tħassib; jistieden lid-delegazzjonijiet tal-UE u lir-rappreżentanzi tal-Istati Membri fl-Asja Ċentrali jkomplu jaqdu rwol attiv fil-monitoraġġ tas-sitwazzjoni fuq il-post, jaħdmu mad-difensuri tad-drittijiet tal-bniedem u jirreaġixxu għall-ksur tad-drittijiet tal-bniedem u l-persekuzzjoni politikament motivata, inkluż billi jattendu proċessi u jżuru priġunieri politiċi; iħeġġeġ il-kooperazzjoni mal-korpi tat-trattati tan-NU u l-proċeduri speċjali kif ukoll f’fora multilaterali dwar id-drittijiet tal-bniedem bħall-Kunsill tad-Drittijiet tal-Bniedem tan-NU;</w:t>
      </w:r>
    </w:p>
    <w:p w:rsidR="00810039" w:rsidRPr="00A42A9A" w:rsidRDefault="00810039" w:rsidP="00810039">
      <w:pPr>
        <w:pStyle w:val="NormalHanging12a"/>
      </w:pPr>
      <w:r w:rsidRPr="00A42A9A">
        <w:t>18.</w:t>
      </w:r>
      <w:r w:rsidRPr="00A42A9A">
        <w:tab/>
        <w:t>Jinsab imħasseb dwar in-nuqqas ta’ responsabbiltà għal ksur serju tad-drittijiet tal-bniedem fuq skala kbira, inkluż l-użu ta’ miżuri ħorox mill-awtoritajiet biex itemmu l-protesti tal-massa u l-inkwiet li rriżulta matul l-hekk imsejħa avvenimenti “Bloody January” fil-Każakistan, kif ukoll fl-Oblast Awtonomu ta’ Gorno-Badakhshan (GBAO) fit-Taġikistan u fir-Repubblika ta’ Karakalpakstan fl-Użbekistan; jistieden lill-awtoritajiet fil-ħames Stati tal-Asja Ċentrali jieħdu miżuri effettivi biex iniedu investigazzjonijiet indipendenti u bir-reqqa dwar l-allegazzjonijiet kollha ta’ tortura u trattament ħażin u ksur serju ieħor tad-drittijiet tal-bniedem, u biex jipprevjenu l-użu ta’ forza eċċessiva u tortura mill-pulizija u l-forzi tas-sigurtà; jistieden lill-gvernijiet tal-Istati tal-Asja Ċentrali jwettqu riformi ġudizzjarji bl-għan li jiżguraw indipendenza u trasparenza akbar;</w:t>
      </w:r>
    </w:p>
    <w:p w:rsidR="00810039" w:rsidRPr="00A42A9A" w:rsidRDefault="00810039" w:rsidP="00810039">
      <w:pPr>
        <w:pStyle w:val="NormalHanging12a"/>
      </w:pPr>
      <w:r w:rsidRPr="00A42A9A">
        <w:t>19.</w:t>
      </w:r>
      <w:r w:rsidRPr="00A42A9A">
        <w:tab/>
        <w:t>Jissottolinja n-nuqqasijiet demokratiċi fundamentali fl-Asja Ċentrali, fir-rigward tal-governanza demokratika, l-istat tad-dritt u l-protezzjoni tad-drittijiet tal-bniedem, li għadhom jippersistu u li dan l-aħħar marru għall-agħar f’diversi aspetti; jissottolinja l-ħtieġa li l-proċessi elettorali jsiru aktar trasparenti, miftuħa u ġusti għall-atturi politiċi kollha; jenfasizza r-rwol importanti li s-soċjetà ċivili jista’ jkollha fl-appoġġ u l-avvanz tar-riformi demokratiċi, il-governanza tajba u l-protezzjoni tad-drittijiet tal-bniedem fl-Asja Ċentrali; jiddispjaċih dwar l-approċċ restrittiv li ttieħed f’inizjattivi leġiżlattivi dwar l-organizzazzjonijiet mhux governattivi u l-media, li jnaqqsu l-ispazju għall-attivitajiet tas-soċjetà ċivili; jistieden lill-Istati tal-Asja Ċentrali jieħdu passi sinifikanti biex jindirizzaw dawn in-nuqqasijiet, jimplimentaw il-konvenzjonijiet rilevanti tal-Organizzazzjoni Internazzjonali tax-Xogħol u jiżguraw il-konformità mal-obbligi internazzjonali tagħhom rigward il-governanza demokratika u l-protezzjoni tad-drittijiet tal-bniedem, filwaqt li jinnota li l-Istati impenjaw ruħhom li jagħmlu dan fl-ambitu tal-Ftehimiet ta’ Sħubija u Kooperazzoni mal-UE, il-Ftehimiet Imsaħħa ta’ Sħubija u Kooperazzjoni nnegozjati u l-Iskema Ġeneralizzata ta’ Preferenzi Plus tal-UE; jinnota li l-Istati tal-Asja Ċentrali għandhom popolazzjonijiet żgħażagħ u dinamiċi li għandhom jingħataw opportunitajiet biex jinvolvu ruħhom b’mod sinifikanti fit-tiswir tal-futur ta’ pajjiżhom; jilqa’ l-attivitajiet tal-Forum tas-Soċjetà Ċivili UE-Asja Ċentrali u jitlob lill-UE ssaħħaħ l-appoġġ tagħha għas-soċjetà ċivili;</w:t>
      </w:r>
    </w:p>
    <w:p w:rsidR="00810039" w:rsidRPr="00A42A9A" w:rsidRDefault="00810039" w:rsidP="00810039">
      <w:pPr>
        <w:pStyle w:val="NormalHanging12a"/>
      </w:pPr>
      <w:r w:rsidRPr="00A42A9A">
        <w:t>20.</w:t>
      </w:r>
      <w:r w:rsidRPr="00A42A9A">
        <w:tab/>
        <w:t xml:space="preserve">Jinnota l-ħtieġa li tingħata spinta lir-reżiljenza tal-Asja Ċentrali kontra d-diżinformazzjoni billi jiġu promossi l-media u l-kontenut indipendenti fil-lingwi lokali, jiżdied il-litteriżmu medjatiku u jiġu organizzati korsijiet immirati għall-ġurnalisti </w:t>
      </w:r>
      <w:r w:rsidRPr="00A42A9A">
        <w:lastRenderedPageBreak/>
        <w:t>lokali; jisħaq fuq il-ħtieġa li jissaħħu l-indipendenza u l-pluraliżmu tal-media u l-libertà tal-espressjoni fl-Asja Ċentrali f’konformità mal-ogħla standards demokratiċi; jitlob trasparenza akbar tas-sjieda u l-finanzjament tal-media bl-għan li jissaħħu l-indipendenza u l-pluraliżmu tal-media; jiddispjaċih li l-awtoritajiet tal-Asja Ċentrali sfruttaw il-ġlieda kontra d-diżinformazzjoni biex jirrestrinġu l-eżerċizzju leġittimu tal-libertà tal-espressjoni, inkluż billi akkużaw lil dawk li jitkellmu dwar il-korruzzjoni, l-inġustizzja u l-abbuż tal-gvern li allegatament xerrdu informazzjoni “falza”, inċitaw “nuqqas ta’ qbil” u ppromwovew “estremiżmu”; jinsab imħasseb dwar l-għadd dejjem akbar ta’ arresti ta’ ġurnalisti u bloggers u dwar it-theddid li jingħalqu mezzi tal-media indipendenti; jinsisti li r-rispett għad-drittijiet tal-ġurnalisti, tal-bloggers indipendenti, tad-difensuri tad-drittijiet tal-bniedem u tal-attivisti ċiviċi u ambjentali jrid jiġi żgurat, li dawn iridu jiġu garantiti protezzjoni kontra l-fastidju, il-pressjoni u t-theddid, li kwalunkwe attakk kontrihom irid jiġi investigat u li dawk kollha detenuti u mibgħuta l-ħabs inġustament jiġu rilaxxati immedjatament u mingħajr kundizzjoni; jikkundanna l-għadd ta’ inizjattivi reċenti tal-gvern biex jagħlaq is-servizzi tal-media indipendenti u jimblokka l-aċċess għas-siti tagħhom fit-Taġikistan u l-Kirgistan, kif ukoll l-abbozz ta’ leġiżlazzjoni dwar il-media li bħalissa qed jiġi kkunsidrat fil-Kirgistan u l-Każakistan li jheddu li jżidu l-kontroll tal-Istat fuq l-operazzjonijiet tal-media;</w:t>
      </w:r>
    </w:p>
    <w:p w:rsidR="00810039" w:rsidRPr="00A42A9A" w:rsidRDefault="00810039" w:rsidP="00810039">
      <w:pPr>
        <w:pStyle w:val="NormalHanging12a"/>
      </w:pPr>
      <w:r w:rsidRPr="00A42A9A">
        <w:t>21.</w:t>
      </w:r>
      <w:r w:rsidRPr="00A42A9A">
        <w:tab/>
        <w:t>Jistieden lill-awtoritajiet tal-Asja Ċentrali jirrilaxxaw lill-priġunieri politiċi kollha; jistieden b’mod speċifiku lill-awtoritajiet tal-Każakistan biex jeħilsu lil: Aigerim Tleuzhan, Marat Zhylanbayev, Bekizhan Mendygaziyev, Timur Danebayev, Kairat Klyshev; jistieden lill-awtoritajiet tal-Kirgistan jeħilsu lil: Azimbek Beknazarov, Aibek Buzurmankulov, Aidanbek Akmatov, Temir Makhmudov, Marat Bayazov; jistieden lill-awtoritajiet tal-Użbekistan jeħilsu lil: Dauletmurat Tazhimuratov, Allabai Tokymbetov, Nurlan Naiypov, Amirbek Adilbekov; jistieden lill-awtoritajiet tat-Taġikistan jeħilsu lil: Faromuz Irgashov, Ulfatkhonim Mamadshoeva, Khursand Mamadshoev, Khushruz Djumaev; jistieden lill-awtoritajiet tat-Turkmenistan jeħilsu lil: Omruzak Omarkuliev, Murat Dushemov, Murat Ovezov, Mansur Mingelov, Nurgeldy Khalykov;</w:t>
      </w:r>
    </w:p>
    <w:p w:rsidR="00810039" w:rsidRPr="00A42A9A" w:rsidRDefault="00810039" w:rsidP="00810039">
      <w:pPr>
        <w:pStyle w:val="NormalHanging12a"/>
      </w:pPr>
      <w:r w:rsidRPr="00A42A9A">
        <w:t>22.</w:t>
      </w:r>
      <w:r w:rsidRPr="00A42A9A">
        <w:tab/>
        <w:t>Jinsab imħasseb dwar il-fatt li, għalkemm l-ugwaljanza bejn il-ġeneri hija allegatament protetta bil-liġi fil-pajjiżi kollha, il-vjolenza abbażi tal-ġeneru, il-vjolenza domestika, iż-żwieġ tat-tfal, id-diskriminazzjoni u l-fastidju tal-minoranzi etniċi u reliġjużi u tal-persuni LGBTIQ għadhom mifruxa fl-Asja Ċentrali; iħeġġeġ lill-gvernijiet tal-Asja Ċentrali jipprevjenu dan il-ksur tad-drittijiet tal-bniedem permezz ta’ liġijiet, kampanji edukattivi u miżuri xierqa, inkluż iż-żieda fis-sensibilizzazzjoni u l-kwalifiki tal-uffiċjali pubbliċi, b’mod partikolari l-uffiċjali tal-pulizija, it-tisħiħ tal-kapaċità tal-organizzazzjonijiet tas-soċjetà ċivili biex jippromwovu bidliet leġiżlattivi, it-titjib tas-servizzi ta’ appoġġ tal-ewwel linja għas-superstiti u s-sensibilizzazzjoni biex jiġu miġġielda l-istereotipi eżistenti u tiġi promossa l-ugwaljanza fis-soċjetà; jesprimi tħassib li l-kriminalizzazzjoni tal-persuni LGBTIQ għadha fis-seħħ, li hemm nuqqas ta’ leġiżlazzjoni bażika kontra d-diskriminazzjoni fil-biċċa l-kbira tal-pajjiżi, li qed jintuża stupru korrettiv kontra l-leżbjani u li hemm nuqqas ta’ spazji sikuri għall-persuni LGBTIQ biex jinġabru fihom, li jsiru raids kontinwi fuq il-ħwienet tax-xorb u l-ispazji soċjali, u li l-brutalità tal-pulizija hija mifruxa; jisħaq li kwalunkwe strateġija tal-UE dwar l-Asja Ċentrali trid tkun konformi mal-Pjan ta’ Azzjoni tal-UE dwar il-Ġeneru III;</w:t>
      </w:r>
    </w:p>
    <w:p w:rsidR="00810039" w:rsidRPr="00A42A9A" w:rsidRDefault="00810039" w:rsidP="00810039">
      <w:pPr>
        <w:pStyle w:val="NormalHanging12a"/>
      </w:pPr>
      <w:r w:rsidRPr="00A42A9A">
        <w:t>23.</w:t>
      </w:r>
      <w:r w:rsidRPr="00A42A9A">
        <w:tab/>
        <w:t xml:space="preserve">Itenni t-tħassib tiegħu dwar il-korruzzjoni rampanti u l-kleptokrazija fl-Asja Ċentrali, li jnaqqsu l-fiduċja fil-gvern, iżidu l-inugwaljanza, iċaħħdu liċ-ċittadini mis-servizzi pubbliċi u jnaqqsu t-tkabbir ekonomiku; jistieden lill-gvernijiet tal-Asja Ċentrali jieħdu azzjoni lil hinn mir-retorika mifruxa kontra l-korruzzjoni u finalment, jimpenjaw </w:t>
      </w:r>
      <w:r w:rsidRPr="00A42A9A">
        <w:lastRenderedPageBreak/>
        <w:t>ruħhom fil-ġlieda kontra l-korruzzjoni u l-kleptokrazija u jadottaw strateġiji nazzjonali li jiffukaw fuq approċċ integrat għall-prevenzjoni u t-trażżin tal-korruzzjoni kif ukoll iżidu t-trasparenza u l-aċċess għall-informazzjoni, u jillimitaw l-influwenza privata;</w:t>
      </w:r>
    </w:p>
    <w:p w:rsidR="00810039" w:rsidRPr="00A42A9A" w:rsidRDefault="00810039" w:rsidP="00810039">
      <w:pPr>
        <w:pStyle w:val="NormalHanging12a"/>
      </w:pPr>
      <w:r w:rsidRPr="00A42A9A">
        <w:t>24.</w:t>
      </w:r>
      <w:r w:rsidRPr="00A42A9A">
        <w:tab/>
        <w:t>Jissottolinja li l-UE għandha tikkapitalizza fuq l-immaġni pożittiva tagħha fl-Asja Ċentrali billi tinvolvi ruħha f’aktar diplomazija kulturali u pubblika; jirrakkomanda li jissaħħu r-rabtiet u li jiżdiedu l-opportunitajiet għall-kollaborazzjoni bejn l-istituzzjonijiet Ewropej u tal-Asja Ċentrali u li jitrawmu l-kuntatt u l-mobbiltà bejn il-persuni, filwaqt li jiġu offruti opportunitajiet fl-edukazzjoni u x-xjenza, bħall-iskambju fil-livell akkademiku permezz tal-programmi Erasmus+ u Orizzont 2020, u li jiżdied it-turiżmu sostenibbli;</w:t>
      </w:r>
    </w:p>
    <w:p w:rsidR="00810039" w:rsidRPr="00A42A9A" w:rsidRDefault="00810039" w:rsidP="00810039">
      <w:pPr>
        <w:pStyle w:val="NormalHanging12a"/>
      </w:pPr>
      <w:r w:rsidRPr="00A42A9A">
        <w:t>25.</w:t>
      </w:r>
      <w:r w:rsidRPr="00A42A9A">
        <w:tab/>
        <w:t>Jinnota r-rieda tal-Istati tal-Asja Ċentrali li jibdew djalogu dwar il-liberalizzazzjoni tal-viża mal-UE u jistieden lill-Kummissjoni tintensifika l-konsultazzjonijiet dwar l-iżvilupp ta’ pjanijiet direzzjonali ta’ riforma mmirati u komprensivi għall-Istati tal-Asja Ċentrali biex titwitta t-triq għall-faċilitazzjoni tal-viża u l-ftehimiet ta’ riammissjoni;</w:t>
      </w:r>
    </w:p>
    <w:p w:rsidR="00810039" w:rsidRPr="00A42A9A" w:rsidRDefault="00810039" w:rsidP="00810039">
      <w:pPr>
        <w:pStyle w:val="NormalHanging12a"/>
        <w:rPr>
          <w:b/>
          <w:i/>
        </w:rPr>
      </w:pPr>
      <w:r w:rsidRPr="00A42A9A">
        <w:rPr>
          <w:b/>
          <w:i/>
        </w:rPr>
        <w:t>Il-kooperazzjoni bilaterali</w:t>
      </w:r>
    </w:p>
    <w:p w:rsidR="00810039" w:rsidRPr="00A42A9A" w:rsidRDefault="00810039" w:rsidP="00810039">
      <w:pPr>
        <w:pStyle w:val="NormalHanging12a"/>
      </w:pPr>
      <w:r w:rsidRPr="00A42A9A">
        <w:t>26.</w:t>
      </w:r>
      <w:r w:rsidRPr="00A42A9A">
        <w:tab/>
        <w:t>Jinnota li l-Każakistan huwa l-ewwel Stat tal-Asja Ċentrali b’EPCA ratifikat, li jipprovdi pedament sod għall-espansjoni tal-kooperazzjoni f’oqsma ewlenin ta’ interess reċiproku, bħall-konnettività, l-effiċjenza enerġetika, l-ekonomija ekoloġika u d-diġitalizzazzjoni; jilqa’ l-iffirmar tal-memorandum ta’ qbil bejn ir-Repubblika tal-Każakistan u l-UE dwar sħubija strateġika dwar il-materja prima sostenibbli, il-batteriji u l-ktajjen tal-valur tal-idroġenu rinnovabbli; jistieden lill-awtoritajiet tal-Każakistan ikomplu jimplimentaw riformi politiċi u ekonomiċi, li għandhom isaħħu d-demokrazija, l-istat tad-dritt u l-governanza tajba; jissottolinja li l-implimentazzjoni tal-viżjoni ta’ “Każakistan Ġust u Ekwu” trid tiżgura r-rispett għad-drittijiet tal-bniedem u l-libertajiet tal-espressjoni, tal-assoċjazzjoni u tal-għaqda, u ttejjeb il-qafas elettorali f’konformità mar-rakkomandazzjonijiet tal-Uffiċċju għall-Istituzzjonijiet Demokratiċi u d-Drittijiet tal-Bniedem tal-OSKE; jistieden lill-awtoritajiet tal-Każakistan ilestu l-investigazzjoni dwar l-avvenimenti ta’ Jannar 2022, jippubblikaw is-sejbiet tagħhom u jiżguraw il-ġustizzja għall-vittmi tat-tortura; jinnota l-benefiċċji potenzjali ta’ żieda fl-iskambji bejn il-persuni mal-Każakistan permezz ta’ ftehim għall-faċilitazzjoni tal-viża, li l-konsultazzjonijiet tiegħu bdew f’Mejju 2023;</w:t>
      </w:r>
    </w:p>
    <w:p w:rsidR="00810039" w:rsidRPr="00A42A9A" w:rsidRDefault="00810039" w:rsidP="00810039">
      <w:pPr>
        <w:pStyle w:val="NormalHanging12a"/>
      </w:pPr>
      <w:r w:rsidRPr="00A42A9A">
        <w:t>27.</w:t>
      </w:r>
      <w:r w:rsidRPr="00A42A9A">
        <w:tab/>
        <w:t>Jissottolinja li l-iffirmar li jmiss tal-EPCA u l-implimentazzjoni li għaddejja tal-Iskema Ġeneralizzata ta’ Preferenzi Plus ipoġġu aktar enfasi fuq il-ħtieġa li jiġi żgurat ir-rispett għad-drittijiet tal-bniedem u l-libertajiet fundamentali fil-Kirgistan f’konformità mal-impenji internazzjonali tiegħu; josserva, bi tħassib, id-deterjorament tal-istandards demokratiċi u tad-drittijiet tal-bniedem f’dawn l-aħħar snin, meta wieħed iqis li l-Kirgistan tqies bħala l-aktar pajjiż demokratiku fir-reġjun b’soċjetà ċivili vibranti u media ħielsa; jinsab imħasseb dwar il-persekuzzjoni tal-oppożizzjoni politika, fost l-oħrajn rappreżentanti tal-Partit tad-Demokratiċi Soċjali, u l-impatt negattiv tal-inizjattivi leġiżlattivi mmirati lejn l-attivitajiet tal-media indipendenti u tas-soċjetà ċivili, b’mod partikolari l-liġi dwar “informazzjoni falza” u l-abbozzi ta’ liġijiet dwar “rappreżentanti barranin”, “il-media tal-massa” u “l-protezzjoni tat-tfal minn informazzjoni dannuża”, u l-għadd dejjem jikber ta’ każijiet kontra d-difensuri tad-drittijiet tal-bniedem, il-ħaddiema tal-media u l-ġurnalisti kif ukoll il-mezzi tal-media; jappella lill-UE tkompli tappoġġja lis-soċjetà ċivili u lill-media indipendenti;</w:t>
      </w:r>
    </w:p>
    <w:p w:rsidR="00810039" w:rsidRPr="00A42A9A" w:rsidRDefault="00810039" w:rsidP="00810039">
      <w:pPr>
        <w:pStyle w:val="NormalHanging12a"/>
      </w:pPr>
      <w:r w:rsidRPr="00A42A9A">
        <w:lastRenderedPageBreak/>
        <w:t>28.</w:t>
      </w:r>
      <w:r w:rsidRPr="00A42A9A">
        <w:tab/>
        <w:t>Jinnota li l-bidu tan-negozjati dwar il-ftehim EPCA mat-Taġikistan huwa opportunità biex jitwessa’ l-kamp ta’ applikazzjoni tal-kooperazzjoni u l-iskambji bilaterali; jissottolinja l-ħtieġa ta’ kooperazzjoni mill-qrib kontinwa dwar kwistjonijiet ta’ sigurtà peress li l-Afganistan għadu sors ta’ tħassib dwar l-instabbiltà u s-sigurtà minħabba t-tmexxija ħarxa mit-Talibani u l-kriżijiet umanitarji li għaddejjin fil-pajjiż; itenni li l-ġlieda leġittima kontra t-terroriżmu u l-estremiżmu vjolenti m’għandhiex tintuża bħala skuża biex trażżan l-attività tal-oppożizzjoni, timpedixxi l-libertà tal-espressjoni jew ixxekkel l-indipendenza tal-ġudikatura; jilqa’ l-interess tat-Taġikistan li jissieħeb fl-Iskema Ġeneralizzata ta’ Preferenzi Plus, li jista’ jappoġġja t-tkabbir ekonomiku sostenibbli u jagħti spinta lill-kummerċ, u jirrikjedi implimentazzjoni effettiva tal-istandards internazzjonali tad-drittijiet tal-bniedem u tax-xogħol; jistieden lit-Taġikistan itejjeb il-protezzjoni tad-drittijiet tal-bniedem u l-libertajiet fundamentali, b’mod partikolari l-libertà tal-espressjoni, u jieqaf jintimida u jippersegwita l-ħaddiema tal-media, id-difensuri tad-drittijiet tal-bniedem, l-avukati indipendenti u s-soċjetà ċivili kif ukoll iwaqqaf ir-repressjoni tal-minoranza Pamiri fil-GBAO;</w:t>
      </w:r>
    </w:p>
    <w:p w:rsidR="00810039" w:rsidRPr="00A42A9A" w:rsidRDefault="00810039" w:rsidP="00810039">
      <w:pPr>
        <w:pStyle w:val="NormalHanging12a"/>
        <w:rPr>
          <w:i/>
          <w:u w:val="single"/>
        </w:rPr>
      </w:pPr>
      <w:r w:rsidRPr="00A42A9A">
        <w:t>29.</w:t>
      </w:r>
      <w:r w:rsidRPr="00A42A9A">
        <w:tab/>
        <w:t>Jinnota li t-Turkmenistan jibqa’ l-uniku Stat tal-Asja Ċentrali mingħajr FSK mal-UE, li jillimita l-ambitu għal impenn bilaterali; jisħaq li t-Turkmenistan jeħtieġ li juri titjib fid-demokrazija mwiegħra tiegħu u fir-rekord tad-drittijiet tal-bniedem sabiex il-Parlament jerġa’ jikkunsidra l-pożizzjoni tiegħu u jirratifika l-FSK; iħeġġeġ lill-Gvern tat-Turkmenistan jiddekriminalizza r-relazzjonijiet sesswali kunsenswali bejn l-irġiel; jinnota li għandu jkun fl-interess tat-Turkmenistan li l-pajjiż jinfetaħ sabiex jiġi evitat li jkun outlier fir-reġjun b’għażliet limitati għall-kooperazzjoni; jirrikonoxxi l-potenzjal ta’ kooperazzjoni ta’ benefiċċju reċiproku f’oqsma bħall-enerġija, il-konnettività u l-kummerċ, u jilqa’ l-interess espress tat-Turkmenistan li jforni l-gass lill-Ewropa permezz tal-bini ta’ pipeline tal-gass Trans-Kaspju;</w:t>
      </w:r>
    </w:p>
    <w:p w:rsidR="00810039" w:rsidRPr="00A42A9A" w:rsidRDefault="00810039" w:rsidP="00810039">
      <w:pPr>
        <w:pStyle w:val="NormalHanging12a"/>
        <w:rPr>
          <w:i/>
          <w:u w:val="single"/>
        </w:rPr>
      </w:pPr>
      <w:r w:rsidRPr="00A42A9A">
        <w:t>30.</w:t>
      </w:r>
      <w:r w:rsidRPr="00A42A9A">
        <w:tab/>
        <w:t xml:space="preserve">Jinnota r-riformi mħabbra fl-Użbekistan li għandhom l-għan li tinkiseb bidla ġenwina fil-pajjiż f’termini ta’ żvilupp soċjoekonomiku, amministrazzjoni effiċjenti, sistema ġudizzjarja aktar indipendenti u rispett għad-drittijiet tal-bniedem u l-libertajiet fundamentali; jisħaq li r-riforma kostituzzjonali hija opportunità biex jissaħħaħ l-istat tad-dritt u biex ir-riformi jingħataw bażi legali soda; itenni, madankollu, it-tħassib serju tiegħu dwar ir-rekord fqir tal-Użbekistan dwar id-demokrazija, il-libertà tal-media, id-drittijiet tal-bniedem u l-istat tad-dritt, inkluża r-repressjoni brutali fuq il-protesta ta’ Karakalpakstan, ir-restrizzjonijiet fuq il-libertà ta’ assoċjazzjoni kemm għall-organizzazzjonijiet mhux governattivi kif ukoll għall-partiti politiċi, u l-persekuzzjoni tal-ġurnalisti, tal-bloggers indipendenti, tal-produtturi tal-kontenut u tad-difensuri tad-drittijiet tal-bniedem, u t-theddid kontrihom; ifakkar lill-awtoritajiet fl-importanza li jirrispettaw il-libertà tal-espressjoni, kemm online kif ukoll offline, il-libertà tal-għaqda, il-libertà tal-assoċjazzjoni u l-indipendenza tal-media; jilqa’ b’sodisfazzjon xi titjib notevoli fid-drittijiet tan-nisa fl-Użbekistan; iħeġġeġ lill-Gvern tal-Użbekistan jiddekriminalizza r-relazzjonijiet sesswali kunsenswali bejn l-irġiel; jilqa’ t-tlestija tan-negozjati dwar l-EPCA UE-Użbekistan u jtenni t-talba tiegħu biex jitlestew malajr il-proċeduri legali u tekniċi meħtieġa biex jiġi ffirmat l-EPCA; jilqa’ r-rwol ewlieni tal-Użbekistan fil-promozzjoni tal-kooperazzjoni reġjonali f’diversi oqsma, fosthom il-konnettività u l-użu tar-riżorsi tal-ilma; </w:t>
      </w:r>
    </w:p>
    <w:p w:rsidR="00810039" w:rsidRPr="00A42A9A" w:rsidRDefault="00810039" w:rsidP="00810039">
      <w:pPr>
        <w:pStyle w:val="NormalCenter12a"/>
      </w:pPr>
      <w:r w:rsidRPr="00A42A9A">
        <w:t>°</w:t>
      </w:r>
    </w:p>
    <w:p w:rsidR="00810039" w:rsidRPr="00A42A9A" w:rsidRDefault="00810039" w:rsidP="00810039">
      <w:pPr>
        <w:pStyle w:val="NormalCenter12a"/>
      </w:pPr>
      <w:r w:rsidRPr="00A42A9A">
        <w:t>°</w:t>
      </w:r>
      <w:r w:rsidRPr="00A42A9A">
        <w:tab/>
        <w:t>°</w:t>
      </w:r>
    </w:p>
    <w:p w:rsidR="00E365E1" w:rsidRPr="00A42A9A" w:rsidRDefault="00810039" w:rsidP="00A52E32">
      <w:pPr>
        <w:pStyle w:val="NormalHanging12a"/>
        <w:ind w:left="560" w:hanging="560"/>
      </w:pPr>
      <w:r w:rsidRPr="00A42A9A">
        <w:lastRenderedPageBreak/>
        <w:t>31.</w:t>
      </w:r>
      <w:r w:rsidRPr="00A42A9A">
        <w:tab/>
        <w:t>Jagħti istruzzjonijiet lill-President tiegħu biex tgħaddi din ir-riżoluzzjoni lill-Kunsill, lill-Kummissjoni u lill-Viċi President tal-Kummissjoni/Rappreżentant Għoli tal-Unjoni għall-Affarijiet Barranin u l-Politika ta’ Sigurtà u lill-presidenti, lill-gvernijiet u lill-parlamenti tal-Każakistan, il-Kirgistan, it-Taġikistan, it-Turkmenistan u l-Użbekistan.</w:t>
      </w:r>
      <w:bookmarkStart w:id="8" w:name="TextBodyEnd"/>
      <w:bookmarkEnd w:id="8"/>
    </w:p>
    <w:sectPr w:rsidR="00E365E1" w:rsidRPr="00A42A9A" w:rsidSect="00A42A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960" w:rsidRPr="00A42A9A" w:rsidRDefault="005F4960">
      <w:r w:rsidRPr="00A42A9A">
        <w:separator/>
      </w:r>
    </w:p>
  </w:endnote>
  <w:endnote w:type="continuationSeparator" w:id="0">
    <w:p w:rsidR="005F4960" w:rsidRPr="00A42A9A" w:rsidRDefault="005F4960">
      <w:r w:rsidRPr="00A42A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A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A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A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960" w:rsidRPr="00A42A9A" w:rsidRDefault="005F4960">
      <w:r w:rsidRPr="00A42A9A">
        <w:separator/>
      </w:r>
    </w:p>
  </w:footnote>
  <w:footnote w:type="continuationSeparator" w:id="0">
    <w:p w:rsidR="005F4960" w:rsidRPr="00A42A9A" w:rsidRDefault="005F4960">
      <w:r w:rsidRPr="00A42A9A">
        <w:continuationSeparator/>
      </w:r>
    </w:p>
  </w:footnote>
  <w:footnote w:id="1">
    <w:p w:rsidR="00810039" w:rsidRPr="0091748D" w:rsidRDefault="00810039" w:rsidP="00A42A9A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A42A9A">
        <w:rPr>
          <w:rStyle w:val="FootnoteReference"/>
          <w:sz w:val="24"/>
          <w:lang w:val="mt-MT"/>
        </w:rPr>
        <w:footnoteRef/>
      </w:r>
      <w:r w:rsidR="00A42A9A" w:rsidRPr="00A42A9A">
        <w:rPr>
          <w:sz w:val="24"/>
          <w:lang w:val="mt-MT"/>
        </w:rPr>
        <w:t xml:space="preserve"> </w:t>
      </w:r>
      <w:r w:rsidR="00A42A9A" w:rsidRPr="00A42A9A">
        <w:rPr>
          <w:sz w:val="24"/>
          <w:lang w:val="mt-MT"/>
        </w:rPr>
        <w:tab/>
      </w:r>
      <w:hyperlink r:id="rId1" w:history="1">
        <w:r w:rsidRPr="0091748D">
          <w:rPr>
            <w:rStyle w:val="Hyperlink"/>
            <w:color w:val="000000" w:themeColor="text1"/>
            <w:sz w:val="24"/>
            <w:u w:val="none"/>
            <w:lang w:val="mt-MT"/>
          </w:rPr>
          <w:t>ĠU L 29, 4.2.2016, p. 3</w:t>
        </w:r>
      </w:hyperlink>
      <w:r w:rsidRPr="0091748D">
        <w:rPr>
          <w:color w:val="000000" w:themeColor="text1"/>
          <w:sz w:val="24"/>
          <w:lang w:val="mt-MT"/>
        </w:rPr>
        <w:t>.</w:t>
      </w:r>
    </w:p>
  </w:footnote>
  <w:footnote w:id="2">
    <w:p w:rsidR="00810039" w:rsidRPr="0091748D" w:rsidRDefault="00810039" w:rsidP="00A42A9A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91748D">
        <w:rPr>
          <w:rStyle w:val="FootnoteReference"/>
          <w:color w:val="000000" w:themeColor="text1"/>
          <w:sz w:val="24"/>
          <w:lang w:val="mt-MT"/>
        </w:rPr>
        <w:footnoteRef/>
      </w:r>
      <w:r w:rsidR="00A42A9A" w:rsidRPr="0091748D">
        <w:rPr>
          <w:color w:val="000000" w:themeColor="text1"/>
          <w:sz w:val="24"/>
          <w:lang w:val="mt-MT"/>
        </w:rPr>
        <w:t xml:space="preserve"> </w:t>
      </w:r>
      <w:r w:rsidR="00A42A9A" w:rsidRPr="0091748D">
        <w:rPr>
          <w:color w:val="000000" w:themeColor="text1"/>
          <w:sz w:val="24"/>
          <w:lang w:val="mt-MT"/>
        </w:rPr>
        <w:tab/>
      </w:r>
      <w:hyperlink r:id="rId2" w:history="1">
        <w:r w:rsidRPr="0091748D">
          <w:rPr>
            <w:rStyle w:val="Hyperlink"/>
            <w:color w:val="000000" w:themeColor="text1"/>
            <w:sz w:val="24"/>
            <w:u w:val="none"/>
            <w:lang w:val="mt-MT"/>
          </w:rPr>
          <w:t>ĠU L 196, 28.7.1999, p. 48.</w:t>
        </w:r>
      </w:hyperlink>
    </w:p>
  </w:footnote>
  <w:footnote w:id="3">
    <w:p w:rsidR="00810039" w:rsidRPr="0091748D" w:rsidRDefault="00810039" w:rsidP="00A42A9A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91748D">
        <w:rPr>
          <w:rStyle w:val="FootnoteReference"/>
          <w:color w:val="000000" w:themeColor="text1"/>
          <w:sz w:val="24"/>
          <w:lang w:val="mt-MT"/>
        </w:rPr>
        <w:footnoteRef/>
      </w:r>
      <w:r w:rsidR="00A42A9A" w:rsidRPr="0091748D">
        <w:rPr>
          <w:color w:val="000000" w:themeColor="text1"/>
          <w:sz w:val="24"/>
          <w:lang w:val="mt-MT"/>
        </w:rPr>
        <w:t xml:space="preserve"> </w:t>
      </w:r>
      <w:r w:rsidR="00A42A9A" w:rsidRPr="0091748D">
        <w:rPr>
          <w:color w:val="000000" w:themeColor="text1"/>
          <w:sz w:val="24"/>
          <w:lang w:val="mt-MT"/>
        </w:rPr>
        <w:tab/>
      </w:r>
      <w:hyperlink r:id="rId3" w:history="1">
        <w:r w:rsidRPr="0091748D">
          <w:rPr>
            <w:rStyle w:val="Hyperlink"/>
            <w:color w:val="000000" w:themeColor="text1"/>
            <w:sz w:val="24"/>
            <w:u w:val="none"/>
            <w:shd w:val="clear" w:color="auto" w:fill="FFFFFF"/>
            <w:lang w:val="mt-MT"/>
          </w:rPr>
          <w:t>ĠU L 350, 29.12.2009, p. 3.</w:t>
        </w:r>
      </w:hyperlink>
    </w:p>
  </w:footnote>
  <w:footnote w:id="4">
    <w:p w:rsidR="00810039" w:rsidRPr="0091748D" w:rsidRDefault="00810039" w:rsidP="00A42A9A">
      <w:pPr>
        <w:pStyle w:val="FootnoteText"/>
        <w:ind w:left="567" w:hanging="567"/>
        <w:rPr>
          <w:color w:val="000000" w:themeColor="text1"/>
          <w:sz w:val="24"/>
          <w:u w:color="0000FF"/>
          <w:lang w:val="mt-MT"/>
        </w:rPr>
      </w:pPr>
      <w:r w:rsidRPr="0091748D">
        <w:rPr>
          <w:rStyle w:val="FootnoteReference"/>
          <w:color w:val="000000" w:themeColor="text1"/>
          <w:sz w:val="24"/>
          <w:lang w:val="mt-MT"/>
        </w:rPr>
        <w:footnoteRef/>
      </w:r>
      <w:r w:rsidR="00A42A9A" w:rsidRPr="0091748D">
        <w:rPr>
          <w:color w:val="000000" w:themeColor="text1"/>
          <w:sz w:val="24"/>
          <w:lang w:val="mt-MT"/>
        </w:rPr>
        <w:t xml:space="preserve"> </w:t>
      </w:r>
      <w:r w:rsidR="00A42A9A" w:rsidRPr="0091748D">
        <w:rPr>
          <w:color w:val="000000" w:themeColor="text1"/>
          <w:sz w:val="24"/>
          <w:lang w:val="mt-MT"/>
        </w:rPr>
        <w:tab/>
      </w:r>
      <w:hyperlink r:id="rId4" w:history="1">
        <w:r w:rsidRPr="0091748D">
          <w:rPr>
            <w:rStyle w:val="Hyperlink"/>
            <w:color w:val="000000" w:themeColor="text1"/>
            <w:sz w:val="24"/>
            <w:u w:val="none"/>
            <w:lang w:val="mt-MT"/>
          </w:rPr>
          <w:t>ĠU L 229, 31.8.1999, p. 3.</w:t>
        </w:r>
      </w:hyperlink>
    </w:p>
  </w:footnote>
  <w:footnote w:id="5">
    <w:p w:rsidR="00810039" w:rsidRPr="00A42A9A" w:rsidRDefault="00810039" w:rsidP="00A42A9A">
      <w:pPr>
        <w:pStyle w:val="FootnoteText"/>
        <w:ind w:left="567" w:hanging="567"/>
        <w:rPr>
          <w:sz w:val="24"/>
          <w:lang w:val="mt-MT"/>
        </w:rPr>
      </w:pPr>
      <w:r w:rsidRPr="00A42A9A">
        <w:rPr>
          <w:rStyle w:val="FootnoteReference"/>
          <w:sz w:val="24"/>
          <w:lang w:val="mt-MT"/>
        </w:rPr>
        <w:footnoteRef/>
      </w:r>
      <w:r w:rsidR="00A42A9A" w:rsidRPr="00A42A9A">
        <w:rPr>
          <w:sz w:val="24"/>
          <w:lang w:val="mt-MT"/>
        </w:rPr>
        <w:t xml:space="preserve"> </w:t>
      </w:r>
      <w:r w:rsidR="00A42A9A" w:rsidRPr="00A42A9A">
        <w:rPr>
          <w:sz w:val="24"/>
          <w:lang w:val="mt-MT"/>
        </w:rPr>
        <w:tab/>
      </w:r>
      <w:hyperlink r:id="rId5" w:history="1">
        <w:r w:rsidRPr="0091748D">
          <w:rPr>
            <w:rStyle w:val="Hyperlink"/>
            <w:color w:val="000000" w:themeColor="text1"/>
            <w:sz w:val="24"/>
            <w:u w:val="none"/>
            <w:lang w:val="mt-MT"/>
          </w:rPr>
          <w:t>ĠU C 404, 6.10.2021, p. 202.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A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A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2A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7/2023"/>
    <w:docVar w:name="dvlangue" w:val="MT"/>
    <w:docVar w:name="dvnumam" w:val="0"/>
    <w:docVar w:name="dvpe" w:val="752.889"/>
    <w:docVar w:name="dvrapporteur" w:val="Rapporteur: "/>
    <w:docVar w:name="dvtitre" w:val="Riżoluzzjoni tal-Parlament Ewropew dwar l-istrateġija tal-UE għall-Asja Ċentrali(2023/2106(INI))"/>
  </w:docVars>
  <w:rsids>
    <w:rsidRoot w:val="005F49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262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122"/>
    <w:rsid w:val="00545827"/>
    <w:rsid w:val="00554CD2"/>
    <w:rsid w:val="00560270"/>
    <w:rsid w:val="005C2568"/>
    <w:rsid w:val="005F4960"/>
    <w:rsid w:val="006037C0"/>
    <w:rsid w:val="006345E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446"/>
    <w:rsid w:val="007D1690"/>
    <w:rsid w:val="007E22AD"/>
    <w:rsid w:val="00810039"/>
    <w:rsid w:val="00817416"/>
    <w:rsid w:val="00842779"/>
    <w:rsid w:val="00865F67"/>
    <w:rsid w:val="00881A7B"/>
    <w:rsid w:val="008840E5"/>
    <w:rsid w:val="00887B3E"/>
    <w:rsid w:val="008C2AC6"/>
    <w:rsid w:val="0091748D"/>
    <w:rsid w:val="00930C23"/>
    <w:rsid w:val="0093193B"/>
    <w:rsid w:val="009509D8"/>
    <w:rsid w:val="00950B64"/>
    <w:rsid w:val="00981893"/>
    <w:rsid w:val="00A1687D"/>
    <w:rsid w:val="00A42A9A"/>
    <w:rsid w:val="00A43E52"/>
    <w:rsid w:val="00A4678D"/>
    <w:rsid w:val="00A52E32"/>
    <w:rsid w:val="00A65430"/>
    <w:rsid w:val="00A778C7"/>
    <w:rsid w:val="00AB441E"/>
    <w:rsid w:val="00AB6293"/>
    <w:rsid w:val="00AE0928"/>
    <w:rsid w:val="00AF3B82"/>
    <w:rsid w:val="00B12E95"/>
    <w:rsid w:val="00B22876"/>
    <w:rsid w:val="00B558F0"/>
    <w:rsid w:val="00B6112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44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DE195-D8A0-4CE9-982C-B87FDEC6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10039"/>
    <w:pPr>
      <w:spacing w:after="240"/>
      <w:ind w:left="567" w:hanging="567"/>
    </w:pPr>
  </w:style>
  <w:style w:type="paragraph" w:customStyle="1" w:styleId="EPComma">
    <w:name w:val="EPComma"/>
    <w:basedOn w:val="Normal"/>
    <w:rsid w:val="00810039"/>
    <w:pPr>
      <w:spacing w:before="480" w:after="240"/>
    </w:pPr>
  </w:style>
  <w:style w:type="character" w:styleId="Hyperlink">
    <w:name w:val="Hyperlink"/>
    <w:basedOn w:val="DefaultParagraphFont"/>
    <w:unhideWhenUsed/>
    <w:rsid w:val="00810039"/>
    <w:rPr>
      <w:color w:val="0563C1" w:themeColor="hyperlink"/>
      <w:u w:val="single"/>
    </w:rPr>
  </w:style>
  <w:style w:type="character" w:customStyle="1" w:styleId="BoldItalic">
    <w:name w:val="BoldItalic"/>
    <w:uiPriority w:val="1"/>
    <w:rsid w:val="00810039"/>
    <w:rPr>
      <w:b/>
      <w:bCs w:val="0"/>
      <w:i/>
      <w:iCs w:val="0"/>
      <w:strike w:val="0"/>
      <w:dstrike w:val="0"/>
      <w:u w:val="none"/>
      <w:effect w:val="none"/>
    </w:rPr>
  </w:style>
  <w:style w:type="paragraph" w:customStyle="1" w:styleId="Normal12a24b">
    <w:name w:val="Normal12a24b"/>
    <w:basedOn w:val="Normal"/>
    <w:rsid w:val="00810039"/>
    <w:pPr>
      <w:snapToGrid w:val="0"/>
      <w:spacing w:before="360" w:after="240"/>
    </w:pPr>
    <w:rPr>
      <w:lang w:eastAsia="en-US"/>
    </w:rPr>
  </w:style>
  <w:style w:type="paragraph" w:customStyle="1" w:styleId="NormalCenter12a">
    <w:name w:val="NormalCenter12a"/>
    <w:basedOn w:val="Normal"/>
    <w:rsid w:val="00810039"/>
    <w:pPr>
      <w:spacing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810039"/>
    <w:rPr>
      <w:sz w:val="24"/>
      <w:lang w:val="mt-MT"/>
    </w:rPr>
  </w:style>
  <w:style w:type="paragraph" w:styleId="BalloonText">
    <w:name w:val="Balloon Text"/>
    <w:basedOn w:val="Normal"/>
    <w:link w:val="BalloonTextChar"/>
    <w:rsid w:val="00A52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2E3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MT/TXT/?uri=CELEX:22009A1229(01)" TargetMode="External"/><Relationship Id="rId2" Type="http://schemas.openxmlformats.org/officeDocument/2006/relationships/hyperlink" Target="https://eur-lex.europa.eu/legal-content/EN/TXT/?uri=uriserv:OJ.L_.1999.196.01.0048.01.ENG&amp;toc=OJ:L:1999:196:TOC" TargetMode="External"/><Relationship Id="rId1" Type="http://schemas.openxmlformats.org/officeDocument/2006/relationships/hyperlink" Target="https://eur-lex.europa.eu/legal-content/MT/TXT/?uri=uriserv%3AOJ.L_.2016.029.01.0003.01.MLT&amp;toc=OJ%3AL%3A2016%3A029%3ATOC" TargetMode="External"/><Relationship Id="rId5" Type="http://schemas.openxmlformats.org/officeDocument/2006/relationships/hyperlink" Target="https://eur-lex.europa.eu/legal-content/MT/TXT/?uri=OJ:C:2021:404:TOC" TargetMode="External"/><Relationship Id="rId4" Type="http://schemas.openxmlformats.org/officeDocument/2006/relationships/hyperlink" Target="https://eur-lex.europa.eu/legal-content/EN/TXT/?uri=uriserv:OJ.L_.1999.229.01.0003.01.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C50B3-4FBD-4525-BF61-46535B234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4906</Words>
  <Characters>37555</Characters>
  <Application>Microsoft Office Word</Application>
  <DocSecurity>0</DocSecurity>
  <Lines>312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2024-01-17T14:39:00Z</dcterms:created>
  <dcterms:modified xsi:type="dcterms:W3CDTF">2024-01-17T14:39:00Z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A9-0407/2023</vt:lpwstr>
  </property>
  <property fmtid="{D5CDD505-2E9C-101B-9397-08002B2CF9AE}" pid="4" name="&lt;Type&gt;">
    <vt:lpwstr>RR</vt:lpwstr>
  </property>
</Properties>
</file>