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0452" w14:paraId="2489E3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735B0F" w14:textId="77777777" w:rsidR="00751A4A" w:rsidRPr="00B20452" w:rsidRDefault="00BD1F84" w:rsidP="0010095E">
            <w:pPr>
              <w:pStyle w:val="EPName"/>
            </w:pPr>
            <w:bookmarkStart w:id="0" w:name="_GoBack"/>
            <w:bookmarkEnd w:id="0"/>
            <w:r w:rsidRPr="00B20452">
              <w:t>Parlamento Europeu</w:t>
            </w:r>
          </w:p>
          <w:p w14:paraId="2B793C12" w14:textId="77777777" w:rsidR="00751A4A" w:rsidRPr="00B2045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0452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5024E7C" w14:textId="77777777" w:rsidR="00751A4A" w:rsidRPr="00B20452" w:rsidRDefault="00187494" w:rsidP="0010095E">
            <w:pPr>
              <w:pStyle w:val="EPLogo"/>
            </w:pPr>
            <w:r w:rsidRPr="00B20452">
              <w:rPr>
                <w:noProof/>
                <w:lang w:val="en-GB"/>
              </w:rPr>
              <w:drawing>
                <wp:inline distT="0" distB="0" distL="0" distR="0" wp14:anchorId="29A7230F" wp14:editId="0BF8C9D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FBF477" w14:textId="77777777" w:rsidR="00D058B8" w:rsidRPr="00B20452" w:rsidRDefault="00D058B8" w:rsidP="004C5D52">
      <w:pPr>
        <w:pStyle w:val="LineTop"/>
      </w:pPr>
    </w:p>
    <w:p w14:paraId="54DE62BB" w14:textId="77777777" w:rsidR="00680577" w:rsidRPr="00B20452" w:rsidRDefault="00BD1F84" w:rsidP="00680577">
      <w:pPr>
        <w:pStyle w:val="EPBodyTA1"/>
      </w:pPr>
      <w:r w:rsidRPr="00B20452">
        <w:t>TEXTOS APROVADOS</w:t>
      </w:r>
    </w:p>
    <w:p w14:paraId="727E702E" w14:textId="77777777" w:rsidR="00D058B8" w:rsidRPr="00B20452" w:rsidRDefault="00D058B8" w:rsidP="00D058B8">
      <w:pPr>
        <w:pStyle w:val="LineBottom"/>
      </w:pPr>
    </w:p>
    <w:p w14:paraId="77A28327" w14:textId="6D15E002" w:rsidR="00BD1F84" w:rsidRPr="00B20452" w:rsidRDefault="00BD1F84" w:rsidP="00BD1F84">
      <w:pPr>
        <w:pStyle w:val="ATHeading1"/>
      </w:pPr>
      <w:bookmarkStart w:id="1" w:name="TANumber"/>
      <w:r w:rsidRPr="00B20452">
        <w:t>P9_TA(2024)00</w:t>
      </w:r>
      <w:r w:rsidR="00E65674">
        <w:t>27</w:t>
      </w:r>
      <w:bookmarkEnd w:id="1"/>
    </w:p>
    <w:p w14:paraId="308E657B" w14:textId="77777777" w:rsidR="00BD1F84" w:rsidRPr="00B20452" w:rsidRDefault="00BD1F84" w:rsidP="00BD1F84">
      <w:pPr>
        <w:pStyle w:val="ATHeading2"/>
      </w:pPr>
      <w:bookmarkStart w:id="2" w:name="title"/>
      <w:r w:rsidRPr="00B20452">
        <w:t>Estratégia da UE para a Ásia Central</w:t>
      </w:r>
      <w:bookmarkEnd w:id="2"/>
    </w:p>
    <w:p w14:paraId="61D7F254" w14:textId="77777777" w:rsidR="00BD1F84" w:rsidRPr="00B20452" w:rsidRDefault="00BD1F84" w:rsidP="00BD1F84">
      <w:pPr>
        <w:rPr>
          <w:i/>
          <w:vanish/>
        </w:rPr>
      </w:pPr>
      <w:r w:rsidRPr="00B20452">
        <w:rPr>
          <w:i/>
        </w:rPr>
        <w:fldChar w:fldCharType="begin"/>
      </w:r>
      <w:r w:rsidRPr="00B20452">
        <w:rPr>
          <w:i/>
        </w:rPr>
        <w:instrText xml:space="preserve"> TC"(</w:instrText>
      </w:r>
      <w:bookmarkStart w:id="3" w:name="DocNumber"/>
      <w:r w:rsidRPr="00B20452">
        <w:rPr>
          <w:i/>
        </w:rPr>
        <w:instrText>A9-0407/2023</w:instrText>
      </w:r>
      <w:bookmarkEnd w:id="3"/>
      <w:r w:rsidRPr="00B20452">
        <w:rPr>
          <w:i/>
        </w:rPr>
        <w:instrText xml:space="preserve"> - Relator: Karsten Lucke)"\l3 \n&gt; \* MERGEFORMAT </w:instrText>
      </w:r>
      <w:r w:rsidRPr="00B20452">
        <w:rPr>
          <w:i/>
        </w:rPr>
        <w:fldChar w:fldCharType="end"/>
      </w:r>
    </w:p>
    <w:p w14:paraId="347867C5" w14:textId="77777777" w:rsidR="00BD1F84" w:rsidRPr="00B20452" w:rsidRDefault="00BD1F84" w:rsidP="00BD1F84">
      <w:pPr>
        <w:rPr>
          <w:vanish/>
        </w:rPr>
      </w:pPr>
      <w:bookmarkStart w:id="4" w:name="Commission"/>
      <w:r w:rsidRPr="00B20452">
        <w:rPr>
          <w:vanish/>
        </w:rPr>
        <w:t>Comissão dos Assuntos Externos</w:t>
      </w:r>
      <w:bookmarkEnd w:id="4"/>
    </w:p>
    <w:p w14:paraId="0A31AF96" w14:textId="77777777" w:rsidR="00BD1F84" w:rsidRPr="00B20452" w:rsidRDefault="00BD1F84" w:rsidP="00BD1F84">
      <w:pPr>
        <w:rPr>
          <w:vanish/>
        </w:rPr>
      </w:pPr>
      <w:bookmarkStart w:id="5" w:name="PE"/>
      <w:r w:rsidRPr="00B20452">
        <w:rPr>
          <w:vanish/>
        </w:rPr>
        <w:t>PE752.889</w:t>
      </w:r>
      <w:bookmarkEnd w:id="5"/>
    </w:p>
    <w:p w14:paraId="2F29B7C1" w14:textId="77777777" w:rsidR="00BD1F84" w:rsidRPr="00B20452" w:rsidRDefault="00BD1F84" w:rsidP="00BD1F84">
      <w:pPr>
        <w:pStyle w:val="ATHeading3"/>
      </w:pPr>
      <w:bookmarkStart w:id="6" w:name="Sujet"/>
      <w:r w:rsidRPr="00B20452">
        <w:t xml:space="preserve">Resolução do Parlamento Europeu, de </w:t>
      </w:r>
      <w:r w:rsidR="00B20452">
        <w:t>17</w:t>
      </w:r>
      <w:r w:rsidRPr="00B20452">
        <w:t xml:space="preserve"> de </w:t>
      </w:r>
      <w:r w:rsidR="00B20452">
        <w:t>janeiro</w:t>
      </w:r>
      <w:r w:rsidRPr="00B20452">
        <w:t xml:space="preserve"> de 2024, sobre a Estratégia da UE para a Ásia Central</w:t>
      </w:r>
      <w:bookmarkEnd w:id="6"/>
      <w:r w:rsidRPr="00B20452">
        <w:t xml:space="preserve"> </w:t>
      </w:r>
      <w:bookmarkStart w:id="7" w:name="References"/>
      <w:r w:rsidRPr="00B20452">
        <w:t>(2023/2106(INI))</w:t>
      </w:r>
      <w:bookmarkEnd w:id="7"/>
    </w:p>
    <w:p w14:paraId="6E7B2BAC" w14:textId="77777777" w:rsidR="00CF3105" w:rsidRPr="00B20452" w:rsidRDefault="00CF3105" w:rsidP="00CF3105">
      <w:pPr>
        <w:pStyle w:val="EPComma"/>
      </w:pPr>
      <w:bookmarkStart w:id="8" w:name="TextBodyBegin"/>
      <w:bookmarkEnd w:id="8"/>
      <w:r w:rsidRPr="00B20452">
        <w:rPr>
          <w:i/>
        </w:rPr>
        <w:t>O Parlamento Europeu</w:t>
      </w:r>
      <w:r w:rsidRPr="00B20452">
        <w:t>,</w:t>
      </w:r>
    </w:p>
    <w:p w14:paraId="0647470B" w14:textId="77777777" w:rsidR="00CF3105" w:rsidRPr="00B20452" w:rsidRDefault="00CF3105" w:rsidP="00CF3105">
      <w:pPr>
        <w:pStyle w:val="NormalHanging12a"/>
      </w:pPr>
      <w:r w:rsidRPr="00B20452">
        <w:t>–</w:t>
      </w:r>
      <w:r w:rsidRPr="00B20452">
        <w:tab/>
        <w:t>Tendo em conta a comunicação conjunta da Comissão e da Alta Representante da União para os Negócios Estrangeiros e a Política de Segurança, de 15 de maio de 2019, intitulada «A UE e a Ásia Central: novas oportunidades para uma parceria reforçada» (JOIN(2019)0009),</w:t>
      </w:r>
    </w:p>
    <w:p w14:paraId="777D37A7" w14:textId="77777777" w:rsidR="00CF3105" w:rsidRPr="00B20452" w:rsidRDefault="00CF3105" w:rsidP="00CF3105">
      <w:pPr>
        <w:pStyle w:val="NormalHanging12a"/>
      </w:pPr>
      <w:r w:rsidRPr="00B20452">
        <w:t>–</w:t>
      </w:r>
      <w:r w:rsidRPr="00B20452">
        <w:tab/>
        <w:t>Tendo em conta as conclusões do Conselho, de 17 de junho de 2019, sobre a nova Estratégia para a Ásia Central,</w:t>
      </w:r>
    </w:p>
    <w:p w14:paraId="19CCE686" w14:textId="77777777" w:rsidR="00CF3105" w:rsidRPr="00B20452" w:rsidRDefault="00CF3105" w:rsidP="00CF3105">
      <w:pPr>
        <w:pStyle w:val="NormalHanging12a"/>
      </w:pPr>
      <w:r w:rsidRPr="00B20452">
        <w:t>–</w:t>
      </w:r>
      <w:r w:rsidRPr="00B20452">
        <w:tab/>
        <w:t>Tendo em conta a Comunicação Conjunta da Comissão e da Alta Representante da União para os Negócios Estrangeiros e a Política de Segurança, de 19 de setembro de 2018, intitulada «Interligar a Europa e a Ásia – Elementos para uma estratégia da UE» (JOIN(2018)0031),</w:t>
      </w:r>
    </w:p>
    <w:p w14:paraId="64B46909" w14:textId="77777777" w:rsidR="00CF3105" w:rsidRPr="00B20452" w:rsidRDefault="00CF3105" w:rsidP="00CF3105">
      <w:pPr>
        <w:pStyle w:val="NormalHanging12a"/>
      </w:pPr>
      <w:r w:rsidRPr="00B20452">
        <w:t>–</w:t>
      </w:r>
      <w:r w:rsidRPr="00B20452">
        <w:tab/>
        <w:t>Tendo em conta a Comunicação Conjunta da Comissão e do Alto Representante da União para os Negócios Estrangeiros e a Política de Segurança, de 1 de dezembro de 2021, intitulada «A Estratégia Global Gateway» (JOIN(2021)0030),</w:t>
      </w:r>
    </w:p>
    <w:p w14:paraId="782E6D9C" w14:textId="77777777" w:rsidR="00CF3105" w:rsidRPr="00B20452" w:rsidRDefault="00CF3105" w:rsidP="00CF3105">
      <w:pPr>
        <w:pStyle w:val="NormalHanging12a"/>
      </w:pPr>
      <w:r w:rsidRPr="00B20452">
        <w:t>–</w:t>
      </w:r>
      <w:r w:rsidRPr="00B20452">
        <w:tab/>
        <w:t>Tendo em conta os resultados da 18.ª reunião dos ministros dos Negócios Estrangeiros da UE</w:t>
      </w:r>
      <w:r w:rsidRPr="00B20452">
        <w:noBreakHyphen/>
        <w:t>Ásia Central, realizada em 17 de novembro de 2022, em Samarcanda, que se centrou em encontrar soluções para desafios comuns,</w:t>
      </w:r>
    </w:p>
    <w:p w14:paraId="282FF6BB" w14:textId="77777777" w:rsidR="00CF3105" w:rsidRPr="00B20452" w:rsidRDefault="00CF3105" w:rsidP="00CF3105">
      <w:pPr>
        <w:pStyle w:val="NormalHanging12a"/>
      </w:pPr>
      <w:r w:rsidRPr="00B20452">
        <w:t>–</w:t>
      </w:r>
      <w:r w:rsidRPr="00B20452">
        <w:tab/>
        <w:t>Tendo em conta o comunicado de imprensa conjunto dos chefes de Estado da Ásia Central e do Presidente do Conselho Europeu, emitido na sequência da segunda reunião regional de alto nível realizada em Cholpon</w:t>
      </w:r>
      <w:r w:rsidRPr="00B20452">
        <w:noBreakHyphen/>
        <w:t>Ata, em 2 de junho de 2023,</w:t>
      </w:r>
    </w:p>
    <w:p w14:paraId="53191D8D" w14:textId="77777777" w:rsidR="00CF3105" w:rsidRPr="00B20452" w:rsidRDefault="00CF3105" w:rsidP="00CF3105">
      <w:pPr>
        <w:pStyle w:val="NormalHanging12a"/>
      </w:pPr>
      <w:r w:rsidRPr="00B20452">
        <w:t>–</w:t>
      </w:r>
      <w:r w:rsidRPr="00B20452">
        <w:tab/>
        <w:t>Tendo em conta o Acordo de Parceria e Cooperação Reforçadas entre a União Europeia e os seus Estados</w:t>
      </w:r>
      <w:r w:rsidRPr="00B20452">
        <w:noBreakHyphen/>
        <w:t>Membros, por um lado, e a República do Cazaquistão, por outro</w:t>
      </w:r>
      <w:r w:rsidRPr="00B20452">
        <w:rPr>
          <w:rStyle w:val="FootnoteReference"/>
        </w:rPr>
        <w:footnoteReference w:id="1"/>
      </w:r>
      <w:r w:rsidRPr="00B20452">
        <w:t>,</w:t>
      </w:r>
    </w:p>
    <w:p w14:paraId="058F9E37" w14:textId="77777777" w:rsidR="00CF3105" w:rsidRPr="00B20452" w:rsidRDefault="00CF3105" w:rsidP="00CF3105">
      <w:pPr>
        <w:pStyle w:val="NormalHanging12a"/>
      </w:pPr>
      <w:r w:rsidRPr="00B20452">
        <w:lastRenderedPageBreak/>
        <w:t>–</w:t>
      </w:r>
      <w:r w:rsidRPr="00B20452">
        <w:tab/>
        <w:t>Tendo em conta o Acordo de Parceria e Cooperação entre as Comunidades Europeias e os seus Estados</w:t>
      </w:r>
      <w:r w:rsidRPr="00B20452">
        <w:noBreakHyphen/>
        <w:t>Membros, por um lado, e a República do Quirguistão, por outro</w:t>
      </w:r>
      <w:r w:rsidRPr="00B20452">
        <w:rPr>
          <w:rStyle w:val="FootnoteReference"/>
        </w:rPr>
        <w:footnoteReference w:id="2"/>
      </w:r>
      <w:r w:rsidRPr="00B20452">
        <w:t>,</w:t>
      </w:r>
    </w:p>
    <w:p w14:paraId="71B55E59" w14:textId="77777777" w:rsidR="00CF3105" w:rsidRPr="00B20452" w:rsidRDefault="00CF3105" w:rsidP="00CF3105">
      <w:pPr>
        <w:pStyle w:val="NormalHanging12a"/>
      </w:pPr>
      <w:r w:rsidRPr="00B20452">
        <w:t>–</w:t>
      </w:r>
      <w:r w:rsidRPr="00B20452">
        <w:tab/>
        <w:t>Tendo em conta a proposta da Comissão, de 13 de junho de 2022, de decisão do Conselho relativa à celebração, em nome da União Europeia, do Acordo de Parceria e Cooperação Reforçadas entre a União Europeia, por um lado, e a República Quirguiz, por outro (COM(2022)0277),</w:t>
      </w:r>
    </w:p>
    <w:p w14:paraId="55F16947" w14:textId="77777777" w:rsidR="00CF3105" w:rsidRPr="00B20452" w:rsidRDefault="00CF3105" w:rsidP="00CF3105">
      <w:pPr>
        <w:pStyle w:val="NormalHanging12a"/>
      </w:pPr>
      <w:r w:rsidRPr="00B20452">
        <w:t>–</w:t>
      </w:r>
      <w:r w:rsidRPr="00B20452">
        <w:tab/>
        <w:t>Tendo em conta o Acordo de Parceria e Cooperação que estabelece uma Parceria entre as Comunidades Europeias e os seus Estados</w:t>
      </w:r>
      <w:r w:rsidRPr="00B20452">
        <w:noBreakHyphen/>
        <w:t>Membros, por um lado, e a República do Tajiquistão, por outro</w:t>
      </w:r>
      <w:r w:rsidRPr="00B20452">
        <w:rPr>
          <w:rStyle w:val="FootnoteReference"/>
        </w:rPr>
        <w:footnoteReference w:id="3"/>
      </w:r>
      <w:r w:rsidRPr="00B20452">
        <w:t>,</w:t>
      </w:r>
    </w:p>
    <w:p w14:paraId="2960A6D4" w14:textId="77777777" w:rsidR="00CF3105" w:rsidRPr="00B20452" w:rsidRDefault="00CF3105" w:rsidP="00CF3105">
      <w:pPr>
        <w:pStyle w:val="NormalHanging12a"/>
      </w:pPr>
      <w:r w:rsidRPr="00B20452">
        <w:t>–</w:t>
      </w:r>
      <w:r w:rsidRPr="00B20452">
        <w:tab/>
        <w:t>Tendo em conta o Acordo de Parceria e Cooperação que estabelece uma parceria entre as Comunidades Europeias e os seus Estados</w:t>
      </w:r>
      <w:r w:rsidRPr="00B20452">
        <w:noBreakHyphen/>
        <w:t>Membros, por um lado, e a República do Usbequistão, por outro</w:t>
      </w:r>
      <w:r w:rsidRPr="00B20452">
        <w:rPr>
          <w:rStyle w:val="FootnoteReference"/>
        </w:rPr>
        <w:footnoteReference w:id="4"/>
      </w:r>
      <w:r w:rsidRPr="00B20452">
        <w:t>,</w:t>
      </w:r>
    </w:p>
    <w:p w14:paraId="7BECEB47" w14:textId="77777777" w:rsidR="00CF3105" w:rsidRPr="00B20452" w:rsidRDefault="00CF3105" w:rsidP="00CF3105">
      <w:pPr>
        <w:pStyle w:val="NormalHanging12a"/>
      </w:pPr>
      <w:r w:rsidRPr="00B20452">
        <w:t>–</w:t>
      </w:r>
      <w:r w:rsidRPr="00B20452">
        <w:tab/>
        <w:t>Tendo em conta os resultados da Conferência UE</w:t>
      </w:r>
      <w:r w:rsidRPr="00B20452">
        <w:noBreakHyphen/>
        <w:t>Ásia Central sobre Conectividade, realizada em 18 de novembro de 2022, do segundo Fórum Económico UE</w:t>
      </w:r>
      <w:r w:rsidRPr="00B20452">
        <w:noBreakHyphen/>
        <w:t>Ásia Central, realizado de 18 a 19 de maio de 2023, do quarto Fórum da Sociedade Civil UE</w:t>
      </w:r>
      <w:r w:rsidRPr="00B20452">
        <w:noBreakHyphen/>
        <w:t>Ásia Central, realizado em 10 de março de 2023, e da sétima Conferência de Alto Nível UE</w:t>
      </w:r>
      <w:r w:rsidRPr="00B20452">
        <w:noBreakHyphen/>
        <w:t>Ásia Central sobre o Ambiente e os Recursos Hídricos, realizada de 23 a 24 de fevereiro de 2023,</w:t>
      </w:r>
    </w:p>
    <w:p w14:paraId="4B0B01F2" w14:textId="77777777" w:rsidR="00CF3105" w:rsidRPr="00B20452" w:rsidRDefault="00CF3105" w:rsidP="00CF3105">
      <w:pPr>
        <w:pStyle w:val="NormalHanging12a"/>
      </w:pPr>
      <w:r w:rsidRPr="00B20452">
        <w:t>–</w:t>
      </w:r>
      <w:r w:rsidRPr="00B20452">
        <w:tab/>
        <w:t>Tendo em conta o estudo financiado pela UE intitulado «Sustainable transport connections between Europe and Central Asia» [Ligações de transportes sustentáveis entre a Europa e a Ásia Central], levado a cabo pelo Banco Europeu de Reconstrução e Desenvolvimento e publicado em 30 de junho de 2023,</w:t>
      </w:r>
    </w:p>
    <w:p w14:paraId="00568433" w14:textId="77777777" w:rsidR="00CF3105" w:rsidRPr="00B20452" w:rsidRDefault="00CF3105" w:rsidP="00CF3105">
      <w:pPr>
        <w:pStyle w:val="NormalHanging12a"/>
      </w:pPr>
      <w:r w:rsidRPr="00B20452">
        <w:t>–</w:t>
      </w:r>
      <w:r w:rsidRPr="00B20452">
        <w:tab/>
        <w:t>Tendo em conta o memorando de entendimento entre a UE e o Cazaquistão sobre uma parceria estratégica no domínio das matérias</w:t>
      </w:r>
      <w:r w:rsidRPr="00B20452">
        <w:noBreakHyphen/>
        <w:t>primas, baterias e hidrogénio renovável, assinado em 7 de novembro de 2022,</w:t>
      </w:r>
    </w:p>
    <w:p w14:paraId="121A3F7E" w14:textId="77777777" w:rsidR="00CF3105" w:rsidRPr="00B20452" w:rsidRDefault="00CF3105" w:rsidP="00CF3105">
      <w:pPr>
        <w:pStyle w:val="NormalHanging12a"/>
      </w:pPr>
      <w:r w:rsidRPr="00B20452">
        <w:t>–</w:t>
      </w:r>
      <w:r w:rsidRPr="00B20452">
        <w:tab/>
        <w:t>Tendo em conta os resultados dos diálogos sobre direitos humanos com os Estados da Ásia Central,</w:t>
      </w:r>
    </w:p>
    <w:p w14:paraId="140289A3" w14:textId="77777777" w:rsidR="00CF3105" w:rsidRPr="00B20452" w:rsidRDefault="00CF3105" w:rsidP="00CF3105">
      <w:pPr>
        <w:pStyle w:val="NormalHanging12a"/>
      </w:pPr>
      <w:r w:rsidRPr="00B20452">
        <w:t>–</w:t>
      </w:r>
      <w:r w:rsidRPr="00B20452">
        <w:tab/>
        <w:t>Tendo em conta o Roteiro Conjunto para Aprofundar os Laços entre a UE e a Ásia Central, aprovado durante a 19.ª reunião ministerial UE</w:t>
      </w:r>
      <w:r w:rsidRPr="00B20452">
        <w:noBreakHyphen/>
        <w:t>Ásia Central, realizada em 23 de outubro de 2023,</w:t>
      </w:r>
    </w:p>
    <w:p w14:paraId="4066F149" w14:textId="77777777" w:rsidR="00CF3105" w:rsidRPr="00B20452" w:rsidRDefault="00CF3105" w:rsidP="00CF3105">
      <w:pPr>
        <w:pStyle w:val="NormalHanging12a"/>
      </w:pPr>
      <w:r w:rsidRPr="00B20452">
        <w:t>–</w:t>
      </w:r>
      <w:r w:rsidRPr="00B20452">
        <w:tab/>
        <w:t>Tendo em conta a declaração conjunta dos chefes de Estado da Ásia Central e do chanceler da República Federal da Alemanha, adotada na sequência da cimeira realizada em Berlim, em 29 de setembro de 2023,</w:t>
      </w:r>
    </w:p>
    <w:p w14:paraId="48435CF6" w14:textId="77777777" w:rsidR="00CF3105" w:rsidRPr="00B20452" w:rsidRDefault="00CF3105" w:rsidP="00CF3105">
      <w:pPr>
        <w:pStyle w:val="NormalHanging12a"/>
      </w:pPr>
      <w:r w:rsidRPr="00B20452">
        <w:t>–</w:t>
      </w:r>
      <w:r w:rsidRPr="00B20452">
        <w:tab/>
        <w:t>Tendo em conta as suas anteriores resoluções sobre o Cazaquistão, o Quirguistão, o Tajiquistão, o Turquemenistão e o Usbequistão,</w:t>
      </w:r>
    </w:p>
    <w:p w14:paraId="5B521472" w14:textId="77777777" w:rsidR="00CF3105" w:rsidRPr="00B20452" w:rsidRDefault="00CF3105" w:rsidP="00CF3105">
      <w:pPr>
        <w:pStyle w:val="NormalHanging12a"/>
      </w:pPr>
      <w:r w:rsidRPr="00B20452">
        <w:t>–</w:t>
      </w:r>
      <w:r w:rsidRPr="00B20452">
        <w:tab/>
        <w:t xml:space="preserve">Tendo em conta o Terceiro Plano de Ação da UE em matéria de Igualdade de Género </w:t>
      </w:r>
      <w:r w:rsidRPr="00B20452">
        <w:lastRenderedPageBreak/>
        <w:t>para 2021</w:t>
      </w:r>
      <w:r w:rsidRPr="00B20452">
        <w:noBreakHyphen/>
        <w:t>2025,</w:t>
      </w:r>
    </w:p>
    <w:p w14:paraId="76E73366" w14:textId="77777777" w:rsidR="00CF3105" w:rsidRPr="00B20452" w:rsidRDefault="00CF3105" w:rsidP="00CF3105">
      <w:pPr>
        <w:pStyle w:val="NormalHanging12a"/>
        <w:rPr>
          <w:b/>
          <w:i/>
        </w:rPr>
      </w:pPr>
      <w:r w:rsidRPr="00B20452">
        <w:rPr>
          <w:b/>
          <w:i/>
        </w:rPr>
        <w:t>–</w:t>
      </w:r>
      <w:r w:rsidRPr="00B20452">
        <w:rPr>
          <w:b/>
          <w:i/>
        </w:rPr>
        <w:tab/>
      </w:r>
      <w:r w:rsidRPr="00B20452">
        <w:t>Tendo em conta a sua Resolução, de 23 de outubro de 2020, sobre a igualdade de género na política externa e de segurança da UE</w:t>
      </w:r>
      <w:r w:rsidRPr="00B20452">
        <w:rPr>
          <w:vertAlign w:val="superscript"/>
        </w:rPr>
        <w:footnoteReference w:id="5"/>
      </w:r>
      <w:r w:rsidRPr="00B20452">
        <w:t>,</w:t>
      </w:r>
    </w:p>
    <w:p w14:paraId="1EABD607" w14:textId="77777777" w:rsidR="00CF3105" w:rsidRPr="00B20452" w:rsidRDefault="00CF3105" w:rsidP="00CF3105">
      <w:pPr>
        <w:pStyle w:val="NormalHanging12a"/>
      </w:pPr>
      <w:r w:rsidRPr="00B20452">
        <w:t>–</w:t>
      </w:r>
      <w:r w:rsidRPr="00B20452">
        <w:tab/>
        <w:t>Tendo em conta o artigo 54.º do seu Regimento,</w:t>
      </w:r>
    </w:p>
    <w:p w14:paraId="413E9BB1" w14:textId="77777777" w:rsidR="00CF3105" w:rsidRPr="00B20452" w:rsidRDefault="00CF3105" w:rsidP="00CF3105">
      <w:pPr>
        <w:pStyle w:val="NormalHanging12a"/>
      </w:pPr>
      <w:r w:rsidRPr="00B20452">
        <w:t>–</w:t>
      </w:r>
      <w:r w:rsidRPr="00B20452">
        <w:tab/>
        <w:t>Tendo em conta o relatório da Comissão dos Assuntos Externos (A9</w:t>
      </w:r>
      <w:r w:rsidRPr="00B20452">
        <w:noBreakHyphen/>
        <w:t>0407/2023),</w:t>
      </w:r>
    </w:p>
    <w:p w14:paraId="19E7A447" w14:textId="77777777" w:rsidR="00CF3105" w:rsidRPr="00B20452" w:rsidRDefault="00CF3105" w:rsidP="00CF3105">
      <w:pPr>
        <w:pStyle w:val="NormalHanging12a"/>
      </w:pPr>
      <w:r w:rsidRPr="00B20452">
        <w:t>A.</w:t>
      </w:r>
      <w:r w:rsidRPr="00B20452">
        <w:tab/>
        <w:t xml:space="preserve">Considerando que, desde a adoção da Estratégia da UE para a Ásia Central em 2019, a região tem sido afetada por fatores externos consideráveis, como a guerra ilegal de agressão da Rússia contra a Ucrânia, a tomada de poder pelos talibãs no Afeganistão e a política externa cada vez mais assertiva da China, bem como por uma instabilidade interna, designadamente os violentos tumultos no Cazaquistão em janeiro de 2022, a violenta repressão na sequência dos protestos de representantes da minoria pamiri no </w:t>
      </w:r>
      <w:r w:rsidRPr="00B20452">
        <w:rPr>
          <w:i/>
          <w:iCs/>
        </w:rPr>
        <w:t>oblast</w:t>
      </w:r>
      <w:r w:rsidRPr="00B20452">
        <w:t xml:space="preserve"> autónomo de Gorno</w:t>
      </w:r>
      <w:r w:rsidRPr="00B20452">
        <w:noBreakHyphen/>
        <w:t>Badakhshan, no Tajiquistão, em novembro de 2021 e maio de 2022, e na República do Caracalpaquistão, no Usbequistão, em julho de 2022, e os repetidos confrontos na fronteira entre o Quirguistão e o Tajiquistão;</w:t>
      </w:r>
    </w:p>
    <w:p w14:paraId="6695FC80" w14:textId="77777777" w:rsidR="00CF3105" w:rsidRPr="00B20452" w:rsidRDefault="00CF3105" w:rsidP="00CF3105">
      <w:pPr>
        <w:pStyle w:val="NormalHanging12a"/>
      </w:pPr>
      <w:r w:rsidRPr="00B20452">
        <w:t>B.</w:t>
      </w:r>
      <w:r w:rsidRPr="00B20452">
        <w:tab/>
        <w:t>Considerando que a Ásia Central é uma região de interesse estratégico para a UE no tocante a segurança, conectividade, diversificação energética e de recursos, resolução de conflitos e defesa da ordem internacional multilateral assente em regras, posta em causa pelo ataque da Rússia aos valores europeus, pelo agravamento da crise alimentar mundial, por agressões e atrocidades, pela disseminação da desinformação, pela instrumentalização da corrupção e pela interferência em eleições;</w:t>
      </w:r>
    </w:p>
    <w:p w14:paraId="2304A9FF" w14:textId="77777777" w:rsidR="00CF3105" w:rsidRPr="00B20452" w:rsidRDefault="00CF3105" w:rsidP="00CF3105">
      <w:pPr>
        <w:pStyle w:val="NormalHanging12a"/>
      </w:pPr>
      <w:r w:rsidRPr="00B20452">
        <w:t>C.</w:t>
      </w:r>
      <w:r w:rsidRPr="00B20452">
        <w:tab/>
        <w:t>Considerando que nenhum dos Estados da Ásia Central apoia a invasão da Ucrânia pela Rússia nem reconhece as regiões da Ucrânia anexadas pela Rússia como sendo territórios da Federação Russa;</w:t>
      </w:r>
    </w:p>
    <w:p w14:paraId="04FA59E8" w14:textId="77777777" w:rsidR="00CF3105" w:rsidRPr="00B20452" w:rsidRDefault="00CF3105" w:rsidP="00CF3105">
      <w:pPr>
        <w:pStyle w:val="NormalHanging12a"/>
      </w:pPr>
      <w:r w:rsidRPr="00B20452">
        <w:t>D.</w:t>
      </w:r>
      <w:r w:rsidRPr="00B20452">
        <w:tab/>
        <w:t>Considerando que, em 28 de março de 2023, o enviado da UE para as sanções apelou aos países da região para evitarem ajudar Moscovo nas suas tentativas de fugir às sanções que foram impostas à Rússia devido à guerra de agressão contra a Ucrânia;</w:t>
      </w:r>
    </w:p>
    <w:p w14:paraId="1357CA96" w14:textId="77777777" w:rsidR="00CF3105" w:rsidRPr="00B20452" w:rsidRDefault="00CF3105" w:rsidP="00CF3105">
      <w:pPr>
        <w:pStyle w:val="NormalHanging12a"/>
      </w:pPr>
      <w:r w:rsidRPr="00B20452">
        <w:t>E.</w:t>
      </w:r>
      <w:r w:rsidRPr="00B20452">
        <w:tab/>
        <w:t>Considerando que dirigentes e propagandistas russos continuam a utilizar uma retórica agressiva contra alguns países da Ásia Central, nomeadamente contra o Cazaquistão, pondo em causa a sua integridade territorial e identidade nacional;</w:t>
      </w:r>
    </w:p>
    <w:p w14:paraId="2A03A3E7" w14:textId="77777777" w:rsidR="00CF3105" w:rsidRPr="00B20452" w:rsidRDefault="00CF3105" w:rsidP="00CF3105">
      <w:pPr>
        <w:pStyle w:val="NormalHanging12a"/>
      </w:pPr>
      <w:r w:rsidRPr="00B20452">
        <w:t>F.</w:t>
      </w:r>
      <w:r w:rsidRPr="00B20452">
        <w:tab/>
        <w:t>Considerando que o isolamento da Rússia em resultado da sua guerra de agressão contra a Ucrânia, o reforço das rotas comerciais através da Ásia Central evitando a Rússia, o previsto alargamento da UE na Europa Oriental e a crescente influência da China na região são circunstâncias que impõem uma reponderação profunda da estratégia da UE para a Ásia Central e uma presença mais ativa da democrática UE na região como uma alternativa aos atores autocráticos estabelecidos;</w:t>
      </w:r>
    </w:p>
    <w:p w14:paraId="68B38C5D" w14:textId="77777777" w:rsidR="00CF3105" w:rsidRPr="00B20452" w:rsidRDefault="00CF3105" w:rsidP="00CF3105">
      <w:pPr>
        <w:pStyle w:val="NormalHanging12a"/>
      </w:pPr>
      <w:r w:rsidRPr="00B20452">
        <w:t>G.</w:t>
      </w:r>
      <w:r w:rsidRPr="00B20452">
        <w:tab/>
        <w:t>Considerando que é necessário assegurar a conectividade entre a Europa e a Ásia de uma forma que evite atravessar o território russo</w:t>
      </w:r>
      <w:r w:rsidR="00A652A2">
        <w:t>; considerando que</w:t>
      </w:r>
      <w:r w:rsidRPr="00B20452">
        <w:t xml:space="preserve"> a UE tem um forte interesse no estabelecimento de corredores comerciais e energéticos eficientes entre a Europa e a Ásia, tal como o demonstra a Conferência sobre a Conectividade UE</w:t>
      </w:r>
      <w:r w:rsidRPr="00B20452">
        <w:noBreakHyphen/>
        <w:t xml:space="preserve">Ásia </w:t>
      </w:r>
      <w:r w:rsidRPr="00B20452">
        <w:lastRenderedPageBreak/>
        <w:t>Central realizada em Samarcanda em 18 de novembro de 2022;</w:t>
      </w:r>
    </w:p>
    <w:p w14:paraId="4B1CB582" w14:textId="77777777" w:rsidR="00CF3105" w:rsidRPr="00B20452" w:rsidRDefault="00CF3105" w:rsidP="00CF3105">
      <w:pPr>
        <w:pStyle w:val="NormalHanging12a"/>
      </w:pPr>
      <w:r w:rsidRPr="00B20452">
        <w:t>H.</w:t>
      </w:r>
      <w:r w:rsidRPr="00B20452">
        <w:tab/>
        <w:t>Considerando que todos os cinco Estados da Ásia Central ratificaram o Acordo de Paris</w:t>
      </w:r>
      <w:r w:rsidR="00A652A2">
        <w:t>; considerando que</w:t>
      </w:r>
      <w:r w:rsidRPr="00B20452">
        <w:t xml:space="preserve"> estes são particularmente vulneráveis às consequências das alterações climáticas</w:t>
      </w:r>
      <w:r w:rsidR="00A652A2">
        <w:t>; considerando que</w:t>
      </w:r>
      <w:r w:rsidRPr="00B20452">
        <w:t xml:space="preserve"> a imprudente e má gestão da água e a poluição dos principais rios para a irrigação dos campos de algodão se traduziu numa utilização e exploração ineficazes dos recursos hídricos na região</w:t>
      </w:r>
      <w:r w:rsidR="00A652A2">
        <w:t>; considerando que</w:t>
      </w:r>
      <w:r w:rsidRPr="00B20452">
        <w:t xml:space="preserve"> os glaciares na Ásia Central continuam a diminuir rapidamente agravando uma das mais graves crises hídricas do planeta e expondo as populações vulneráveis da região a desastrosos problemas sanitários, ambientais e sociais</w:t>
      </w:r>
      <w:r w:rsidR="00A652A2">
        <w:t>; considerando que</w:t>
      </w:r>
      <w:r w:rsidRPr="00B20452">
        <w:t xml:space="preserve"> os frequentes conflitos relacionados com a água e a instabilidade política limitaram o planeamento unificado e a distribuição eficiente da água dos rios que atravessam vários países</w:t>
      </w:r>
      <w:r w:rsidR="00A652A2">
        <w:t>; considerando que</w:t>
      </w:r>
      <w:r w:rsidRPr="00B20452">
        <w:t xml:space="preserve"> as mudanças geopolíticas em toda a região proporcionam oportunidades para uma cooperação regional mais significativa</w:t>
      </w:r>
      <w:r w:rsidR="00A652A2">
        <w:t>; considerando que</w:t>
      </w:r>
      <w:r w:rsidRPr="00B20452">
        <w:t xml:space="preserve"> essa cooperação regional já demonstrou dar frutos no contexto da diplomacia da água e da resolução de litígios fronteiriços e será ainda mais crucial para fazer face às crescentes ameaças de natureza transfronteiriça colocadas pelas alterações climáticas; </w:t>
      </w:r>
    </w:p>
    <w:p w14:paraId="276C2162" w14:textId="77777777" w:rsidR="00CF3105" w:rsidRPr="00B20452" w:rsidRDefault="00CF3105" w:rsidP="00CF3105">
      <w:pPr>
        <w:pStyle w:val="NormalHanging12a"/>
      </w:pPr>
      <w:r w:rsidRPr="00B20452">
        <w:t>I.</w:t>
      </w:r>
      <w:r w:rsidRPr="00B20452">
        <w:tab/>
        <w:t>Considerando que os acordos de parceria e cooperação reforçadas (APCR) são acordos de nova geração que constituem a pedra angular da relação da UE com a Ásia Central</w:t>
      </w:r>
      <w:r w:rsidR="00A652A2">
        <w:t>; considerando que</w:t>
      </w:r>
      <w:r w:rsidRPr="00B20452">
        <w:t xml:space="preserve"> o Cazaquistão foi o primeiro Estado da Ásia Central a assinar, em 2015, um APCR, que entrou em vigor em 1 de março de 2020, na sequência da sua ratificação por todos os Estados</w:t>
      </w:r>
      <w:r w:rsidRPr="00B20452">
        <w:noBreakHyphen/>
        <w:t>Membros, e que esse acordo deve ser revisto periodicamente</w:t>
      </w:r>
      <w:r w:rsidR="00A652A2">
        <w:t>; considerando que</w:t>
      </w:r>
      <w:r w:rsidRPr="00B20452">
        <w:t xml:space="preserve"> as negociações sobre o APCR entre a UE e o Quirguistão foram concluídas em 6 de julho de 2019, mas o acordo ainda não foi assinado devido a um litígio entre o Conselho e a Comissão</w:t>
      </w:r>
      <w:r w:rsidR="00A652A2">
        <w:t>; considerando que</w:t>
      </w:r>
      <w:r w:rsidRPr="00B20452">
        <w:t xml:space="preserve"> as negociações sobre o APCR entre a UE e o Usbequistão foram concluídas em 6 de julho de 2022</w:t>
      </w:r>
      <w:r w:rsidR="00A652A2">
        <w:t>; considerando que</w:t>
      </w:r>
      <w:r w:rsidRPr="00B20452">
        <w:t>, no início de 2023, a UE e o Tajiquistão encetaram negociações sobre um APCR</w:t>
      </w:r>
      <w:r w:rsidR="00A652A2">
        <w:t>; considerando que</w:t>
      </w:r>
      <w:r w:rsidRPr="00B20452">
        <w:t xml:space="preserve"> em 1998 foi assinado um Acordo de Parceria e Cooperação Reforçadas (APCR) com o Turquemenistão, mas o Parlamento não deu o seu consentimento à ratificação do acordo em virtude das suas fortes reservas em relação ao cumprimento pelo Turquemenistão dos marcos de referência para o curto prazo no que respeita a progressos em matéria de direitos humanos e liberdades fundamentais; </w:t>
      </w:r>
    </w:p>
    <w:p w14:paraId="7A496851" w14:textId="77777777" w:rsidR="00CF3105" w:rsidRPr="00B20452" w:rsidRDefault="00CF3105" w:rsidP="00CF3105">
      <w:pPr>
        <w:pStyle w:val="NormalHanging12a"/>
        <w:rPr>
          <w:bCs/>
        </w:rPr>
      </w:pPr>
      <w:r w:rsidRPr="00B20452">
        <w:t>J.</w:t>
      </w:r>
      <w:r w:rsidRPr="00B20452">
        <w:tab/>
        <w:t>Considerando que a primeira reunião dos dirigentes da UE e da Ásia Central decorreu em Astana, em 27 de outubro de 2022, seguida de uma segunda reunião de natureza idêntica em Cholpon</w:t>
      </w:r>
      <w:r w:rsidRPr="00B20452">
        <w:noBreakHyphen/>
        <w:t>Ata, em 2 de junho de 2023</w:t>
      </w:r>
      <w:r w:rsidR="00A652A2">
        <w:t>; considerando que</w:t>
      </w:r>
      <w:r w:rsidRPr="00B20452">
        <w:t xml:space="preserve"> está prevista uma cimeira de dirigentes para 2024</w:t>
      </w:r>
      <w:r w:rsidR="00A652A2">
        <w:t>; considerando que</w:t>
      </w:r>
      <w:r w:rsidRPr="00B20452">
        <w:t xml:space="preserve"> estas reuniões representam uma maior institucionalização das relações UE</w:t>
      </w:r>
      <w:r w:rsidRPr="00B20452">
        <w:noBreakHyphen/>
        <w:t>Ásia Central e complementam o trabalho realizado no âmbito dos diálogos e das plataformas regionais existentes;</w:t>
      </w:r>
    </w:p>
    <w:p w14:paraId="6D33E2B6" w14:textId="77777777" w:rsidR="00CF3105" w:rsidRPr="00B20452" w:rsidRDefault="00CF3105" w:rsidP="00CF3105">
      <w:pPr>
        <w:pStyle w:val="NormalHanging12a"/>
      </w:pPr>
      <w:r w:rsidRPr="00B20452">
        <w:t>K.</w:t>
      </w:r>
      <w:r w:rsidRPr="00B20452">
        <w:tab/>
        <w:t>Considerando que a primeira cimeira C5+1 entre os líderes da Ásia Central e o presidente dos Estados Unidos se realizou em 19 de setembro de 2023 em Nova Iorque</w:t>
      </w:r>
      <w:r w:rsidR="00A652A2">
        <w:t>; considerando que</w:t>
      </w:r>
      <w:r w:rsidRPr="00B20452">
        <w:t xml:space="preserve"> a cimeira C5+Alemanha se realizou em 29 de setembro de 2023, em Berlim;</w:t>
      </w:r>
    </w:p>
    <w:p w14:paraId="7A8D408C" w14:textId="77777777" w:rsidR="00CF3105" w:rsidRPr="00B20452" w:rsidRDefault="00CF3105" w:rsidP="00CF3105">
      <w:pPr>
        <w:pStyle w:val="NormalHanging12a"/>
        <w:rPr>
          <w:bCs/>
        </w:rPr>
      </w:pPr>
      <w:r w:rsidRPr="00B20452">
        <w:t>L.</w:t>
      </w:r>
      <w:r w:rsidRPr="00B20452">
        <w:tab/>
        <w:t>Considerando que todos os cinco Estados da Ásia Central apresentam índices de democracia baixos e em queda, e são classificados como regimes autoritários e «não livres» no relatório sobre a liberdade no mundo, de 2023, publicado pela organização Freedom House</w:t>
      </w:r>
      <w:r w:rsidR="00A652A2">
        <w:t>; considerando que</w:t>
      </w:r>
      <w:r w:rsidRPr="00B20452">
        <w:t xml:space="preserve"> o Índice Mundial da Liberdade de Imprensa de 2023 </w:t>
      </w:r>
      <w:r w:rsidRPr="00B20452">
        <w:lastRenderedPageBreak/>
        <w:t>mostra uma forte deterioração da situação da liberdade de imprensa na Ásia Central e que a classificação média da Ásia Central no Índice de Perceção da Corrupção de 2022 ficou bastante abaixo da média mundial</w:t>
      </w:r>
      <w:r w:rsidR="00A652A2">
        <w:t>; considerando que</w:t>
      </w:r>
      <w:r w:rsidRPr="00B20452">
        <w:t xml:space="preserve"> a organização Repórteres Sem Fronteiras revelou existirem numerosos casos de pressão das autoridades da Ásia Central sobre os órgãos de comunicação social dos respetivos países para que cubram a invasão russa da Ucrânia de forma «neutra» ou a ignorem por completo; </w:t>
      </w:r>
    </w:p>
    <w:p w14:paraId="17F2325F" w14:textId="77777777" w:rsidR="00CF3105" w:rsidRPr="00B20452" w:rsidRDefault="00CF3105" w:rsidP="00CF3105">
      <w:pPr>
        <w:pStyle w:val="NormalHanging12a"/>
        <w:rPr>
          <w:b/>
          <w:i/>
        </w:rPr>
      </w:pPr>
      <w:r w:rsidRPr="00B20452">
        <w:t>M.</w:t>
      </w:r>
      <w:r w:rsidRPr="00B20452">
        <w:tab/>
        <w:t>Considerando que a Comissão dos Assuntos Externos do Parlamento Europeu visitou o Tajiquistão e o Usbequistão entre 21 e 25 de fevereiro de 2022, e o Cazaquistão e o Quirguistão entre 21 e 25 de agosto de 2023</w:t>
      </w:r>
      <w:r w:rsidR="00A652A2">
        <w:t>; considerando que</w:t>
      </w:r>
      <w:r w:rsidRPr="00B20452">
        <w:t xml:space="preserve"> a Delegação da referida comissão às Comissões Parlamentares de Cooperação UE</w:t>
      </w:r>
      <w:r w:rsidRPr="00B20452">
        <w:noBreakHyphen/>
        <w:t>Cazaquistão, UE</w:t>
      </w:r>
      <w:r w:rsidRPr="00B20452">
        <w:noBreakHyphen/>
        <w:t>Quirguistão, UE</w:t>
      </w:r>
      <w:r w:rsidRPr="00B20452">
        <w:noBreakHyphen/>
        <w:t>Usbequistão e UE</w:t>
      </w:r>
      <w:r w:rsidRPr="00B20452">
        <w:noBreakHyphen/>
        <w:t>Tajiquistão e para as Relações com o Turquemenistão e a Mongólia mantém um diálogo interparlamentar regular com os países da Ásia Central;</w:t>
      </w:r>
    </w:p>
    <w:p w14:paraId="41833590" w14:textId="77777777" w:rsidR="00CF3105" w:rsidRPr="00B20452" w:rsidRDefault="00CF3105" w:rsidP="00CF3105">
      <w:pPr>
        <w:pStyle w:val="NormalHanging12a"/>
        <w:rPr>
          <w:b/>
          <w:i/>
        </w:rPr>
      </w:pPr>
      <w:r w:rsidRPr="00B20452">
        <w:t>N.</w:t>
      </w:r>
      <w:r w:rsidRPr="00B20452">
        <w:tab/>
        <w:t>Considerando que na Ásia Central existem receios fundados de radicalização e de crescimento do extremismo, além da ameaça terrorista que representa o regresso de um grande número de ex</w:t>
      </w:r>
      <w:r w:rsidRPr="00B20452">
        <w:noBreakHyphen/>
        <w:t>combatentes do Daexe à região e a péssima situação em termos de segurança do Afeganistão;</w:t>
      </w:r>
    </w:p>
    <w:p w14:paraId="61AAA0FD" w14:textId="77777777" w:rsidR="00CF3105" w:rsidRPr="00B20452" w:rsidRDefault="00CF3105" w:rsidP="00CF3105">
      <w:pPr>
        <w:pStyle w:val="NormalHanging12a"/>
        <w:rPr>
          <w:b/>
          <w:i/>
        </w:rPr>
      </w:pPr>
      <w:r w:rsidRPr="00B20452">
        <w:t>O.</w:t>
      </w:r>
      <w:r w:rsidRPr="00B20452">
        <w:tab/>
        <w:t>Considerando que as mulheres e as raparigas na Ásia Central continuam a estar muito vulneráveis a abusos, nomeadamente devido ao facto de existir um elevado nível de aceitação da violência contra as mulheres e pouca consciência dos estereótipos de género;</w:t>
      </w:r>
    </w:p>
    <w:p w14:paraId="69EEF548" w14:textId="77777777" w:rsidR="00CF3105" w:rsidRPr="00B20452" w:rsidRDefault="00CF3105" w:rsidP="00CF3105">
      <w:pPr>
        <w:pStyle w:val="NormalHanging12a"/>
      </w:pPr>
      <w:r w:rsidRPr="00B20452">
        <w:t>P.</w:t>
      </w:r>
      <w:r w:rsidRPr="00B20452">
        <w:tab/>
        <w:t>Considerando que o casamento infantil continua a ser comum na Ásia Central, em especial no Quirguistão e no Tajiquistão, onde uma em cada oito raparigas casa antes dos 18 anos de idade;</w:t>
      </w:r>
    </w:p>
    <w:p w14:paraId="0F44B02A" w14:textId="77777777" w:rsidR="00CF3105" w:rsidRPr="00B20452" w:rsidRDefault="00CF3105" w:rsidP="00CF3105">
      <w:pPr>
        <w:pStyle w:val="NormalHanging12a"/>
        <w:rPr>
          <w:bCs/>
        </w:rPr>
      </w:pPr>
      <w:r w:rsidRPr="00B20452">
        <w:rPr>
          <w:rStyle w:val="BoldItalic"/>
        </w:rPr>
        <w:t>Relação da UE com a Ásia Central</w:t>
      </w:r>
    </w:p>
    <w:p w14:paraId="5926E90A" w14:textId="77777777" w:rsidR="00CF3105" w:rsidRPr="00B20452" w:rsidRDefault="00CF3105" w:rsidP="00CF3105">
      <w:pPr>
        <w:pStyle w:val="NormalHanging12a"/>
      </w:pPr>
      <w:r w:rsidRPr="00B20452">
        <w:t>1.</w:t>
      </w:r>
      <w:r w:rsidRPr="00B20452">
        <w:tab/>
        <w:t>Sublinha que a UE e a Ásia Central estão confrontadas com profundas mudanças geopolíticas a nível mundial e regional, que constituem um incentivo significativo para que ambas se empenhem numa cooperação a longo prazo, estruturada e mutuamente benéfica em matérias de interesse comum; incentiva vivamente a UE a intensificar a sua relação com a Ásia Central, dada a importância geoestratégica da região, e a promover uma parceria estratégica com estes países, alargando a cooperação nos planos político e económico; congratula</w:t>
      </w:r>
      <w:r w:rsidRPr="00B20452">
        <w:noBreakHyphen/>
        <w:t>se com o aumento dos contactos de alto nível entre a UE e a Ásia Central, em particular as reuniões entre os chefes de Estado da Ásia Central e o Presidente do Conselho Europeu, e com o trabalho da Representante Especial da UE para a Ásia Central; apela para que se dê seguimento a todas essas reuniões e declarações de alto nível com a adoção de medidas concretas; saúda, neste contexto, o anúncio da realização em 2024 da primeira Cimeira UE</w:t>
      </w:r>
      <w:r w:rsidRPr="00B20452">
        <w:noBreakHyphen/>
        <w:t>Ásia Central, bem como a adoção do roteiro conjunto para aprofundar os laços entre a UE e a Ásia Central, que constitui um plano estratégico para fazer avançar o diálogo e a cooperação em domínios específicos, nomeadamente reforçando a resiliência cultural, social e económica; incentiva a UE a continuar a promover reformas políticas e económicas que fortaleçam o Estado de direito, a democracia, a boa governação e o respeito pelos direitos humanos; salienta que o Parlamento está pronto a promover a cooperação parlamentar com a Ásia Central;</w:t>
      </w:r>
    </w:p>
    <w:p w14:paraId="44C6FDCC" w14:textId="77777777" w:rsidR="00CF3105" w:rsidRPr="00B20452" w:rsidRDefault="00CF3105" w:rsidP="00CF3105">
      <w:pPr>
        <w:pStyle w:val="NormalHanging12a"/>
      </w:pPr>
      <w:r w:rsidRPr="00B20452">
        <w:lastRenderedPageBreak/>
        <w:t>2.</w:t>
      </w:r>
      <w:r w:rsidRPr="00B20452">
        <w:tab/>
        <w:t>Observa que a guerra de agressão da Rússia contra a Ucrânia e a intensificação do discurso nacionalista por parte da Rússia enfraqueceram a posição desta na região e incentivaram a Ásia Central a cooperar com outros intervenientes, os quais intensificaram a sua cooperação com a Ásia Central; regista igualmente o envolvimento da China na região; sublinha que a UE tem agora oportunidade de reforçar os laços com a Ásia Central e de desempenhar um papel de maior relevo na região; realça que a UE deve aproveitar esta janela de oportunidade para fomentar uma cooperação mutuamente benéfica e proporcionar à Ásia Central uma parceria que pode tornar</w:t>
      </w:r>
      <w:r w:rsidRPr="00B20452">
        <w:noBreakHyphen/>
        <w:t xml:space="preserve">se uma via especial numa estratégia mais ampla da Parceria Oriental; considera que o reforço desta cooperação contribuiria igualmente para contrabalançar a influência da Rússia na região; </w:t>
      </w:r>
    </w:p>
    <w:p w14:paraId="21035ACC" w14:textId="77777777" w:rsidR="00CF3105" w:rsidRPr="00B20452" w:rsidRDefault="00CF3105" w:rsidP="00CF3105">
      <w:pPr>
        <w:pStyle w:val="NormalHanging12a"/>
      </w:pPr>
      <w:r w:rsidRPr="00B20452">
        <w:t>3.</w:t>
      </w:r>
      <w:r w:rsidRPr="00B20452">
        <w:tab/>
        <w:t>Sublinha a importância de uma cooperação transatlântica na Ásia Central e convida a UE a tomar a iniciativa para a elaboração em conjunto com os Estados Unidos de uma estratégia comum para a Ásia Central, que deverá incluir a cooperação nos domínios da promoção da democracia, do investimento e do comércio, e da economia e segurança regional;</w:t>
      </w:r>
    </w:p>
    <w:p w14:paraId="18BEF5DD" w14:textId="77777777" w:rsidR="00CF3105" w:rsidRPr="00B20452" w:rsidRDefault="00CF3105" w:rsidP="00CF3105">
      <w:pPr>
        <w:pStyle w:val="NormalHanging12a"/>
      </w:pPr>
      <w:r w:rsidRPr="00B20452">
        <w:t>4.</w:t>
      </w:r>
      <w:r w:rsidRPr="00B20452">
        <w:tab/>
        <w:t>Reitera o empenho da UE em cooperar com os países da Ásia Central para a paz, a segurança, a estabilidade, a prosperidade e o desenvolvimento sustentável, no pleno respeito do direito internacional, bem como dos princípios do respeito pela independência, pela soberania e pela integridade territorial de todos os países, do não recurso à força ou a ameaças de uso da força, e de resolução pacífica de litígios internacionais;</w:t>
      </w:r>
    </w:p>
    <w:p w14:paraId="70EAEA23" w14:textId="77777777" w:rsidR="00CF3105" w:rsidRPr="00B20452" w:rsidRDefault="00CF3105" w:rsidP="00CF3105">
      <w:pPr>
        <w:pStyle w:val="NormalHanging12a"/>
      </w:pPr>
      <w:r w:rsidRPr="00B20452">
        <w:t>5.</w:t>
      </w:r>
      <w:r w:rsidRPr="00B20452">
        <w:tab/>
        <w:t>Rejeita qualquer tentativa tendente a, de alguma forma, facilitar ou promover o reconhecimento internacional da entidade secessionista na parte ocupada de Chipre, nomeadamente relacionada com a alegada aceitação dessa entidade como observadora na Organização dos Estados Turcos; apela aos Estados da Ásia Central envolvidos para defenderem efetivamente o respeito dos princípios de soberania e integridade territorial de todos os Estados e para se absterem de ratificar os estatutos revistos da Organização dos Estados Turcos, o que validaria a decisão de concessão do estatuto de observador à entidade secessionista na parte ocupada de Chipre;</w:t>
      </w:r>
    </w:p>
    <w:p w14:paraId="7F252C29" w14:textId="77777777" w:rsidR="00CF3105" w:rsidRPr="00B20452" w:rsidRDefault="00CF3105" w:rsidP="00CF3105">
      <w:pPr>
        <w:pStyle w:val="NormalHanging12a"/>
      </w:pPr>
      <w:r w:rsidRPr="00B20452">
        <w:t>6.</w:t>
      </w:r>
      <w:r w:rsidRPr="00B20452">
        <w:tab/>
        <w:t>Reconhece que a guerra de agressão da Rússia contra a Ucrânia e as suas implicações representam desafios, mas também oportunidades para os Estados da Ásia Central, que tradicionalmente mantêm relações próximas com a Rússia; sublinha o interesse da UE em aprofundar as relações económicas e intensificar os laços políticos com os países da Ásia Central, em parte para minimizar a evasão às sanções contra a Rússia e a Bielorrússia; realça a importância de prosseguir um diálogo estreito sobre as sanções e insta as autoridades dos Estados da Ásia Central, nomeadamente o Cazaquistão, o Quirguistão e o Usbequistão, a cooperarem estreitamente com a UE, em particular com o seu enviado para as sanções, a fim de intensificarem esforços para evitar a evasão às sanções; condena o recrutamento pela Rússia de migrantes e cidadãos da Ásia Central para combater na Ucrânia e apoia as ações que visam pôr</w:t>
      </w:r>
      <w:r w:rsidRPr="00B20452">
        <w:noBreakHyphen/>
        <w:t xml:space="preserve">lhe termo; assinala os esforços individuais realizados pelos Estados da Ásia Central para assegurarem que os seus territórios não sejam utilizados para contornar as sanções da UE e saúda as medidas administrativas adotadas pelo Cazaquistão, bem como o seu empenhamento político de alto nível a este respeito; convida a UE a utilizar uma abordagem diferenciada na estratégia para a Ásia Central, que avalie o nível de cooperação com a UE no que respeita à política de sanções contra a Rússia; salienta que os próprios </w:t>
      </w:r>
      <w:r w:rsidRPr="00B20452">
        <w:lastRenderedPageBreak/>
        <w:t>Estados</w:t>
      </w:r>
      <w:r w:rsidRPr="00B20452">
        <w:noBreakHyphen/>
        <w:t>Membros têm um papel a desempenhar assegurando que os bens de exportação que poderão chegar à Rússia através da Ásia Central sejam sujeitos a controlos preventivos adequados;</w:t>
      </w:r>
    </w:p>
    <w:p w14:paraId="501C0D04" w14:textId="77777777" w:rsidR="00CF3105" w:rsidRPr="00B20452" w:rsidRDefault="00CF3105" w:rsidP="00CF3105">
      <w:pPr>
        <w:pStyle w:val="NormalHanging12a"/>
      </w:pPr>
      <w:r w:rsidRPr="00B20452">
        <w:t>7.</w:t>
      </w:r>
      <w:r w:rsidRPr="00B20452">
        <w:tab/>
        <w:t xml:space="preserve">Considera que é necessário rever a estratégia da UE para a Ásia Central, a fim de a atualizar à luz dos acontecimentos geopolíticos que tiveram lugar nos últimos anos; reitera o papel fundamental dos APCR enquanto quadro de cooperação com os Estados da Ásia Central; observa com apreensão que o APCR com o Quirguistão, cujas negociações foram concluídas em 2019, continua por assinar; insta o Conselho e a Comissão a promoverem o rápido progresso das negociações sobre o APCR com o Tajiquistão em curso, e a resolverem as questões pendentes e a assinarem sem mais delongas os APCR com o Quirguistão e o Usbequistão, para que o Parlamento exerça as suas prerrogativas no que concerne à ratificação destes acordos; frisa que a não assinatura de tais acordos após a conclusão das negociações põe em causa a credibilidade da UE enquanto interveniente mundial; </w:t>
      </w:r>
    </w:p>
    <w:p w14:paraId="5F2C307D" w14:textId="77777777" w:rsidR="00CF3105" w:rsidRPr="00B20452" w:rsidRDefault="00CF3105" w:rsidP="00CF3105">
      <w:pPr>
        <w:pStyle w:val="NormalHanging12a"/>
      </w:pPr>
      <w:r w:rsidRPr="00B20452">
        <w:t>8.</w:t>
      </w:r>
      <w:r w:rsidRPr="00B20452">
        <w:tab/>
        <w:t xml:space="preserve">Salienta que os APCR com os países da Ásia Central negociados até à data colocam uma grande ênfase no respeito dos princípios democráticos, dos direitos humanos e do Estado de direito; sublinha a importância de integrar as dimensões dos direitos humanos, dos valores democráticos, da igualdade de género, da liberdade dos meios de comunicação social e da transição ecológica nas interações com os governos da Ásia Central; </w:t>
      </w:r>
    </w:p>
    <w:p w14:paraId="3D4D03AD" w14:textId="77777777" w:rsidR="00CF3105" w:rsidRPr="00B20452" w:rsidRDefault="00CF3105" w:rsidP="00CF3105">
      <w:pPr>
        <w:pStyle w:val="Normal12a24b"/>
      </w:pPr>
      <w:r w:rsidRPr="00B20452">
        <w:rPr>
          <w:rStyle w:val="BoldItalic"/>
        </w:rPr>
        <w:t>Cooperação regional</w:t>
      </w:r>
    </w:p>
    <w:p w14:paraId="4E92DCA3" w14:textId="77777777" w:rsidR="00CF3105" w:rsidRPr="00B20452" w:rsidRDefault="00CF3105" w:rsidP="00CF3105">
      <w:pPr>
        <w:pStyle w:val="NormalHanging12a"/>
      </w:pPr>
      <w:r w:rsidRPr="00B20452">
        <w:t>9.</w:t>
      </w:r>
      <w:r w:rsidRPr="00B20452">
        <w:tab/>
        <w:t>Sublinha as grandes potencialidades da cooperação mutuamente benéfica em matéria de desenvolvimento sustentável, conectividade, energia, matérias</w:t>
      </w:r>
      <w:r w:rsidRPr="00B20452">
        <w:noBreakHyphen/>
        <w:t>primas críticas e segurança com a Ásia Central, nomeadamente dado que a região se reveste de importância decisiva para a conectividade entre o Oriente e o Ocidente; lembra, neste contexto, as consequências geopolíticas significativas da guerra de agressão da Rússia contra a Ucrânia que relançaram o corredor central não só como zona económica regional mas também como rota alternativa entre a Ásia e a Europa; recorda que a nova ponte terrestre eurasiática atravessa território russo e bielorrusso alvo de sanções; recorda que a nova ponte terrestre eurasiática atravessa território russo e bielorrusso alvo de sanções; sublinha a importância de promover a integração regional ao longo do corredor central e lembra que para atrair o tão necessário investimento para os projetos de infraestruturas no âmbito da Estratégia Global Gateway é fundamental eliminar os estrangulamentos identificados no estudo conduzido pelo Banco Europeu de Reconstrução e Desenvolvimento; apela à Comissão para que estude a possibilidade de o Banco Europeu de Investimento (BEI) conceder apoio a investimentos no desenvolvimento de infraestruturas nos Estados da Ásia Central, em especial no corredor central;</w:t>
      </w:r>
    </w:p>
    <w:p w14:paraId="73273C6B" w14:textId="77777777" w:rsidR="00CF3105" w:rsidRPr="00B20452" w:rsidRDefault="00CF3105" w:rsidP="00CF3105">
      <w:pPr>
        <w:pStyle w:val="NormalHanging12a"/>
      </w:pPr>
      <w:r w:rsidRPr="00B20452">
        <w:t>10.</w:t>
      </w:r>
      <w:r w:rsidRPr="00B20452">
        <w:tab/>
        <w:t>Considera que a política da UE para a Ásia Central nos domínios da energia, conectividade e diversificação de recursos deve inspirar</w:t>
      </w:r>
      <w:r w:rsidRPr="00B20452">
        <w:noBreakHyphen/>
        <w:t>se no Pacto Ecológico Europeu e basear</w:t>
      </w:r>
      <w:r w:rsidRPr="00B20452">
        <w:noBreakHyphen/>
        <w:t>se em parcerias estratégicas mutuamente benéficas que tenham em conta as especificidades dos diferentes Estados da Ásia Central, que assegurem o acesso destes Estados a tecnologias modernas e a emprego de qualidade, e, ao mesmo tempo, garantam um acesso seguro e competitivo da UE a matérias</w:t>
      </w:r>
      <w:r w:rsidRPr="00B20452">
        <w:noBreakHyphen/>
        <w:t xml:space="preserve">primas e energia; manifesta a sua preocupação, a este respeito, com o aumento da dependência da Rússia em </w:t>
      </w:r>
      <w:r w:rsidRPr="00B20452">
        <w:lastRenderedPageBreak/>
        <w:t xml:space="preserve">resultado da assinatura do acordo para o fornecimento de gás natural celebrado entre a Gazprom e o Usbequistão através do Cazaquistão; </w:t>
      </w:r>
    </w:p>
    <w:p w14:paraId="4345C198" w14:textId="77777777" w:rsidR="00CF3105" w:rsidRPr="00B20452" w:rsidRDefault="00CF3105" w:rsidP="00CF3105">
      <w:pPr>
        <w:pStyle w:val="NormalHanging12a"/>
      </w:pPr>
      <w:r w:rsidRPr="00B20452">
        <w:t>11.</w:t>
      </w:r>
      <w:r w:rsidRPr="00B20452">
        <w:tab/>
        <w:t>Reconhece o papel crucial da UE no financiamento de reformas setoriais na Ásia Central tendentes a melhorar a eficiência energética e a reduzir as emissões de gases com efeito de estufa da região; congratula</w:t>
      </w:r>
      <w:r w:rsidRPr="00B20452">
        <w:noBreakHyphen/>
        <w:t xml:space="preserve">se com o lançamento, em 2022, do projeto «Sustainable Energy Connectivity in Central Asia (SECCA)» [conectividade energética sustentável na Ásia Central] que deverá ter um impacto positivo no reforço das políticas nacionais de transição para um sistema energético sustentável, e no reforço do investimento, das capacidades e da consciencialização no que respeita às energias renováveis e à eficiência energética na região; </w:t>
      </w:r>
    </w:p>
    <w:p w14:paraId="6620AD46" w14:textId="77777777" w:rsidR="00CF3105" w:rsidRPr="00B20452" w:rsidRDefault="00CF3105" w:rsidP="00CF3105">
      <w:pPr>
        <w:pStyle w:val="NormalHanging12a"/>
      </w:pPr>
      <w:r w:rsidRPr="00B20452">
        <w:t>12.</w:t>
      </w:r>
      <w:r w:rsidRPr="00B20452">
        <w:tab/>
        <w:t xml:space="preserve">Sublinha a importância de um clima propício ao investimento para o desenvolvimento económico da Ásia Central e para o comércio e a cooperação entre a UE e a Ásia Central; salienta que um clima favorável ao investimento que conduza à criação de emprego de qualidade, com salários adequados e condições de trabalho dignas, depende de instituições democráticas estáveis, do respeito pelos direitos humanos e pelo Estado de direito, bem como da capacidade das empresas e da sociedade civil de aplicarem o dever de diligência; </w:t>
      </w:r>
    </w:p>
    <w:p w14:paraId="0EA43418" w14:textId="77777777" w:rsidR="00CF3105" w:rsidRPr="00B20452" w:rsidRDefault="00CF3105" w:rsidP="00CF3105">
      <w:pPr>
        <w:pStyle w:val="NormalHanging12a"/>
      </w:pPr>
      <w:r w:rsidRPr="00B20452">
        <w:t>13.</w:t>
      </w:r>
      <w:r w:rsidRPr="00B20452">
        <w:tab/>
        <w:t>Regista a abordagem seguida desde de longa data pelos Estados da Ásia Central, com exceção do Tajiquistão, de manutenção de relações com o Afeganistão e a evolução do seu diálogo pragmático com o regime talibã que, ainda assim, não reconhecem, desde a tomada de poder pelos talibãs em 2021; reforça que os países da região, em particular o Paquistão e a China, mas também os Estados da Ásia Central, desempenham um papel fundamental na garantia de estabilidade no Afeganistão através do fornecimento de ajuda humanitária, eletricidade e oportunidades comerciais, e de projetos conjuntos de conectividade; incentiva o Enviado Especial da UE para o Afeganistão a continuar a cooperar estreitamente com os seus homólogos dos Estados da Ásia Central no âmbito do diálogo UE</w:t>
      </w:r>
      <w:r w:rsidRPr="00B20452">
        <w:noBreakHyphen/>
        <w:t>Ásia Central sobre o Afeganistão; reconhece que a Ásia Central é uma zona crucial para a contenção do extremismo religioso, do terrorismo e das redes de tráfico de droga e que enfrenta uma pressão migratória crescente devido à atual crise humanitária no Afeganistão; reitera a sua indignação com a forma como os talibãs tratam as mulheres, como inferiores a cidadãos de segunda, e exorta o Serviço Europeu para a Ação Externa e o Enviado Especial da UE para o Afeganistão a cooperarem com o Turquemenistão, o Usbequistão e o Tajiquistão para a prestação de assistência às mulheres que tentam fugir do Afeganistão;</w:t>
      </w:r>
    </w:p>
    <w:p w14:paraId="4C6F3224" w14:textId="77777777" w:rsidR="00CF3105" w:rsidRPr="00B20452" w:rsidRDefault="00CF3105" w:rsidP="00CF3105">
      <w:pPr>
        <w:pStyle w:val="NormalHanging12a"/>
      </w:pPr>
      <w:r w:rsidRPr="00B20452">
        <w:t>14.</w:t>
      </w:r>
      <w:r w:rsidRPr="00B20452">
        <w:tab/>
        <w:t>Realça o papel da UE enquanto importante doador de ajuda à região; sublinha a importância de adotar uma abordagem unida como Equipa Europa, pois tal permite criar sinergias e maximizar o impacto das medidas tomadas, além de demonstrar os benefícios da cooperação multilateral e de permitir reunir os melhores instrumentos e parceiros, tais como organizações da sociedade civil, defensores dos direitos humanos, meios de comunicação social e peritos independentes, os setores público e privado, para produzir o impacto pretendido; frisa a necessidade de assegurar a visibilidade da assistência e do investimento da UE e solicita a vinculação da assistência e do apoio ao orçamento concedidos pela UE aos países da Ásia Central a marcos de referência concretos de progresso em matéria de reformas democráticas, proteção dos direitos humanos, Estado de direito e desenvolvimento sustentável; sublinha a importância de uma cooperação coordenada com outros parceiros e com organizações internacionais para possibilitar sinergias e evitar a duplicação;</w:t>
      </w:r>
    </w:p>
    <w:p w14:paraId="60E37C79" w14:textId="77777777" w:rsidR="00CF3105" w:rsidRPr="00B20452" w:rsidRDefault="00CF3105" w:rsidP="00CF3105">
      <w:pPr>
        <w:pStyle w:val="NormalHanging12a"/>
      </w:pPr>
      <w:r w:rsidRPr="00B20452">
        <w:lastRenderedPageBreak/>
        <w:t>15.</w:t>
      </w:r>
      <w:r w:rsidRPr="00B20452">
        <w:tab/>
        <w:t>Observa que as alterações climáticas, o aumento demográfico e as necessidades económicas exercem uma pressão crescente sobre os recursos hídricos na Ásia Central; salienta a necessidade de uma cooperação regional mais estreita nesta matéria entre os países a montante e a jusante, a fim de evitar conflitos sobre a distribuição e a utilização dos recursos hídricos; congratula</w:t>
      </w:r>
      <w:r w:rsidRPr="00B20452">
        <w:noBreakHyphen/>
        <w:t>se com as plataformas regionais, como o Fundo Internacional para Salvar o Mar de Aral, que incentivam o diálogo e a cooperação entre os Estados da Ásia Central; recorda que o diálogo ambiental UE</w:t>
      </w:r>
      <w:r w:rsidRPr="00B20452">
        <w:noBreakHyphen/>
        <w:t>Ásia Central foi criado para apoiar a estabilização do Mar de Aral e promover uma melhor gestão dos recursos hídricos; apela para a aplicação do Acordo de Paris sobre as alterações climáticas e manifesta a sua disponibilidade para prestar apoio especializado e cooperar nesse sentido;</w:t>
      </w:r>
    </w:p>
    <w:p w14:paraId="122B0F4B" w14:textId="77777777" w:rsidR="00CF3105" w:rsidRPr="00B20452" w:rsidRDefault="00CF3105" w:rsidP="00CF3105">
      <w:pPr>
        <w:pStyle w:val="NormalHanging12a"/>
      </w:pPr>
      <w:r w:rsidRPr="00B20452">
        <w:t>16.</w:t>
      </w:r>
      <w:r w:rsidRPr="00B20452">
        <w:tab/>
        <w:t>Salienta que a resolução de conflitos, nomeadamente os relacionados com a distribuição da água, em conformidade com o direito internacional e o princípio das boas relações de vizinhança, bem como o evitamento a todo o custo do recurso ao uso da força ou a ameaças de uso da força são cruciais para a estabilidade regional a longo prazo e para a consecução dos Objetivos de Desenvolvimento Sustentável; sublinha a importância da delimitação e da demarcação de zonas de fronteira disputadas entre o Tajiquistão e o Quirguistão para prevenir novos confrontos militares entre os dois países e saúda os passos dados por ambos os lados nesse sentido; reitera a oferta da UE de apoio à resolução pacífica do conflito através da prestação de assistência técnica e de medidas geradoras de confiança; congratula</w:t>
      </w:r>
      <w:r w:rsidRPr="00B20452">
        <w:noBreakHyphen/>
        <w:t>se com a resolução da questão da delimitação das fronteiras entre o Quirguistão e o Usbequistão em janeiro de 2023; reitera que a UE está empenhada em combater a proliferação de armas de destruição maciça na região;</w:t>
      </w:r>
    </w:p>
    <w:p w14:paraId="18F661DA" w14:textId="77777777" w:rsidR="00CF3105" w:rsidRPr="00B20452" w:rsidRDefault="00CF3105" w:rsidP="00CF3105">
      <w:pPr>
        <w:pStyle w:val="Normal12a24b"/>
      </w:pPr>
      <w:r w:rsidRPr="00B20452">
        <w:rPr>
          <w:rStyle w:val="BoldItalic"/>
        </w:rPr>
        <w:t xml:space="preserve">Democracia e direitos humanos </w:t>
      </w:r>
    </w:p>
    <w:p w14:paraId="3F14A51D" w14:textId="77777777" w:rsidR="00CF3105" w:rsidRPr="00B20452" w:rsidRDefault="00CF3105" w:rsidP="00CF3105">
      <w:pPr>
        <w:pStyle w:val="NormalHanging12a"/>
      </w:pPr>
      <w:r w:rsidRPr="00B20452">
        <w:t>17.</w:t>
      </w:r>
      <w:r w:rsidRPr="00B20452">
        <w:tab/>
        <w:t>Insiste em que o respeito pelos direitos humanos e o cumprimento das obrigações internacionais são importantes para as relações da UE com a Ásia Central; exorta os Estados da Ásia Central a respeitarem as suas obrigações em matéria de democracia e direitos humanos, observando que tal está em consonância também com os termos dos acordos de parceria e cooperação e do Sistema de Preferências Generalizadas Mais; sublinha a importância de manter diálogos regulares sobre direitos humanos com os Estados da Ásia Central, uma vez que estes diálogos são um meio para promover o respeito pelos direitos humanos, pelas liberdades fundamentais e pelo pluralismo político, e um fórum para levantar questões que suscitam preocupação; convida as delegações da UE e as representações dos Estados</w:t>
      </w:r>
      <w:r w:rsidRPr="00B20452">
        <w:noBreakHyphen/>
        <w:t>Membros na Ásia Central a continuarem a desempenhar um papel ativo no acompanhamento da situação no terreno, trabalhando com os defensores dos direitos humanos e reagindo às violações dos direitos humanos e às perseguições por motivos políticos, nomeadamente participando em julgamentos e visitando presos políticos; incentiva a cooperação com os órgãos de supervisão dos tratados e os relatores especiais da Organização das Nações Unidas (ONU), bem como em fóruns multilaterais de defesa dos direitos humanos, como o Conselho dos Direitos Humanos da ONU;</w:t>
      </w:r>
    </w:p>
    <w:p w14:paraId="160F16DD" w14:textId="77777777" w:rsidR="00CF3105" w:rsidRPr="00B20452" w:rsidRDefault="00CF3105" w:rsidP="00CF3105">
      <w:pPr>
        <w:pStyle w:val="NormalHanging12a"/>
      </w:pPr>
      <w:r w:rsidRPr="00B20452">
        <w:t>18.</w:t>
      </w:r>
      <w:r w:rsidRPr="00B20452">
        <w:tab/>
        <w:t>Manifesta a sua preocupação com a falta de responsabilização por violações graves dos direitos humanos em grande escala, nomeadamente a aplicação de medidas duras pelas autoridades para esmagar os protestos em massa e os tumultos subsequentes durante o chamado «janeiro sangrento» no Cazaquistão, na região autónoma de Gorno</w:t>
      </w:r>
      <w:r w:rsidRPr="00B20452">
        <w:noBreakHyphen/>
        <w:t xml:space="preserve">Badakhshan, no Tajiquistão, e na República do Caracalpaquistão, no </w:t>
      </w:r>
      <w:r w:rsidRPr="00B20452">
        <w:lastRenderedPageBreak/>
        <w:t>Usbequistão; exorta as autoridades dos cinco Estados da Ásia Central a tomarem medidas efetivas para a abertura de inquéritos independentes e exaustivos para investigar todas as alegações de tortura e de maus tratos e outras violações graves dos direitos humanos, e a impedirem o uso de força excessiva e da tortura pela polícia e pelas forças de segurança; insta os governos dos Estados da Ásia Central a levarem a cabo reformas judiciais com vista a garantir uma maior independência e transparência;</w:t>
      </w:r>
    </w:p>
    <w:p w14:paraId="5BECE125" w14:textId="77777777" w:rsidR="00CF3105" w:rsidRPr="00B20452" w:rsidRDefault="00CF3105" w:rsidP="00CF3105">
      <w:pPr>
        <w:pStyle w:val="NormalHanging12a"/>
      </w:pPr>
      <w:r w:rsidRPr="00B20452">
        <w:t>19.</w:t>
      </w:r>
      <w:r w:rsidRPr="00B20452">
        <w:tab/>
        <w:t>Sublinha as lacunas democráticas basilares, no que diz respeito à governação democrática, ao Estado de direito e à proteção dos direitos humanos, que persistem nos países da Ásia Central e que se têm agravado em vários aspetos nos últimos tempos; sublinha a necessidade de promover processos eleitorais mais transparentes, abertos e justos para todos os atores políticos; destaca o importante papel que a sociedade civil pode desempenhar na promoção de reformas democráticas, da boa governação e da proteção dos direitos humanos na Ásia Central; lamenta a abordagem restritiva adotada nas iniciativas legislativas relativamente às organizações não governamentais e aos meios de comunicação social, que reduzem o espaço para as atividades da sociedade civil; exorta os Estados da Ásia Central a tomarem medidas significativas para colmatar estas lacunas, a aplicarem as convenções da Organização Internacional do Trabalho pertinentes e a cumprirem efetivamente as suas obrigações ao abrigo do direito internacional no que respeita à governação democrática e à proteção dos direitos humanos, salientando que estes Estados assumiram esse compromisso no âmbito dos APC celebrados com a UE, dos APCR negociados e do Sistema de Preferências Generalizadas Mais da UE; observa que os Estados da Ásia Central têm populações jovens e dinâmicas, às quais deve ser dada a oportunidade de participarem de forma significativa na construção do futuro dos seus países; congratula</w:t>
      </w:r>
      <w:r w:rsidRPr="00B20452">
        <w:noBreakHyphen/>
        <w:t>se com as atividades do Fórum da Sociedade Civil UE</w:t>
      </w:r>
      <w:r w:rsidRPr="00B20452">
        <w:noBreakHyphen/>
        <w:t>Ásia Central e insta a UE a reforçar o seu apoio à sociedade civil;</w:t>
      </w:r>
    </w:p>
    <w:p w14:paraId="29861F83" w14:textId="77777777" w:rsidR="00CF3105" w:rsidRPr="00B20452" w:rsidRDefault="00CF3105" w:rsidP="00CF3105">
      <w:pPr>
        <w:pStyle w:val="NormalHanging12a"/>
      </w:pPr>
      <w:r w:rsidRPr="00B20452">
        <w:t>20.</w:t>
      </w:r>
      <w:r w:rsidRPr="00B20452">
        <w:tab/>
        <w:t xml:space="preserve">Assinala a necessidade de aumentar a resiliência da Ásia Central contra a desinformação, promovendo meios de comunicação social independentes e conteúdos nas línguas locais, intensificando a literacia mediática e organizando cursos específicos para jornalistas locais; sublinha a necessidade de reforçar a independência e o pluralismo dos meios de comunicação social, bem como a liberdade de expressão, na Ásia Central, no respeito das mais elevadas normas democráticas; solicita uma maior transparência no que respeita à propriedade e ao financiamento dos meios de comunicação social a fim de reforçar a independência e o pluralismo dos mesmos; lamenta que os governos da Ásia Central tenham explorado o combate à desinformação para restringir o legítimo exercício da liberdade de expressão, nomeadamente acusando as pessoas que denunciam a corrupção, a injustiça e os abusos cometidos pelos governos de alegadamente divulgarem informações «falsas», incitando à «discórdia» e promovendo o «extremismo»; expressa preocupação com o número crescente de detenções de jornalistas e bloguistas e com as ameaças de encerramento dos meios de comunicação social independentes; insiste na necessidade de assegurar o respeito pelos direitos dos jornalistas, dos bloguistas independentes, dos defensores dos direitos humanos e dos ativistas cívicos e ambientais, de lhes ser garantida proteção contra o assédio, as pressões e as ameaças, de investigar todo e qualquer ataque perpetrado contra eles e de libertar imediata e incondicionalmente todas as pessoas injustamente detidas e presas; condena as recentes iniciativas governamentais de encerramento de serviços de comunicação social independentes e de bloqueio do acesso aos respetivos sítios Web no Tajiquistão e no Quirguistão, bem como a legislação relativa aos meios de comunicação social que está a ser discutida no Quirguistão e no Cazaquistão que </w:t>
      </w:r>
      <w:r w:rsidRPr="00B20452">
        <w:lastRenderedPageBreak/>
        <w:t>deverá reforçar o controlo estatal sobre as operações dos órgãos de comunicação social;</w:t>
      </w:r>
    </w:p>
    <w:p w14:paraId="19739A9E" w14:textId="77777777" w:rsidR="00CF3105" w:rsidRPr="00B20452" w:rsidRDefault="00CF3105" w:rsidP="00CF3105">
      <w:pPr>
        <w:pStyle w:val="NormalHanging12a"/>
      </w:pPr>
      <w:r w:rsidRPr="00B20452">
        <w:t>21.</w:t>
      </w:r>
      <w:r w:rsidRPr="00B20452">
        <w:tab/>
        <w:t>Insta os governos da Ásia Central a libertarem todos os presos políticos; exorta o Governo do Cazaquistão a libertar especificamente: Aigerim Tleuzhan, Marat Zhylanbayev, Bekizhan Mendygaziyev, Timur Danebayev, Kairat Klyshev; exorta o Governo do Quirguistão a libertar: Azimbek Beknazarov, Aibek Buzurmankulov, Aidanbek Akmatov, Temir Makhmudov, Marat Bayazov; exorta o Governo do Usbequistão a libertar: Dauletmurat Tazhimuratov, Allabai Tokymbetov, Nurlan Naiypov, Amirbek Adilbekov; exorta o Governo do Tajiquistão a libertar: Faromuz Irgashov, Ulfatkhonim Mamadshoeva, Khursand Mamadshoev, Khushruz Djumaev; exorta o Governo do Turquemenistão a libertar: Omruzak Omarkuliev, Murat Dushemov, Murat Ovezov, Mansur Mingelov, Nurgeldy Khalykov;</w:t>
      </w:r>
    </w:p>
    <w:p w14:paraId="02FF5174" w14:textId="77777777" w:rsidR="00CF3105" w:rsidRPr="00B20452" w:rsidRDefault="00CF3105" w:rsidP="00CF3105">
      <w:pPr>
        <w:pStyle w:val="NormalHanging12a"/>
      </w:pPr>
      <w:r w:rsidRPr="00B20452">
        <w:t>22.</w:t>
      </w:r>
      <w:r w:rsidRPr="00B20452">
        <w:tab/>
        <w:t>Manifesta a sua preocupação com o facto de, apesar de a igualdade de género se encontrar supostamente protegida por lei em todos os países, a violência baseada no género, a violência doméstica, o casamento infantil, e a discriminação e o assédio das minorias étnicas e religiosas e das pessoas LGTBIQ continuarem a ser generalizados na Ásia Central; exorta os governos da Ásia Central a impedirem estas violações dos direitos humanos através de legislação, campanhas de educação e medidas adequadas, designadamente aumentando a sensibilização e a qualificação dos funcionários públicos, nomeadamente das forças policiais, empoderando as organizações da sociedade civil para defenderem mudanças legislativas, melhorando os serviços de apoio às vítimas de primeira linha e aumentando a sensibilização para a necessidade de combater os estereótipos existentes e promover a igualdade na sociedade; expressa a sua preocupação com o facto de as pessoas LGBTIQ continuarem a ser criminalizadas, com a ausência de legislação anti</w:t>
      </w:r>
      <w:r w:rsidRPr="00B20452">
        <w:noBreakHyphen/>
        <w:t>discriminação básica na maioria dos países, com a prática da violação corretiva de lésbicas e com a falta de locais seguros para as pessoas LGBTIQ se reunirem, devido às constantes rusgas a bares e a espaços sociais e à brutalidade policial generalizada; sublinha que a estratégia da UE para a Ásia Central tem de ser consentânea com o Terceiro Plano de Ação da UE em matéria de Igualdade de Género;</w:t>
      </w:r>
    </w:p>
    <w:p w14:paraId="17E48F82" w14:textId="77777777" w:rsidR="00CF3105" w:rsidRPr="00B20452" w:rsidRDefault="00CF3105" w:rsidP="00CF3105">
      <w:pPr>
        <w:pStyle w:val="NormalHanging12a"/>
      </w:pPr>
      <w:r w:rsidRPr="00B20452">
        <w:t>23.</w:t>
      </w:r>
      <w:r w:rsidRPr="00B20452">
        <w:tab/>
        <w:t>Reafirma a sua preocupação com a corrupção reinante e a cleptocracia na Ásia Central, que minam a confiança no governo, alimentam a desigualdade, privam os cidadãos de serviços públicos e travam o crescimento económico; exorta os governos da Ásia Central a tomarem medidas indo além de uma retórica anti</w:t>
      </w:r>
      <w:r w:rsidRPr="00B20452">
        <w:noBreakHyphen/>
        <w:t>corrupção generalizada, e a empenharem</w:t>
      </w:r>
      <w:r w:rsidRPr="00B20452">
        <w:noBreakHyphen/>
        <w:t>se, de vez, no combate à corrupção e à cleptocracia, adotando estratégias nacionais centradas numa abordagem integrada para a prevenção e a repressão da corrupção, bem como a promoverem o aumento da transparência e do acesso à informação, e a limitarem a influência do setor privado;</w:t>
      </w:r>
    </w:p>
    <w:p w14:paraId="366222D4" w14:textId="77777777" w:rsidR="00CF3105" w:rsidRPr="00B20452" w:rsidRDefault="00CF3105" w:rsidP="00CF3105">
      <w:pPr>
        <w:pStyle w:val="NormalHanging12a"/>
      </w:pPr>
      <w:r w:rsidRPr="00B20452">
        <w:t>24.</w:t>
      </w:r>
      <w:r w:rsidRPr="00B20452">
        <w:tab/>
        <w:t>Sublinha que a UE deve tirar partido da sua imagem positiva na Ásia Central intervindo mais na diplomacia cultural e pública; defende o reforço dos laços e das oportunidades de colaboração entre as instituições europeias e da Ásia Central, bem como a promoção dos contactos interpessoais e da mobilidade, proporcionando oportunidades no domínio da educação e da ciência, nomeadamente intercâmbios a nível académico através dos programas Erasmus+ e Horizonte 2020, e promovendo o aumento do turismo sustentável;</w:t>
      </w:r>
    </w:p>
    <w:p w14:paraId="6DDEFD20" w14:textId="77777777" w:rsidR="00CF3105" w:rsidRPr="00B20452" w:rsidRDefault="00CF3105" w:rsidP="00CF3105">
      <w:pPr>
        <w:pStyle w:val="NormalHanging12a"/>
      </w:pPr>
      <w:r w:rsidRPr="00B20452">
        <w:t>25.</w:t>
      </w:r>
      <w:r w:rsidRPr="00B20452">
        <w:tab/>
        <w:t xml:space="preserve">Assinala a vontade da Ásia Central de iniciar um diálogo sobre a liberalização do regime de vistos com a UE e insta a UE a intensificar as consultas para a elaboração de </w:t>
      </w:r>
      <w:r w:rsidRPr="00B20452">
        <w:lastRenderedPageBreak/>
        <w:t>roteiros de reformas específicas e abrangentes para que os Estados da Ásia Central preparem o caminho para a celebração de acordos sobre a facilitação da emissão de vistos e de acordos de readmissão;</w:t>
      </w:r>
    </w:p>
    <w:p w14:paraId="1EA193DC" w14:textId="77777777" w:rsidR="00CF3105" w:rsidRPr="00B20452" w:rsidRDefault="00CF3105" w:rsidP="00CF3105">
      <w:pPr>
        <w:pStyle w:val="NormalHanging12a"/>
        <w:rPr>
          <w:b/>
          <w:i/>
        </w:rPr>
      </w:pPr>
      <w:r w:rsidRPr="00B20452">
        <w:rPr>
          <w:b/>
          <w:i/>
        </w:rPr>
        <w:t>Cooperação bilateral</w:t>
      </w:r>
    </w:p>
    <w:p w14:paraId="37B233AB" w14:textId="46A564CB" w:rsidR="00CF3105" w:rsidRPr="00B20452" w:rsidRDefault="00CF3105" w:rsidP="00CF3105">
      <w:pPr>
        <w:pStyle w:val="NormalHanging12a"/>
      </w:pPr>
      <w:r w:rsidRPr="00B20452">
        <w:t>26.</w:t>
      </w:r>
      <w:r w:rsidRPr="00B20452">
        <w:tab/>
        <w:t>Salienta que o Cazaquistão é o primeiro país da Ásia Central que ratificou um APCR, que fornece uma base sólida para o aprofundamento da cooperação em domínios fundamentais de interesse comum, tais como a conectividade, a eficiência energética, a economia verde e a digitalização; congratula</w:t>
      </w:r>
      <w:r w:rsidRPr="00B20452">
        <w:noBreakHyphen/>
        <w:t>se com a assinatura do memorando de entendimento entre a República do Cazaquistão e a UE sobre uma parceria estratégica no domínio das cadeias de valor sustentáveis de matérias</w:t>
      </w:r>
      <w:r w:rsidRPr="00B20452">
        <w:noBreakHyphen/>
        <w:t>primas, baterias e hidrogénio renovável; apela ao Governo do Cazaquistão para que continue a implementar reformas políticas e económicas, que deverão reforçar a democracia, o Estado de direito e a boa governação; sublinha que a aplicação da visão de um «Cazaquistão justo e equitativo» deve assegurar o respeito pelos direitos humanos e pelas liberdades de expressão, de associação e de reunião e melhorar o quadro eleitoral de acordo com as recomendações do Gabinete das Instituições Democráticas e dos Direitos Humanos da OSCE; exorta o Governo do Cazaquistão a concluir a investigação sobre os incidentes ocorridos em janeiro de 2022, a publicar as respetivas conclusões e a garantir justiça para as vítimas de tortura; salienta os benefícios potenciais dos intercâmbios interpessoais com o Cazaquistão que serão possibilitados pelo acordo sobre a facilitação da emissão de vistos, em relação ao qual decorre, desde maio de 2023, o processo de consultas;</w:t>
      </w:r>
    </w:p>
    <w:p w14:paraId="4A74EB4E" w14:textId="77777777" w:rsidR="00CF3105" w:rsidRPr="00B20452" w:rsidRDefault="00CF3105" w:rsidP="00CF3105">
      <w:pPr>
        <w:pStyle w:val="NormalHanging12a"/>
      </w:pPr>
      <w:r w:rsidRPr="00B20452">
        <w:t>27.</w:t>
      </w:r>
      <w:r w:rsidRPr="00B20452">
        <w:tab/>
        <w:t>Sublinha que a futura assinatura do APCR e a aplicação do SPG+ em curso dão ainda mais ênfase à necessidade de assegurar o respeito pelos direitos humanos e pelas liberdades fundamentais no Quirguistão em conformidade com os compromissos internacionais que o país assumiu; constata com preocupação a deterioração das normas democráticas e da situação dos direitos humanos que tem ocorrido nos últimos anos, tendo em conta que o Quirguistão tem sido considerado o país mais democrático da região com uma sociedade civil muito viva e meios de comunicação social livres; manifesta a sua preocupação com a perseguição de que tem sido alvo a oposição política, nomeadamente os representantes do partido social democrata, com o impacto negativo das iniciativas legislativas que visam as atividades dos meios de comunicação social independentes e da sociedade civil, nomeadamente a lei sobre as «informações falsas» e os projetos de lei sobre «representantes estrangeiros», «meios de comunicação social» e a «proteção das crianças contra informações prejudiciais», e com o aumento do número de processos contra defensores de direitos humanos, profissionais da comunicação social e jornalistas, bem como contra órgãos de comunicação social; apela para que a UE continue a apoiar a sociedade civil e os meios de comunicação social independentes;</w:t>
      </w:r>
    </w:p>
    <w:p w14:paraId="0273F46B" w14:textId="77777777" w:rsidR="00CF3105" w:rsidRPr="00B20452" w:rsidRDefault="00CF3105" w:rsidP="00CF3105">
      <w:pPr>
        <w:pStyle w:val="NormalHanging12a"/>
      </w:pPr>
      <w:r w:rsidRPr="00B20452">
        <w:t>28.</w:t>
      </w:r>
      <w:r w:rsidRPr="00B20452">
        <w:tab/>
        <w:t>Observa que a abertura das negociações sobre o APCR com o Tajiquistão constitui uma oportunidade para alargar o âmbito da cooperação e do diálogo bilaterais; sublinha a necessidade da manutenção de uma estreita cooperação em matéria de segurança, nomeadamente atendendo a que o Afeganistão continua a ser uma fonte de instabilidade e de preocupações com a segurança devido ao duro regime imposto pelos talibãs e à crise humanitária em curso no país; reitera que a luta legítima contra o terrorismo e o extremismo violento não deve ser utilizada como pretexto para proibir a atividade da oposição, restringir a liberdade de expressão ou dificultar a independência do poder judicial; congratula</w:t>
      </w:r>
      <w:r w:rsidRPr="00B20452">
        <w:noBreakHyphen/>
        <w:t xml:space="preserve">se com o interesse do Tajiquistão em aderir ao SPG+, adesão essa </w:t>
      </w:r>
      <w:r w:rsidRPr="00B20452">
        <w:lastRenderedPageBreak/>
        <w:t>que poderá promover o crescimento económico sustentável e fomentar o comércio, e que implica a aplicação efetiva das normas internacionais em matéria de direitos humanos e laborais; exorta o Governo do Tajiquistão a reforçar a proteção dos direitos humanos e das liberdades fundamentais, em particular da liberdade de expressão, e a pôr termo à intimidação e à perseguição de trabalhadores dos meios de comunicação social, de defensores dos direitos humanos, de advogados independentes e da sociedade civil, bem como à repressão da minoria pamiri na região autónoma de Gorno</w:t>
      </w:r>
      <w:r w:rsidRPr="00B20452">
        <w:noBreakHyphen/>
        <w:t>Badakhshan;</w:t>
      </w:r>
    </w:p>
    <w:p w14:paraId="3574619F" w14:textId="77777777" w:rsidR="00CF3105" w:rsidRPr="00B20452" w:rsidRDefault="00CF3105" w:rsidP="00CF3105">
      <w:pPr>
        <w:pStyle w:val="NormalHanging12a"/>
        <w:rPr>
          <w:i/>
          <w:u w:val="single"/>
        </w:rPr>
      </w:pPr>
      <w:r w:rsidRPr="00B20452">
        <w:t>29.</w:t>
      </w:r>
      <w:r w:rsidRPr="00B20452">
        <w:tab/>
        <w:t>Assinala que o Turquemenistão é único país da Ásia Central que ainda não assinou um APC com a UE, o que limita as possibilidades de compromissos bilaterais; sublinha que o Turquemenistão tem de demonstrar a melhoria do seu mau historial no que respeita a democracia e direitos humanos para que o Parlamento possa reconsiderar a sua posição e ratificar o APC; exorta o Governo do Turquemenistão a descriminalizar as relações sexuais consentidas entre homens; salienta que tal abertura é do interesse do Turquemenistão para evitar ser um caso isolado na região com opções de cooperação limitadas; reconhece o potencial de uma cooperação mutuamente vantajosa em domínios como a energia, a conectividade e o comércio, e congratula</w:t>
      </w:r>
      <w:r w:rsidRPr="00B20452">
        <w:noBreakHyphen/>
        <w:t>se com o interesse manifestado pelo Turquemenistão em fornecer gás à Europa com a construção de um gasoduto transcaspiano;</w:t>
      </w:r>
    </w:p>
    <w:p w14:paraId="4CD1E5CF" w14:textId="77777777" w:rsidR="00CF3105" w:rsidRPr="00B20452" w:rsidRDefault="00CF3105" w:rsidP="00CF3105">
      <w:pPr>
        <w:pStyle w:val="NormalHanging12a"/>
        <w:rPr>
          <w:i/>
          <w:u w:val="single"/>
        </w:rPr>
      </w:pPr>
      <w:r w:rsidRPr="00B20452">
        <w:t>30.</w:t>
      </w:r>
      <w:r w:rsidRPr="00B20452">
        <w:tab/>
        <w:t>Assinala as reformas anunciadas no Usbequistão que visam promover uma verdadeira mudança no país em termos de desenvolvimento socioeconómico, eficiência da administração pública, reforço da independência do sistema judicial e respeito pelos direitos humanos e pelas liberdades fundamentais; salienta que a reforma constitucional representa uma oportunidade para reforçar o Estado de direito e proporcionar uma base jurídica sólida para as reformas; reitera, no entanto, a sua profunda preocupação com o fraco historial do Usbequistão no que respeita à democracia, à liberdade dos meios de comunicação social, aos direitos humanos e ao Estado de direito, incluindo a violenta repressão do protesto na República do Caracalpaquistão, as restrições à liberdade de associação de organizações não governamentais e de partidos políticos, e a perseguição e a intimidação de jornalistas, bloguistas independentes, produtores de conteúdos e defensores dos direitos humanos; recorda ao Governo do Usbequistão a importância de defender a liberdade de expressão, tanto em linha como fora de linha, a liberdade de reunião, a liberdade de associação e a independência dos meios de comunicação social; saúda os avanços dignos de nota relativamente aos direitos das mulheres que se verificaram Usbequistão; exorta o Governo do Usbequistão a descriminalizar as relações sexuais consentidas entre homens; congratula</w:t>
      </w:r>
      <w:r w:rsidRPr="00B20452">
        <w:noBreakHyphen/>
        <w:t xml:space="preserve">se com a conclusão das negociações sobre o APCR entre a UE e o Usbequistão e reitera o seu apelo para uma rápida conclusão dos procedimentos jurídicos e técnicos necessários para assinatura do APCR; saúda o importante papel do Usbequistão na promoção da cooperação regional em vários domínios, nomeadamente a conectividade e a utilização dos recursos hídricos; </w:t>
      </w:r>
    </w:p>
    <w:p w14:paraId="2B6A06E6" w14:textId="77777777" w:rsidR="00CF3105" w:rsidRPr="00B20452" w:rsidRDefault="00CF3105" w:rsidP="00CF3105">
      <w:pPr>
        <w:pStyle w:val="NormalCenter12a"/>
      </w:pPr>
      <w:r w:rsidRPr="00B20452">
        <w:t>°</w:t>
      </w:r>
    </w:p>
    <w:p w14:paraId="1D977116" w14:textId="77777777" w:rsidR="00CF3105" w:rsidRPr="00B20452" w:rsidRDefault="00CF3105" w:rsidP="00CF3105">
      <w:pPr>
        <w:pStyle w:val="NormalCenter12a"/>
      </w:pPr>
      <w:r w:rsidRPr="00B20452">
        <w:t>°</w:t>
      </w:r>
      <w:r w:rsidRPr="00B20452">
        <w:tab/>
        <w:t>°</w:t>
      </w:r>
    </w:p>
    <w:p w14:paraId="55DA1010" w14:textId="77777777" w:rsidR="00E365E1" w:rsidRPr="00B20452" w:rsidRDefault="00CF3105" w:rsidP="00B20452">
      <w:pPr>
        <w:pStyle w:val="NormalHanging12a"/>
        <w:ind w:left="560" w:hanging="560"/>
      </w:pPr>
      <w:r w:rsidRPr="00B20452">
        <w:t>31.</w:t>
      </w:r>
      <w:r w:rsidRPr="00B20452">
        <w:tab/>
        <w:t>Encarrega a sua Presidente de transmitir a presente resolução ao Conselho, à Comissão e ao Vice</w:t>
      </w:r>
      <w:r w:rsidRPr="00B20452">
        <w:noBreakHyphen/>
        <w:t xml:space="preserve">Presidente da Comissão/Alto Representante da União para os Negócios Estrangeiros e a Política de Segurança, bem como aos presidentes, aos Governos e aos </w:t>
      </w:r>
      <w:r w:rsidRPr="00B20452">
        <w:lastRenderedPageBreak/>
        <w:t>Parlamentos do Cazaquistão, do Quirguistão, do Tajiquistão, do Turquemenistão e do Usbequistão.</w:t>
      </w:r>
      <w:bookmarkStart w:id="9" w:name="TextBodyEnd"/>
      <w:bookmarkEnd w:id="9"/>
    </w:p>
    <w:sectPr w:rsidR="00E365E1" w:rsidRPr="00B20452" w:rsidSect="003549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9FB928" w14:textId="77777777" w:rsidR="00BD1F84" w:rsidRPr="003549B2" w:rsidRDefault="00BD1F84">
      <w:r w:rsidRPr="003549B2">
        <w:separator/>
      </w:r>
    </w:p>
  </w:endnote>
  <w:endnote w:type="continuationSeparator" w:id="0">
    <w:p w14:paraId="46C3E75F" w14:textId="77777777" w:rsidR="00BD1F84" w:rsidRPr="003549B2" w:rsidRDefault="00BD1F84">
      <w:r w:rsidRPr="003549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148E7F" w14:textId="77777777" w:rsidR="00064002" w:rsidRPr="003549B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FB009" w14:textId="77777777" w:rsidR="00064002" w:rsidRPr="003549B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624587" w14:textId="77777777" w:rsidR="00064002" w:rsidRPr="003549B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2040E8" w14:textId="77777777" w:rsidR="00BD1F84" w:rsidRPr="003549B2" w:rsidRDefault="00BD1F84">
      <w:r w:rsidRPr="003549B2">
        <w:separator/>
      </w:r>
    </w:p>
  </w:footnote>
  <w:footnote w:type="continuationSeparator" w:id="0">
    <w:p w14:paraId="191AE43D" w14:textId="77777777" w:rsidR="00BD1F84" w:rsidRPr="003549B2" w:rsidRDefault="00BD1F84">
      <w:r w:rsidRPr="003549B2">
        <w:continuationSeparator/>
      </w:r>
    </w:p>
  </w:footnote>
  <w:footnote w:id="1">
    <w:p w14:paraId="67D31642" w14:textId="77777777" w:rsidR="00CF3105" w:rsidRPr="00E65674" w:rsidRDefault="00CF3105" w:rsidP="003549B2">
      <w:pPr>
        <w:pStyle w:val="FootnoteText"/>
        <w:ind w:left="567" w:hanging="567"/>
        <w:rPr>
          <w:sz w:val="24"/>
          <w:szCs w:val="24"/>
          <w:lang w:val="da-DK"/>
        </w:rPr>
      </w:pPr>
      <w:r w:rsidRPr="00A652A2">
        <w:rPr>
          <w:rStyle w:val="FootnoteReference"/>
          <w:sz w:val="24"/>
          <w:szCs w:val="24"/>
          <w:lang w:val="pt-PT"/>
        </w:rPr>
        <w:footnoteRef/>
      </w:r>
      <w:r w:rsidR="003549B2" w:rsidRPr="00E65674">
        <w:rPr>
          <w:sz w:val="24"/>
          <w:szCs w:val="24"/>
          <w:lang w:val="da-DK"/>
        </w:rPr>
        <w:t xml:space="preserve"> </w:t>
      </w:r>
      <w:r w:rsidR="003549B2" w:rsidRPr="00E65674">
        <w:rPr>
          <w:sz w:val="24"/>
          <w:szCs w:val="24"/>
          <w:lang w:val="da-DK"/>
        </w:rPr>
        <w:tab/>
      </w:r>
      <w:hyperlink r:id="rId1" w:history="1">
        <w:r w:rsidRPr="00E65674">
          <w:rPr>
            <w:rStyle w:val="Hyperlink"/>
            <w:sz w:val="24"/>
            <w:szCs w:val="24"/>
            <w:lang w:val="da-DK"/>
          </w:rPr>
          <w:t>JO L 29 de 4.2.2016, p. 3</w:t>
        </w:r>
      </w:hyperlink>
      <w:r w:rsidRPr="00E65674">
        <w:rPr>
          <w:sz w:val="24"/>
          <w:szCs w:val="24"/>
          <w:lang w:val="da-DK"/>
        </w:rPr>
        <w:t>.</w:t>
      </w:r>
    </w:p>
  </w:footnote>
  <w:footnote w:id="2">
    <w:p w14:paraId="2809DFA2" w14:textId="77777777" w:rsidR="00CF3105" w:rsidRPr="00E65674" w:rsidRDefault="00CF3105" w:rsidP="003549B2">
      <w:pPr>
        <w:pStyle w:val="FootnoteText"/>
        <w:ind w:left="567" w:hanging="567"/>
        <w:rPr>
          <w:sz w:val="24"/>
          <w:szCs w:val="24"/>
          <w:lang w:val="da-DK"/>
        </w:rPr>
      </w:pPr>
      <w:r w:rsidRPr="00A652A2">
        <w:rPr>
          <w:rStyle w:val="FootnoteReference"/>
          <w:sz w:val="24"/>
          <w:szCs w:val="24"/>
          <w:lang w:val="pt-PT"/>
        </w:rPr>
        <w:footnoteRef/>
      </w:r>
      <w:r w:rsidR="003549B2" w:rsidRPr="00E65674">
        <w:rPr>
          <w:sz w:val="24"/>
          <w:szCs w:val="24"/>
          <w:lang w:val="da-DK"/>
        </w:rPr>
        <w:t xml:space="preserve"> </w:t>
      </w:r>
      <w:r w:rsidR="003549B2" w:rsidRPr="00E65674">
        <w:rPr>
          <w:sz w:val="24"/>
          <w:szCs w:val="24"/>
          <w:lang w:val="da-DK"/>
        </w:rPr>
        <w:tab/>
      </w:r>
      <w:hyperlink r:id="rId2" w:history="1">
        <w:r w:rsidRPr="00E65674">
          <w:rPr>
            <w:rStyle w:val="Hyperlink"/>
            <w:sz w:val="24"/>
            <w:szCs w:val="24"/>
            <w:lang w:val="da-DK"/>
          </w:rPr>
          <w:t>JO L 196 de 28.7.1999, p. 48.</w:t>
        </w:r>
      </w:hyperlink>
    </w:p>
  </w:footnote>
  <w:footnote w:id="3">
    <w:p w14:paraId="1DD514C8" w14:textId="77777777" w:rsidR="00CF3105" w:rsidRPr="00E65674" w:rsidRDefault="00CF3105" w:rsidP="003549B2">
      <w:pPr>
        <w:pStyle w:val="FootnoteText"/>
        <w:ind w:left="567" w:hanging="567"/>
        <w:rPr>
          <w:sz w:val="24"/>
          <w:szCs w:val="24"/>
          <w:lang w:val="da-DK"/>
        </w:rPr>
      </w:pPr>
      <w:r w:rsidRPr="00A652A2">
        <w:rPr>
          <w:rStyle w:val="FootnoteReference"/>
          <w:sz w:val="24"/>
          <w:szCs w:val="24"/>
          <w:lang w:val="pt-PT"/>
        </w:rPr>
        <w:footnoteRef/>
      </w:r>
      <w:r w:rsidR="003549B2" w:rsidRPr="00E65674">
        <w:rPr>
          <w:sz w:val="24"/>
          <w:szCs w:val="24"/>
          <w:lang w:val="da-DK"/>
        </w:rPr>
        <w:t xml:space="preserve"> </w:t>
      </w:r>
      <w:r w:rsidR="003549B2" w:rsidRPr="00E65674">
        <w:rPr>
          <w:sz w:val="24"/>
          <w:szCs w:val="24"/>
          <w:lang w:val="da-DK"/>
        </w:rPr>
        <w:tab/>
      </w:r>
      <w:hyperlink r:id="rId3" w:history="1">
        <w:r w:rsidRPr="00E65674">
          <w:rPr>
            <w:rStyle w:val="Hyperlink"/>
            <w:sz w:val="24"/>
            <w:szCs w:val="24"/>
            <w:shd w:val="clear" w:color="auto" w:fill="FFFFFF"/>
            <w:lang w:val="da-DK"/>
          </w:rPr>
          <w:t>JO L 350 de 29.12.2009, p. 3.</w:t>
        </w:r>
      </w:hyperlink>
    </w:p>
  </w:footnote>
  <w:footnote w:id="4">
    <w:p w14:paraId="128B08B6" w14:textId="77777777" w:rsidR="00CF3105" w:rsidRPr="00E65674" w:rsidRDefault="00CF3105" w:rsidP="003549B2">
      <w:pPr>
        <w:pStyle w:val="FootnoteText"/>
        <w:ind w:left="567" w:hanging="567"/>
        <w:rPr>
          <w:color w:val="0000FF"/>
          <w:sz w:val="24"/>
          <w:szCs w:val="24"/>
          <w:u w:val="single" w:color="0000FF"/>
          <w:lang w:val="da-DK"/>
        </w:rPr>
      </w:pPr>
      <w:r w:rsidRPr="00A652A2">
        <w:rPr>
          <w:rStyle w:val="FootnoteReference"/>
          <w:sz w:val="24"/>
          <w:szCs w:val="24"/>
          <w:lang w:val="pt-PT"/>
        </w:rPr>
        <w:footnoteRef/>
      </w:r>
      <w:r w:rsidR="003549B2" w:rsidRPr="00E65674">
        <w:rPr>
          <w:sz w:val="24"/>
          <w:szCs w:val="24"/>
          <w:lang w:val="da-DK"/>
        </w:rPr>
        <w:t xml:space="preserve"> </w:t>
      </w:r>
      <w:r w:rsidR="003549B2" w:rsidRPr="00E65674">
        <w:rPr>
          <w:sz w:val="24"/>
          <w:szCs w:val="24"/>
          <w:lang w:val="da-DK"/>
        </w:rPr>
        <w:tab/>
      </w:r>
      <w:hyperlink r:id="rId4" w:history="1">
        <w:r w:rsidRPr="00E65674">
          <w:rPr>
            <w:rStyle w:val="Hyperlink"/>
            <w:color w:val="0000FF"/>
            <w:sz w:val="24"/>
            <w:szCs w:val="24"/>
            <w:lang w:val="da-DK"/>
          </w:rPr>
          <w:t>JO L 229 de 31.8.1999, p. 3.</w:t>
        </w:r>
      </w:hyperlink>
    </w:p>
  </w:footnote>
  <w:footnote w:id="5">
    <w:p w14:paraId="7AD9EF9A" w14:textId="77777777" w:rsidR="00CF3105" w:rsidRPr="00A652A2" w:rsidRDefault="00CF3105" w:rsidP="003549B2">
      <w:pPr>
        <w:pStyle w:val="FootnoteText"/>
        <w:ind w:left="567" w:hanging="567"/>
        <w:rPr>
          <w:sz w:val="24"/>
          <w:szCs w:val="24"/>
          <w:lang w:val="pt-PT"/>
        </w:rPr>
      </w:pPr>
      <w:r w:rsidRPr="00A652A2">
        <w:rPr>
          <w:rStyle w:val="FootnoteReference"/>
          <w:sz w:val="24"/>
          <w:szCs w:val="24"/>
          <w:lang w:val="pt-PT"/>
        </w:rPr>
        <w:footnoteRef/>
      </w:r>
      <w:r w:rsidR="003549B2" w:rsidRPr="00A652A2">
        <w:rPr>
          <w:sz w:val="24"/>
          <w:szCs w:val="24"/>
          <w:lang w:val="pt-PT"/>
        </w:rPr>
        <w:t xml:space="preserve"> </w:t>
      </w:r>
      <w:r w:rsidR="003549B2" w:rsidRPr="00A652A2">
        <w:rPr>
          <w:sz w:val="24"/>
          <w:szCs w:val="24"/>
          <w:lang w:val="pt-PT"/>
        </w:rPr>
        <w:tab/>
      </w:r>
      <w:hyperlink r:id="rId5" w:history="1">
        <w:r w:rsidRPr="00E65674">
          <w:rPr>
            <w:rStyle w:val="Hyperlink"/>
            <w:sz w:val="24"/>
            <w:szCs w:val="24"/>
            <w:lang w:val="pt-PT"/>
          </w:rPr>
          <w:t>JO C 404</w:t>
        </w:r>
        <w:r w:rsidRPr="00A652A2">
          <w:rPr>
            <w:rStyle w:val="Hyperlink"/>
            <w:sz w:val="24"/>
            <w:szCs w:val="24"/>
            <w:lang w:val="pt-PT"/>
          </w:rPr>
          <w:t xml:space="preserve"> de 6.10.2021, p. 202.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CC857" w14:textId="77777777" w:rsidR="00064002" w:rsidRPr="003549B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364F1" w14:textId="77777777" w:rsidR="00064002" w:rsidRPr="003549B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657FD0" w14:textId="77777777" w:rsidR="00064002" w:rsidRPr="003549B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7/2023"/>
    <w:docVar w:name="dvlangue" w:val="PT"/>
    <w:docVar w:name="dvnumam" w:val="0"/>
    <w:docVar w:name="dvpe" w:val="752.889"/>
    <w:docVar w:name="dvrapporteur" w:val="Relator: "/>
    <w:docVar w:name="dvtitre" w:val="Resolução do Parlamento Europeu, de ... de ... de 2024,_x000d__x000a_ sobre a Estratégia da UE para a Ásia Central(2023/2106(INI))"/>
  </w:docVars>
  <w:rsids>
    <w:rsidRoot w:val="00BD1F84"/>
    <w:rsid w:val="00002272"/>
    <w:rsid w:val="00064002"/>
    <w:rsid w:val="000677B9"/>
    <w:rsid w:val="000831BA"/>
    <w:rsid w:val="000A42CC"/>
    <w:rsid w:val="000E7DD9"/>
    <w:rsid w:val="0010095E"/>
    <w:rsid w:val="00125B37"/>
    <w:rsid w:val="001572EC"/>
    <w:rsid w:val="00187494"/>
    <w:rsid w:val="001F32AE"/>
    <w:rsid w:val="002767FF"/>
    <w:rsid w:val="002B18FE"/>
    <w:rsid w:val="002B5493"/>
    <w:rsid w:val="00343214"/>
    <w:rsid w:val="003549B2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3717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52A2"/>
    <w:rsid w:val="00A778C7"/>
    <w:rsid w:val="00AB441E"/>
    <w:rsid w:val="00AB6293"/>
    <w:rsid w:val="00AE0928"/>
    <w:rsid w:val="00AF3B82"/>
    <w:rsid w:val="00B12E95"/>
    <w:rsid w:val="00B20452"/>
    <w:rsid w:val="00B22876"/>
    <w:rsid w:val="00B558F0"/>
    <w:rsid w:val="00BD1F84"/>
    <w:rsid w:val="00BD48FE"/>
    <w:rsid w:val="00BD7BD8"/>
    <w:rsid w:val="00BE6ADC"/>
    <w:rsid w:val="00C03AAA"/>
    <w:rsid w:val="00C05BFE"/>
    <w:rsid w:val="00C23CD4"/>
    <w:rsid w:val="00C61C0C"/>
    <w:rsid w:val="00C941CB"/>
    <w:rsid w:val="00CC2357"/>
    <w:rsid w:val="00CF071A"/>
    <w:rsid w:val="00CF3105"/>
    <w:rsid w:val="00D058B8"/>
    <w:rsid w:val="00D56C11"/>
    <w:rsid w:val="00D834A0"/>
    <w:rsid w:val="00D872DF"/>
    <w:rsid w:val="00D91E21"/>
    <w:rsid w:val="00DA7FCD"/>
    <w:rsid w:val="00E365E1"/>
    <w:rsid w:val="00E6567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265CDF"/>
  <w15:chartTrackingRefBased/>
  <w15:docId w15:val="{8D521B36-6016-4B07-A458-0E53B1842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F3105"/>
    <w:pPr>
      <w:spacing w:after="240"/>
      <w:ind w:left="567" w:hanging="567"/>
    </w:pPr>
  </w:style>
  <w:style w:type="paragraph" w:customStyle="1" w:styleId="EPComma">
    <w:name w:val="EPComma"/>
    <w:basedOn w:val="Normal"/>
    <w:rsid w:val="00CF3105"/>
    <w:pPr>
      <w:spacing w:before="480" w:after="240"/>
    </w:pPr>
  </w:style>
  <w:style w:type="character" w:styleId="Hyperlink">
    <w:name w:val="Hyperlink"/>
    <w:basedOn w:val="DefaultParagraphFont"/>
    <w:unhideWhenUsed/>
    <w:rsid w:val="00CF3105"/>
    <w:rPr>
      <w:color w:val="0563C1" w:themeColor="hyperlink"/>
      <w:u w:val="single"/>
    </w:rPr>
  </w:style>
  <w:style w:type="character" w:customStyle="1" w:styleId="BoldItalic">
    <w:name w:val="BoldItalic"/>
    <w:uiPriority w:val="1"/>
    <w:rsid w:val="00CF3105"/>
    <w:rPr>
      <w:b/>
      <w:bCs w:val="0"/>
      <w:i/>
      <w:iCs w:val="0"/>
      <w:strike w:val="0"/>
      <w:dstrike w:val="0"/>
      <w:u w:val="none"/>
      <w:effect w:val="none"/>
    </w:rPr>
  </w:style>
  <w:style w:type="paragraph" w:customStyle="1" w:styleId="Normal12a24b">
    <w:name w:val="Normal12a24b"/>
    <w:basedOn w:val="Normal"/>
    <w:rsid w:val="00CF3105"/>
    <w:pPr>
      <w:snapToGrid w:val="0"/>
      <w:spacing w:before="360" w:after="240"/>
    </w:pPr>
    <w:rPr>
      <w:lang w:eastAsia="en-US"/>
    </w:rPr>
  </w:style>
  <w:style w:type="paragraph" w:customStyle="1" w:styleId="NormalCenter12a">
    <w:name w:val="NormalCenter12a"/>
    <w:basedOn w:val="Normal"/>
    <w:rsid w:val="00CF3105"/>
    <w:pPr>
      <w:spacing w:after="240"/>
      <w:jc w:val="center"/>
    </w:pPr>
  </w:style>
  <w:style w:type="character" w:customStyle="1" w:styleId="NormalHanging12aChar">
    <w:name w:val="NormalHanging12a Char"/>
    <w:basedOn w:val="DefaultParagraphFont"/>
    <w:link w:val="NormalHanging12a"/>
    <w:rsid w:val="00CF3105"/>
    <w:rPr>
      <w:sz w:val="24"/>
      <w:lang w:val="pt-PT"/>
    </w:rPr>
  </w:style>
  <w:style w:type="paragraph" w:styleId="BalloonText">
    <w:name w:val="Balloon Text"/>
    <w:basedOn w:val="Normal"/>
    <w:link w:val="BalloonTextChar"/>
    <w:rsid w:val="005937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93717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E65674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567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65674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656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5674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PT/TXT/?uri=CELEX:22009A1229(01)" TargetMode="External"/><Relationship Id="rId2" Type="http://schemas.openxmlformats.org/officeDocument/2006/relationships/hyperlink" Target="https://eur-lex.europa.eu/legal-content/PT/TXT/?uri=uriserv:OJ.L_.1999.196.01.0048.01.POR&amp;toc=OJ:L:1999:196:TOC" TargetMode="External"/><Relationship Id="rId1" Type="http://schemas.openxmlformats.org/officeDocument/2006/relationships/hyperlink" Target="https://eur-lex.europa.eu/legal-content/PT/TXT/?uri=uriserv:OJ.L_.2016.029.01.0003.01.POR&amp;toc=OJ:L:2016:029:TOC" TargetMode="External"/><Relationship Id="rId5" Type="http://schemas.openxmlformats.org/officeDocument/2006/relationships/hyperlink" Target="https://eur-lex.europa.eu/legal-content/PT/TXT/?uri=OJ:C:2021:404:TOC" TargetMode="External"/><Relationship Id="rId4" Type="http://schemas.openxmlformats.org/officeDocument/2006/relationships/hyperlink" Target="https://eur-lex.europa.eu/legal-content/PT/TXT/?uri=uriserv:OJ.L_.1999.229.01.0003.01.P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7DF1C-8EBE-40E6-AAB5-2A970B51B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6784</Words>
  <Characters>36765</Characters>
  <Application>Microsoft Office Word</Application>
  <DocSecurity>0</DocSecurity>
  <Lines>306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2024-01-17T15:14:00Z</dcterms:created>
  <dcterms:modified xsi:type="dcterms:W3CDTF">2024-01-17T15:14:00Z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A9-0407/2023</vt:lpwstr>
  </property>
  <property fmtid="{D5CDD505-2E9C-101B-9397-08002B2CF9AE}" pid="4" name="&lt;Type&gt;">
    <vt:lpwstr>RR</vt:lpwstr>
  </property>
</Properties>
</file>