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D604F" w:rsidRPr="00844CE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D604F" w:rsidRPr="00844CE7" w:rsidRDefault="003E2271">
            <w:pPr>
              <w:pStyle w:val="EPName"/>
            </w:pPr>
            <w:r w:rsidRPr="00844CE7">
              <w:t>Európsky parlament</w:t>
            </w:r>
          </w:p>
          <w:p w:rsidR="007D604F" w:rsidRPr="00844CE7" w:rsidRDefault="003E227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4CE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D604F" w:rsidRPr="00844CE7" w:rsidRDefault="003E2271">
            <w:pPr>
              <w:pStyle w:val="EPLogo"/>
            </w:pPr>
            <w:r w:rsidRPr="00844CE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D604F" w:rsidRPr="00844CE7" w:rsidRDefault="007D604F">
      <w:pPr>
        <w:pStyle w:val="LineTop"/>
      </w:pPr>
    </w:p>
    <w:p w:rsidR="007D604F" w:rsidRPr="00844CE7" w:rsidRDefault="003E2271">
      <w:pPr>
        <w:pStyle w:val="EPBodyTA1"/>
      </w:pPr>
      <w:r w:rsidRPr="00844CE7">
        <w:t>PRIJATÉ TEXTY</w:t>
      </w:r>
    </w:p>
    <w:p w:rsidR="007D604F" w:rsidRPr="00844CE7" w:rsidRDefault="007D604F">
      <w:pPr>
        <w:pStyle w:val="LineBottom"/>
      </w:pPr>
    </w:p>
    <w:p w:rsidR="007D604F" w:rsidRPr="00844CE7" w:rsidRDefault="003E2271">
      <w:pPr>
        <w:pStyle w:val="ATHeading1"/>
      </w:pPr>
      <w:bookmarkStart w:id="0" w:name="TANumber"/>
      <w:r w:rsidRPr="00844CE7">
        <w:t>P9_TA(2024)00</w:t>
      </w:r>
      <w:r w:rsidR="00F701CC" w:rsidRPr="00844CE7">
        <w:t>27</w:t>
      </w:r>
      <w:bookmarkEnd w:id="0"/>
    </w:p>
    <w:p w:rsidR="007D604F" w:rsidRPr="00844CE7" w:rsidRDefault="003E2271">
      <w:pPr>
        <w:pStyle w:val="ATHeading2"/>
      </w:pPr>
      <w:bookmarkStart w:id="1" w:name="title"/>
      <w:r w:rsidRPr="00844CE7">
        <w:t>Stratégia EÚ pre Strednú Áziu</w:t>
      </w:r>
      <w:bookmarkEnd w:id="1"/>
    </w:p>
    <w:p w:rsidR="007D604F" w:rsidRPr="00844CE7" w:rsidRDefault="003E2271">
      <w:pPr>
        <w:rPr>
          <w:i/>
          <w:vanish/>
        </w:rPr>
      </w:pPr>
      <w:r w:rsidRPr="00844CE7">
        <w:rPr>
          <w:i/>
        </w:rPr>
        <w:fldChar w:fldCharType="begin"/>
      </w:r>
      <w:r w:rsidRPr="00844CE7">
        <w:rPr>
          <w:i/>
        </w:rPr>
        <w:instrText xml:space="preserve"> TC"(</w:instrText>
      </w:r>
      <w:bookmarkStart w:id="2" w:name="DocNumber"/>
      <w:r w:rsidRPr="00844CE7">
        <w:rPr>
          <w:i/>
        </w:rPr>
        <w:instrText>A9-0407/2023</w:instrText>
      </w:r>
      <w:bookmarkEnd w:id="2"/>
      <w:r w:rsidRPr="00844CE7">
        <w:rPr>
          <w:i/>
        </w:rPr>
        <w:instrText xml:space="preserve"> - Spravodajca: </w:instrText>
      </w:r>
      <w:proofErr w:type="spellStart"/>
      <w:r w:rsidRPr="00844CE7">
        <w:rPr>
          <w:i/>
        </w:rPr>
        <w:instrText>Karsten</w:instrText>
      </w:r>
      <w:proofErr w:type="spellEnd"/>
      <w:r w:rsidRPr="00844CE7">
        <w:rPr>
          <w:i/>
        </w:rPr>
        <w:instrText xml:space="preserve"> Lucke)"\l3 \n&gt; \* MERGEFORMAT </w:instrText>
      </w:r>
      <w:r w:rsidRPr="00844CE7">
        <w:rPr>
          <w:i/>
        </w:rPr>
        <w:fldChar w:fldCharType="end"/>
      </w:r>
    </w:p>
    <w:p w:rsidR="007D604F" w:rsidRPr="00844CE7" w:rsidRDefault="003E2271">
      <w:pPr>
        <w:rPr>
          <w:vanish/>
        </w:rPr>
      </w:pPr>
      <w:bookmarkStart w:id="3" w:name="Commission"/>
      <w:r w:rsidRPr="00844CE7">
        <w:rPr>
          <w:vanish/>
        </w:rPr>
        <w:t>Výbor pre zahraničné veci</w:t>
      </w:r>
      <w:bookmarkEnd w:id="3"/>
    </w:p>
    <w:p w:rsidR="007D604F" w:rsidRPr="00844CE7" w:rsidRDefault="003E2271">
      <w:pPr>
        <w:rPr>
          <w:vanish/>
        </w:rPr>
      </w:pPr>
      <w:bookmarkStart w:id="4" w:name="PE"/>
      <w:r w:rsidRPr="00844CE7">
        <w:rPr>
          <w:vanish/>
        </w:rPr>
        <w:t>PE752.889</w:t>
      </w:r>
      <w:bookmarkEnd w:id="4"/>
    </w:p>
    <w:p w:rsidR="007D604F" w:rsidRPr="00844CE7" w:rsidRDefault="003E2271">
      <w:pPr>
        <w:pStyle w:val="ATHeading3"/>
      </w:pPr>
      <w:bookmarkStart w:id="5" w:name="Sujet"/>
      <w:r w:rsidRPr="00844CE7">
        <w:t>Uznesenie Európskeho parlamentu zo 17. januára 2024 o stratégii EÚ pre Strednú Áziu</w:t>
      </w:r>
      <w:bookmarkEnd w:id="5"/>
      <w:r w:rsidRPr="00844CE7">
        <w:t xml:space="preserve"> </w:t>
      </w:r>
      <w:bookmarkStart w:id="6" w:name="References"/>
      <w:r w:rsidRPr="00844CE7">
        <w:t>(2023/2106(INI))</w:t>
      </w:r>
      <w:bookmarkEnd w:id="6"/>
    </w:p>
    <w:p w:rsidR="007D604F" w:rsidRPr="00844CE7" w:rsidRDefault="003E2271">
      <w:pPr>
        <w:pStyle w:val="EPComma"/>
      </w:pPr>
      <w:bookmarkStart w:id="7" w:name="TextBodyBegin"/>
      <w:bookmarkEnd w:id="7"/>
      <w:r w:rsidRPr="00844CE7">
        <w:rPr>
          <w:i/>
          <w:iCs/>
        </w:rPr>
        <w:t>Európsky parlament</w:t>
      </w:r>
      <w:r w:rsidRPr="00844CE7">
        <w:t>,</w:t>
      </w:r>
    </w:p>
    <w:p w:rsidR="007D604F" w:rsidRPr="00844CE7" w:rsidRDefault="003E2271">
      <w:pPr>
        <w:pStyle w:val="NormalHanging12a"/>
      </w:pPr>
      <w:r w:rsidRPr="00844CE7">
        <w:t>–</w:t>
      </w:r>
      <w:r w:rsidRPr="00844CE7">
        <w:tab/>
        <w:t>so zreteľom na spoločné oznámenie Komisie a vysokej predstaviteľky Únie pre zahraničné veci a bezpečnostnú politiku z 15. mája 2019 s názvom EÚ a Stredná Ázia: nové príležitosti na posilnenie partnerstva (JOIN(2019)0009),</w:t>
      </w:r>
    </w:p>
    <w:p w:rsidR="007D604F" w:rsidRPr="00844CE7" w:rsidRDefault="003E2271">
      <w:pPr>
        <w:pStyle w:val="NormalHanging12a"/>
      </w:pPr>
      <w:r w:rsidRPr="00844CE7">
        <w:t>–</w:t>
      </w:r>
      <w:r w:rsidRPr="00844CE7">
        <w:tab/>
        <w:t>so zreteľom na závery Rady zo 17. júna 2019 o novej stratégii EÚ pre Strednú Áziu,</w:t>
      </w:r>
    </w:p>
    <w:p w:rsidR="007D604F" w:rsidRPr="00844CE7" w:rsidRDefault="003E2271">
      <w:pPr>
        <w:pStyle w:val="NormalHanging12a"/>
      </w:pPr>
      <w:r w:rsidRPr="00844CE7">
        <w:t>–</w:t>
      </w:r>
      <w:r w:rsidRPr="00844CE7">
        <w:tab/>
        <w:t>so zreteľom na spoločné oznámenie Komisie a vysokej predstaviteľky Únie pre zahraničné veci a bezpečnostnú politiku z 19. septembra 2018 s názvom Prepájanie Európy a Ázie – základné piliere stratégie EÚ (JOIN(2018)0031),</w:t>
      </w:r>
    </w:p>
    <w:p w:rsidR="007D604F" w:rsidRPr="00844CE7" w:rsidRDefault="003E2271">
      <w:pPr>
        <w:pStyle w:val="NormalHanging12a"/>
      </w:pPr>
      <w:r w:rsidRPr="00844CE7">
        <w:t>–</w:t>
      </w:r>
      <w:r w:rsidRPr="00844CE7">
        <w:tab/>
        <w:t xml:space="preserve">so zreteľom na spoločné oznámenie Komisie a vysokého predstaviteľa Únie pre zahraničné veci a bezpečnostnú politiku z 1. decembra 2021 s názvom </w:t>
      </w:r>
      <w:proofErr w:type="spellStart"/>
      <w:r w:rsidRPr="00844CE7">
        <w:t>Global</w:t>
      </w:r>
      <w:proofErr w:type="spellEnd"/>
      <w:r w:rsidRPr="00844CE7">
        <w:t xml:space="preserve"> </w:t>
      </w:r>
      <w:proofErr w:type="spellStart"/>
      <w:r w:rsidRPr="00844CE7">
        <w:t>Gateway</w:t>
      </w:r>
      <w:proofErr w:type="spellEnd"/>
      <w:r w:rsidRPr="00844CE7">
        <w:t xml:space="preserve"> (JOIN(2021)0030),</w:t>
      </w:r>
    </w:p>
    <w:p w:rsidR="007D604F" w:rsidRPr="00844CE7" w:rsidRDefault="003E2271">
      <w:pPr>
        <w:pStyle w:val="NormalHanging12a"/>
      </w:pPr>
      <w:r w:rsidRPr="00844CE7">
        <w:t>–</w:t>
      </w:r>
      <w:r w:rsidRPr="00844CE7">
        <w:tab/>
        <w:t xml:space="preserve">so zreteľom na výsledky 18. zasadnutia ministrov zahraničných vecí EÚ – Stredná Ázia, ktoré sa konalo 17. novembra 2022 v </w:t>
      </w:r>
      <w:proofErr w:type="spellStart"/>
      <w:r w:rsidRPr="00844CE7">
        <w:t>Samarkande</w:t>
      </w:r>
      <w:proofErr w:type="spellEnd"/>
      <w:r w:rsidRPr="00844CE7">
        <w:t xml:space="preserve"> a ktoré bolo zamerané na hľadanie riešení spoločných výziev,</w:t>
      </w:r>
    </w:p>
    <w:p w:rsidR="007D604F" w:rsidRPr="00844CE7" w:rsidRDefault="003E2271">
      <w:pPr>
        <w:pStyle w:val="NormalHanging12a"/>
      </w:pPr>
      <w:r w:rsidRPr="00844CE7">
        <w:t>–</w:t>
      </w:r>
      <w:r w:rsidRPr="00844CE7">
        <w:tab/>
        <w:t xml:space="preserve">so zreteľom na spoločnú tlačovú správu hláv štátov Strednej Ázie a predsedu Európskej rady vydanú po druhom regionálnom zasadnutí na vysokej úrovni, ktoré sa konalo 2. júna 2023 v </w:t>
      </w:r>
      <w:proofErr w:type="spellStart"/>
      <w:r w:rsidRPr="00844CE7">
        <w:t>Cholpon-Ate</w:t>
      </w:r>
      <w:proofErr w:type="spellEnd"/>
      <w:r w:rsidRPr="00844CE7">
        <w:t>,</w:t>
      </w:r>
    </w:p>
    <w:p w:rsidR="007D604F" w:rsidRPr="00844CE7" w:rsidRDefault="003E2271">
      <w:pPr>
        <w:pStyle w:val="NormalHanging12a"/>
      </w:pPr>
      <w:r w:rsidRPr="00844CE7">
        <w:t>–</w:t>
      </w:r>
      <w:r w:rsidRPr="00844CE7">
        <w:tab/>
        <w:t>so zreteľom na Dohodu o posilnenom partnerstve a spolupráci medzi Európskou úniou a jej členskými štátmi na jednej strane a Kazašskou republikou na strane druhej</w:t>
      </w:r>
      <w:r w:rsidRPr="00844CE7">
        <w:rPr>
          <w:rStyle w:val="FootnoteReference"/>
        </w:rPr>
        <w:footnoteReference w:id="1"/>
      </w:r>
      <w:r w:rsidRPr="00844CE7">
        <w:t>,</w:t>
      </w:r>
    </w:p>
    <w:p w:rsidR="007D604F" w:rsidRPr="00844CE7" w:rsidRDefault="003E2271">
      <w:pPr>
        <w:pStyle w:val="NormalHanging12a"/>
      </w:pPr>
      <w:r w:rsidRPr="00844CE7">
        <w:t>–</w:t>
      </w:r>
      <w:r w:rsidRPr="00844CE7">
        <w:tab/>
        <w:t xml:space="preserve">so zreteľom na Dohodu o partnerstve a spolupráci, ktorou sa zakladá partnerstvo medzi Európskymi spoločenstvami a ich členskými štátmi na jednej strane a Kirgizskou </w:t>
      </w:r>
      <w:r w:rsidRPr="00844CE7">
        <w:lastRenderedPageBreak/>
        <w:t>republikou na strane druhej</w:t>
      </w:r>
      <w:r w:rsidRPr="00844CE7">
        <w:rPr>
          <w:rStyle w:val="FootnoteReference"/>
        </w:rPr>
        <w:footnoteReference w:id="2"/>
      </w:r>
      <w:r w:rsidRPr="00844CE7">
        <w:t>,</w:t>
      </w:r>
    </w:p>
    <w:p w:rsidR="007D604F" w:rsidRPr="00844CE7" w:rsidRDefault="003E2271">
      <w:pPr>
        <w:pStyle w:val="NormalHanging12a"/>
      </w:pPr>
      <w:r w:rsidRPr="00844CE7">
        <w:t>–</w:t>
      </w:r>
      <w:r w:rsidRPr="00844CE7">
        <w:tab/>
        <w:t>so zreteľom na návrh Komisie z 13. júna 2022 na rozhodnutie Rady o uzavretí Posilnenej dohody o partnerstve a spolupráci medzi Európskou úniou na jednej strane a Kirgizskou republikou na strane druhej v mene Európskej únie (COM(2022)0277),</w:t>
      </w:r>
    </w:p>
    <w:p w:rsidR="007D604F" w:rsidRPr="00844CE7" w:rsidRDefault="003E2271">
      <w:pPr>
        <w:pStyle w:val="NormalHanging12a"/>
      </w:pPr>
      <w:r w:rsidRPr="00844CE7">
        <w:t>–</w:t>
      </w:r>
      <w:r w:rsidRPr="00844CE7">
        <w:tab/>
        <w:t>so zreteľom na Dohodu o partnerstve a spolupráci, ktorou sa zakladá partnerstvo medzi Európskymi spoločenstvami a ich členskými štátmi na jednej strane a Tadžickou republikou na strane druhej</w:t>
      </w:r>
      <w:r w:rsidRPr="00844CE7">
        <w:rPr>
          <w:rStyle w:val="FootnoteReference"/>
        </w:rPr>
        <w:footnoteReference w:id="3"/>
      </w:r>
      <w:r w:rsidRPr="00844CE7">
        <w:t>,</w:t>
      </w:r>
    </w:p>
    <w:p w:rsidR="007D604F" w:rsidRPr="00844CE7" w:rsidRDefault="003E2271">
      <w:pPr>
        <w:pStyle w:val="NormalHanging12a"/>
      </w:pPr>
      <w:r w:rsidRPr="00844CE7">
        <w:t>–</w:t>
      </w:r>
      <w:r w:rsidRPr="00844CE7">
        <w:tab/>
        <w:t>so zreteľom na Dohodu o partnerstve a spolupráci, ktorou sa zakladá partnerstvo medzi Európskymi spoločenstvami a ich členskými štátmi na jednej strane a Uzbeckou republikou na strane druhej</w:t>
      </w:r>
      <w:r w:rsidRPr="00844CE7">
        <w:rPr>
          <w:rStyle w:val="FootnoteReference"/>
        </w:rPr>
        <w:footnoteReference w:id="4"/>
      </w:r>
      <w:r w:rsidRPr="00844CE7">
        <w:t>,</w:t>
      </w:r>
    </w:p>
    <w:p w:rsidR="007D604F" w:rsidRPr="00844CE7" w:rsidRDefault="003E2271">
      <w:pPr>
        <w:pStyle w:val="NormalHanging12a"/>
      </w:pPr>
      <w:r w:rsidRPr="00844CE7">
        <w:t>–</w:t>
      </w:r>
      <w:r w:rsidRPr="00844CE7">
        <w:tab/>
        <w:t>so zreteľom na výsledky konferencie EÚ – Stredná Ázia o prepojenosti, ktorá sa konala 18. novembra 2022, druhého hospodárskeho fóra EÚ – Stredná Ázia, ktoré sa konalo 18. – 19. mája 2023, štvrtého fóra občianskej spoločnosti EÚ – Stredná Ázia, ktoré sa konalo 10. marca 2023, a siedmej konferencie EÚ – Stredná Ázia na vysokej úrovni o životnom prostredí a vodných zdrojoch, ktorá sa konala 23. – 24.</w:t>
      </w:r>
      <w:r w:rsidR="007A1899" w:rsidRPr="00844CE7">
        <w:t> </w:t>
      </w:r>
      <w:bookmarkStart w:id="8" w:name="_GoBack"/>
      <w:bookmarkEnd w:id="8"/>
      <w:r w:rsidRPr="00844CE7">
        <w:t>februára 2023,</w:t>
      </w:r>
    </w:p>
    <w:p w:rsidR="007D604F" w:rsidRPr="00844CE7" w:rsidRDefault="003E2271">
      <w:pPr>
        <w:pStyle w:val="NormalHanging12a"/>
      </w:pPr>
      <w:r w:rsidRPr="00844CE7">
        <w:t>–</w:t>
      </w:r>
      <w:r w:rsidRPr="00844CE7">
        <w:tab/>
        <w:t>so zreteľom na štúdiu financovanú EÚ s názvom Udržateľné dopravné spojenia medzi Európou a Strednou Áziou, ktorú vypracovala Európska banka pre obnovu a rozvoj a ktorá bola uverejnená 30. júna 2023,</w:t>
      </w:r>
    </w:p>
    <w:p w:rsidR="007D604F" w:rsidRPr="00844CE7" w:rsidRDefault="003E2271">
      <w:pPr>
        <w:pStyle w:val="NormalHanging12a"/>
      </w:pPr>
      <w:r w:rsidRPr="00844CE7">
        <w:t>–</w:t>
      </w:r>
      <w:r w:rsidRPr="00844CE7">
        <w:tab/>
        <w:t>so zreteľom na memorandum o porozumení medzi EÚ a Kazachstanom o strategickom partnerstve v oblasti surovín, batérií a vodíka z obnoviteľných zdrojov, ktoré bolo podpísané 7. novembra 2022,</w:t>
      </w:r>
    </w:p>
    <w:p w:rsidR="007D604F" w:rsidRPr="00844CE7" w:rsidRDefault="003E2271">
      <w:pPr>
        <w:pStyle w:val="NormalHanging12a"/>
      </w:pPr>
      <w:r w:rsidRPr="00844CE7">
        <w:t>–</w:t>
      </w:r>
      <w:r w:rsidRPr="00844CE7">
        <w:tab/>
        <w:t>so zreteľom na výsledky dialógov o ľudských právach so štátmi Strednej Ázie,</w:t>
      </w:r>
    </w:p>
    <w:p w:rsidR="007D604F" w:rsidRPr="00844CE7" w:rsidRDefault="003E2271">
      <w:pPr>
        <w:pStyle w:val="NormalHanging12a"/>
      </w:pPr>
      <w:r w:rsidRPr="00844CE7">
        <w:t>–</w:t>
      </w:r>
      <w:r w:rsidRPr="00844CE7">
        <w:tab/>
        <w:t>so zreteľom na spoločný plán na prehĺbenie vzťahov medzi EÚ a Strednou Áziou, ktorý bol schválený na 19. ministerskom zasadnutí EÚ – Stredná Ázia, ktoré sa konalo 23. októbra 2023,</w:t>
      </w:r>
    </w:p>
    <w:p w:rsidR="007D604F" w:rsidRPr="00844CE7" w:rsidRDefault="003E2271">
      <w:pPr>
        <w:pStyle w:val="NormalHanging12a"/>
      </w:pPr>
      <w:r w:rsidRPr="00844CE7">
        <w:t>–</w:t>
      </w:r>
      <w:r w:rsidRPr="00844CE7">
        <w:tab/>
        <w:t>so zreteľom na spoločné vyhlásenie hláv štátov Strednej Ázie a nemeckého spolkového kancelára v nadväznosti na samit, ktorý sa konal 29. septembra 2023 v Berlíne,</w:t>
      </w:r>
    </w:p>
    <w:p w:rsidR="007D604F" w:rsidRPr="00844CE7" w:rsidRDefault="003E2271">
      <w:pPr>
        <w:pStyle w:val="NormalHanging12a"/>
      </w:pPr>
      <w:r w:rsidRPr="00844CE7">
        <w:t>–</w:t>
      </w:r>
      <w:r w:rsidRPr="00844CE7">
        <w:tab/>
        <w:t>so zreteľom na svoje predchádzajúce uznesenia o Kazachstane, Kirgizsku, Tadžikistane, Turkménsku a Uzbekistane,</w:t>
      </w:r>
    </w:p>
    <w:p w:rsidR="007D604F" w:rsidRPr="00844CE7" w:rsidRDefault="003E2271">
      <w:pPr>
        <w:pStyle w:val="NormalHanging12a"/>
      </w:pPr>
      <w:r w:rsidRPr="00844CE7">
        <w:t>–</w:t>
      </w:r>
      <w:r w:rsidRPr="00844CE7">
        <w:tab/>
        <w:t>so zreteľom na akčný plán EÚ pre rodovú rovnosť III na roky 2021 – 2025,</w:t>
      </w:r>
    </w:p>
    <w:p w:rsidR="007D604F" w:rsidRPr="00844CE7" w:rsidRDefault="003E2271">
      <w:pPr>
        <w:pStyle w:val="NormalHanging12a"/>
        <w:rPr>
          <w:b/>
          <w:i/>
        </w:rPr>
      </w:pPr>
      <w:r w:rsidRPr="00844CE7">
        <w:rPr>
          <w:b/>
          <w:i/>
        </w:rPr>
        <w:t>–</w:t>
      </w:r>
      <w:r w:rsidRPr="00844CE7">
        <w:rPr>
          <w:b/>
          <w:i/>
        </w:rPr>
        <w:tab/>
      </w:r>
      <w:r w:rsidRPr="00844CE7">
        <w:t>so zreteľom na svoje uznesenie z 23. októbra 2020 o rodovej rovnosti v zahraničnej a bezpečnostnej politike EÚ</w:t>
      </w:r>
      <w:r w:rsidRPr="00844CE7">
        <w:rPr>
          <w:vertAlign w:val="superscript"/>
        </w:rPr>
        <w:footnoteReference w:id="5"/>
      </w:r>
      <w:r w:rsidRPr="00844CE7">
        <w:t>,</w:t>
      </w:r>
    </w:p>
    <w:p w:rsidR="007D604F" w:rsidRPr="00844CE7" w:rsidRDefault="003E2271">
      <w:pPr>
        <w:pStyle w:val="NormalHanging12a"/>
      </w:pPr>
      <w:r w:rsidRPr="00844CE7">
        <w:t>–</w:t>
      </w:r>
      <w:r w:rsidRPr="00844CE7">
        <w:tab/>
        <w:t>so zreteľom na článok 54 rokovacieho poriadku,</w:t>
      </w:r>
    </w:p>
    <w:p w:rsidR="007D604F" w:rsidRPr="00844CE7" w:rsidRDefault="003E2271">
      <w:pPr>
        <w:pStyle w:val="NormalHanging12a"/>
      </w:pPr>
      <w:r w:rsidRPr="00844CE7">
        <w:lastRenderedPageBreak/>
        <w:t>–</w:t>
      </w:r>
      <w:r w:rsidRPr="00844CE7">
        <w:tab/>
        <w:t>so zreteľom na správu Výboru pre zahraničné veci (A9-0407/2023),</w:t>
      </w:r>
    </w:p>
    <w:p w:rsidR="007D604F" w:rsidRPr="00844CE7" w:rsidRDefault="003E2271">
      <w:pPr>
        <w:pStyle w:val="NormalHanging12a"/>
      </w:pPr>
      <w:r w:rsidRPr="00844CE7">
        <w:t>A.</w:t>
      </w:r>
      <w:r w:rsidRPr="00844CE7">
        <w:tab/>
        <w:t xml:space="preserve">keďže od prijatia stratégie EÚ pre Strednú Áziu v roku 2019 bol región ovplyvňovaný významnými vonkajšími faktormi, ako je nezákonná útočná vojna Ruska proti Ukrajine, prevzatie moci Talibanom v Afganistane a čoraz asertívnejšou zahraničnou politikou Číny, a trpel aj vnútornou nestabilitou, najmä násilnými nepokojmi v Kazachstane v januári 2022, násilnými represiami po protestoch v tadžickej autonómnej oblasti Horný </w:t>
      </w:r>
      <w:proofErr w:type="spellStart"/>
      <w:r w:rsidRPr="00844CE7">
        <w:t>Badachšán</w:t>
      </w:r>
      <w:proofErr w:type="spellEnd"/>
      <w:r w:rsidRPr="00844CE7">
        <w:t xml:space="preserve"> v novembri 2021 a máji 2022 a v uzbeckej </w:t>
      </w:r>
      <w:proofErr w:type="spellStart"/>
      <w:r w:rsidRPr="00844CE7">
        <w:t>Karakalpakstanskej</w:t>
      </w:r>
      <w:proofErr w:type="spellEnd"/>
      <w:r w:rsidRPr="00844CE7">
        <w:t xml:space="preserve"> republike v júli 2022 a opakovanými zrážkami na kirgizsko-tadžickej hranici;</w:t>
      </w:r>
    </w:p>
    <w:p w:rsidR="007D604F" w:rsidRPr="00844CE7" w:rsidRDefault="003E2271">
      <w:pPr>
        <w:pStyle w:val="NormalHanging12a"/>
      </w:pPr>
      <w:r w:rsidRPr="00844CE7">
        <w:t>B.</w:t>
      </w:r>
      <w:r w:rsidRPr="00844CE7">
        <w:tab/>
        <w:t>keďže Stredná Ázia je región strategického záujmu EÚ z hľadiska bezpečnosti, prepojenosti, ako aj energetickej diverzifikácie a diverzifikácie zdrojov, riešenia konfliktov a ochrany multilaterálneho medzinárodného poriadku založeného na pravidlách, ktorý spochybnil ruský útok na naše hodnoty, zhoršovanie celosvetovej potravinovej krízy, agresia a brutalita, šírenie dezinformácií, vojensky využiteľná korupcia a zasahovanie do volieb;</w:t>
      </w:r>
    </w:p>
    <w:p w:rsidR="007D604F" w:rsidRPr="00844CE7" w:rsidRDefault="003E2271">
      <w:pPr>
        <w:pStyle w:val="NormalHanging12a"/>
      </w:pPr>
      <w:r w:rsidRPr="00844CE7">
        <w:t>C.</w:t>
      </w:r>
      <w:r w:rsidRPr="00844CE7">
        <w:tab/>
        <w:t>keďže žiadny zo stredoázijských štátov nepodporuje ruskú inváziu na Ukrajinu a neuznáva ukrajinské regióny anektované Ruskom ako súčasť Ruskej federácie;</w:t>
      </w:r>
    </w:p>
    <w:p w:rsidR="007D604F" w:rsidRPr="00844CE7" w:rsidRDefault="003E2271">
      <w:pPr>
        <w:pStyle w:val="NormalHanging12a"/>
      </w:pPr>
      <w:r w:rsidRPr="00844CE7">
        <w:t>D.</w:t>
      </w:r>
      <w:r w:rsidRPr="00844CE7">
        <w:tab/>
        <w:t>keďže 28. marca 2023 osobitný vyslanec EÚ pre sankcie vyzval krajiny v regióne, aby nepomáhali pokusom Moskvy vyhnúť sa sankciám uvaleným na Rusko za jeho agresiu voči Ukrajine;</w:t>
      </w:r>
    </w:p>
    <w:p w:rsidR="007D604F" w:rsidRPr="00844CE7" w:rsidRDefault="003E2271">
      <w:pPr>
        <w:pStyle w:val="NormalHanging12a"/>
      </w:pPr>
      <w:r w:rsidRPr="00844CE7">
        <w:t>E.</w:t>
      </w:r>
      <w:r w:rsidRPr="00844CE7">
        <w:tab/>
        <w:t>keďže ruskí predstavitelia a propagandisti naďalej používajú agresívnu rétoriku proti niektorým stredoázijským štátom, najmä proti Kazachstanu, a spochybňujú jeho územnú celistvosť a národnú identitu;</w:t>
      </w:r>
    </w:p>
    <w:p w:rsidR="007D604F" w:rsidRPr="00844CE7" w:rsidRDefault="003E2271">
      <w:pPr>
        <w:pStyle w:val="NormalHanging12a"/>
      </w:pPr>
      <w:r w:rsidRPr="00844CE7">
        <w:t>F.</w:t>
      </w:r>
      <w:r w:rsidRPr="00844CE7">
        <w:tab/>
        <w:t>keďže okolnosti, ako je izolácia Ruska v dôsledku jeho útočnej vojny proti Ukrajine, posilňovanie obchodných trás cez Strednú Áziu obchádzajúcich Rusko, plánované rozšírenie EÚ vo východnej Európe a rastúci vplyv Číny v regióne si vyžadujú úplné prehodnotenie stratégie EÚ pre Strednú Áziu a aktívnejšiu prítomnosť demokratickej EÚ v regióne ako alternatívy zavedených autokratických aktérov;</w:t>
      </w:r>
    </w:p>
    <w:p w:rsidR="007D604F" w:rsidRPr="00844CE7" w:rsidRDefault="003E2271">
      <w:pPr>
        <w:pStyle w:val="NormalHanging12a"/>
      </w:pPr>
      <w:r w:rsidRPr="00844CE7">
        <w:t>G.</w:t>
      </w:r>
      <w:r w:rsidRPr="00844CE7">
        <w:tab/>
        <w:t xml:space="preserve">keďže je potrebné zaistiť prepojenie medzi Európou a Áziou, ktoré umožní vyhnúť sa ruskému územiu; keďže EÚ má veľký záujem na zavedení účinných obchodných a energetických koridorov medzi Európou a Áziou, ako sa ukázalo na konferencii o prepojení medzi EÚ a Strednou Áziou, ktorá sa konala 18. novembra 2022 v </w:t>
      </w:r>
      <w:proofErr w:type="spellStart"/>
      <w:r w:rsidRPr="00844CE7">
        <w:t>Samarkande</w:t>
      </w:r>
      <w:proofErr w:type="spellEnd"/>
      <w:r w:rsidRPr="00844CE7">
        <w:t>;</w:t>
      </w:r>
    </w:p>
    <w:p w:rsidR="007D604F" w:rsidRPr="00844CE7" w:rsidRDefault="003E2271">
      <w:pPr>
        <w:pStyle w:val="NormalHanging12a"/>
      </w:pPr>
      <w:r w:rsidRPr="00844CE7">
        <w:t>H.</w:t>
      </w:r>
      <w:r w:rsidRPr="00844CE7">
        <w:tab/>
        <w:t xml:space="preserve">keďže všetkých päť stredoázijských štátov ratifikovalo Parížsku dohodu; keďže sú obzvlášť zraniteľné voči dôsledkom zmeny klímy; keďže zlé hospodárenie s vodou a znečistenie veľkých riek na zavlažovanie bavlníkových polí viedli k neefektívnemu využívaniu vodných zdrojov v regióne; keďže ľadovce v Strednej Ázii sa naďalej rýchlo zmenšujú, čo zhoršuje jednu z najzávažnejších vodných kríz na Zemi a vystavuje zraniteľné obyvateľstvo tejto oblasti katastrofálnym zdravotným, ekologickým a sociálnym problémom; keďže časté konflikty súvisiace s vodou a politická nestabilita obmedzujú jednotné plánovanie a efektívne rozdeľovanie vody z cezhraničných riek; keďže geopolitické zmeny v širšom regióne predstavujú príležitosti na zmysluplnejšiu regionálnu spoluprácu; keďže takáto regionálna spolupráca sa ukázala ako účinná v kontexte diplomacie v oblasti vody a riešenia pohraničných sporov a bude ešte </w:t>
      </w:r>
      <w:r w:rsidRPr="00844CE7">
        <w:lastRenderedPageBreak/>
        <w:t xml:space="preserve">dôležitejšia pre riešenie rastúcich cezhraničných hrozieb, ktoré predstavuje zmena klímy; keďže takáto regionálna spolupráca sa v kontexte diplomacie v oblasti vody a riešenia pohraničných sporov ukázala ako účinná a bude ešte dôležitejšia pre riešenie rastúcich cezhraničných hrozieb, ktoré predstavuje zmena klímy; </w:t>
      </w:r>
    </w:p>
    <w:p w:rsidR="007D604F" w:rsidRPr="00844CE7" w:rsidRDefault="003E2271">
      <w:pPr>
        <w:pStyle w:val="NormalHanging12a"/>
      </w:pPr>
      <w:r w:rsidRPr="00844CE7">
        <w:t>I.</w:t>
      </w:r>
      <w:r w:rsidRPr="00844CE7">
        <w:tab/>
        <w:t xml:space="preserve">keďže posilnené dohody o partnerstve a spolupráci (PDPS) sú dohody novej generácie, ktoré predstavujú základný kameň spolupráce EÚ so Strednou Áziou; keďže Kazachstan bol prvým stredoázijským štátom, ktorý podpísal PDPS v roku 2015, ktorá vstúpila do platnosti 1. marca 2020 po tom, čo ju ratifikovali všetky členské štáty, a mala by sa pravidelne preskúmavať; keďže rokovania o dohode o partnerstve a spolupráci medzi EÚ a Kirgizskom boli ukončené 6. júla 2019, ale dohoda stále nebola podpísaná z dôvodu právneho sporu medzi Radou a Komisiou; keďže rokovania o PDPS medzi EÚ a Uzbekistanom boli ukončené 6. júla 2022; keďže začiatkom roka 2023 začali EÚ a Tadžikistan rokovania o PDPS; keďže v roku 1998 bola podpísaná dohoda o partnerstve a spolupráci (DPS) s Turkménskom, ale Parlament nedal súhlas s ratifikáciou dohody, pretože bol hlboko znepokojený krátkodobými kritériami pokroku Turkménska v oblasti ľudských práv a základných slobôd; </w:t>
      </w:r>
    </w:p>
    <w:p w:rsidR="007D604F" w:rsidRPr="00844CE7" w:rsidRDefault="003E2271">
      <w:pPr>
        <w:pStyle w:val="NormalHanging12a"/>
        <w:rPr>
          <w:bCs/>
        </w:rPr>
      </w:pPr>
      <w:r w:rsidRPr="00844CE7">
        <w:t>J.</w:t>
      </w:r>
      <w:r w:rsidRPr="00844CE7">
        <w:tab/>
        <w:t xml:space="preserve">keďže 27. októbra 2022 sa v Astane uskutočnilo prvé stretnutie vedúcich predstaviteľov EÚ a Strednej Ázie, po ktorom nasledovalo druhé stretnutie 2. júna 2023 v </w:t>
      </w:r>
      <w:proofErr w:type="spellStart"/>
      <w:r w:rsidRPr="00844CE7">
        <w:t>Cholpon-Ate</w:t>
      </w:r>
      <w:proofErr w:type="spellEnd"/>
      <w:r w:rsidRPr="00844CE7">
        <w:t xml:space="preserve">; keďže samit vedúcich predstaviteľov je naplánovaný na rok 2024; keďže tieto stretnutia predstavujú ďalšiu </w:t>
      </w:r>
      <w:proofErr w:type="spellStart"/>
      <w:r w:rsidRPr="00844CE7">
        <w:t>inštitucionalizáciu</w:t>
      </w:r>
      <w:proofErr w:type="spellEnd"/>
      <w:r w:rsidRPr="00844CE7">
        <w:t xml:space="preserve"> vzťahov medzi EÚ a Strednou Áziou a dopĺňajú prácu existujúcich regionálnych dialógov a platforiem;</w:t>
      </w:r>
    </w:p>
    <w:p w:rsidR="007D604F" w:rsidRPr="00844CE7" w:rsidRDefault="003E2271">
      <w:pPr>
        <w:pStyle w:val="NormalHanging12a"/>
      </w:pPr>
      <w:r w:rsidRPr="00844CE7">
        <w:t>K.</w:t>
      </w:r>
      <w:r w:rsidRPr="00844CE7">
        <w:tab/>
        <w:t>keďže 19. septembra 2023 sa v New Yorku konal prvý samit C5 + 1 medzi vedúcimi predstaviteľmi Strednej Ázie a prezidentom Spojených štátov; keďže 29. septembra 2023 sa v Berlíne konal samit C5 + Nemecko;</w:t>
      </w:r>
    </w:p>
    <w:p w:rsidR="007D604F" w:rsidRPr="00844CE7" w:rsidRDefault="003E2271">
      <w:pPr>
        <w:pStyle w:val="NormalHanging12a"/>
        <w:rPr>
          <w:bCs/>
        </w:rPr>
      </w:pPr>
      <w:r w:rsidRPr="00844CE7">
        <w:t>L.</w:t>
      </w:r>
      <w:r w:rsidRPr="00844CE7">
        <w:tab/>
        <w:t xml:space="preserve">keďže podľa správy organizácie </w:t>
      </w:r>
      <w:proofErr w:type="spellStart"/>
      <w:r w:rsidRPr="00844CE7">
        <w:t>Freedom</w:t>
      </w:r>
      <w:proofErr w:type="spellEnd"/>
      <w:r w:rsidRPr="00844CE7">
        <w:t xml:space="preserve"> </w:t>
      </w:r>
      <w:proofErr w:type="spellStart"/>
      <w:r w:rsidRPr="00844CE7">
        <w:t>House</w:t>
      </w:r>
      <w:proofErr w:type="spellEnd"/>
      <w:r w:rsidRPr="00844CE7">
        <w:t xml:space="preserve"> o slobode vo svete za rok 2023 má všetkých päť stredoázijských štátov nízke a klesajúce skóre demokracie a sú klasifikované ako autoritárske režimy a ako „neslobodné“; keďže vo svetovom rebríčku slobody tlače za rok 2023 sa zaznamenalo výrazné zhoršenie situácie v oblasti slobody tlače v Strednej Ázii a priemerné skóre pre Strednú Áziu v indexe vnímania korupcie za rok 2022 bolo výrazne pod globálnym priemerom; keďže organizácia Reportéri bez hraníc uvádza početné prípady, keď stredoázijské orgány vyvíjali tlak na svoje médiá, aby „neutrálne“ informovali o ruskej invázii na Ukrajinu, či ju úplne ignorovali; </w:t>
      </w:r>
    </w:p>
    <w:p w:rsidR="007D604F" w:rsidRPr="00844CE7" w:rsidRDefault="003E2271">
      <w:pPr>
        <w:pStyle w:val="NormalHanging12a"/>
        <w:rPr>
          <w:b/>
          <w:i/>
        </w:rPr>
      </w:pPr>
      <w:r w:rsidRPr="00844CE7">
        <w:t>M.</w:t>
      </w:r>
      <w:r w:rsidRPr="00844CE7">
        <w:tab/>
        <w:t xml:space="preserve">keďže Výbor Európskeho parlamentu pre zahraničné veci navštívil 21. – 25. februára 2022 Tadžikistan a Uzbekistan a Kazachstan a Kirgizsko 21. – 25. augusta 2023; keďže jeho delegácia pri Parlamentných výboroch pre spoluprácu EÚ – Kazachstan, EÚ – Kirgizsko, EÚ – Kirgizsko a EÚ – Tadžikistan a pre vzťahy s Turkménskom a Mongolskom udržiava pravidelné </w:t>
      </w:r>
      <w:proofErr w:type="spellStart"/>
      <w:r w:rsidRPr="00844CE7">
        <w:t>medziparlamentné</w:t>
      </w:r>
      <w:proofErr w:type="spellEnd"/>
      <w:r w:rsidRPr="00844CE7">
        <w:t xml:space="preserve"> vzťahy s krajinami Strednej Ázie;</w:t>
      </w:r>
    </w:p>
    <w:p w:rsidR="007D604F" w:rsidRPr="00844CE7" w:rsidRDefault="003E2271">
      <w:pPr>
        <w:pStyle w:val="NormalHanging12a"/>
        <w:rPr>
          <w:b/>
          <w:i/>
        </w:rPr>
      </w:pPr>
      <w:r w:rsidRPr="00844CE7">
        <w:t>N.</w:t>
      </w:r>
      <w:r w:rsidRPr="00844CE7">
        <w:tab/>
        <w:t xml:space="preserve">keďže v Strednej Ázii existujú vážne obavy z </w:t>
      </w:r>
      <w:proofErr w:type="spellStart"/>
      <w:r w:rsidRPr="00844CE7">
        <w:t>radikalizácie</w:t>
      </w:r>
      <w:proofErr w:type="spellEnd"/>
      <w:r w:rsidRPr="00844CE7">
        <w:t>, rastúceho extrémizmu a teroristickej hrozby, pričom do regiónu sa vracia veľmi vysoký počet bývalých bojovníkov ISIS a bezpečnostná situácia v Afganistane je zúfalá;</w:t>
      </w:r>
    </w:p>
    <w:p w:rsidR="007D604F" w:rsidRPr="00844CE7" w:rsidRDefault="003E2271">
      <w:pPr>
        <w:pStyle w:val="NormalHanging12a"/>
        <w:rPr>
          <w:b/>
          <w:i/>
        </w:rPr>
      </w:pPr>
      <w:r w:rsidRPr="00844CE7">
        <w:t>O.</w:t>
      </w:r>
      <w:r w:rsidRPr="00844CE7">
        <w:tab/>
        <w:t>keďže ženy a dievčatá v Strednej Ázii sú aj naďalej vysoko zraniteľné voči zneužívaniu, najmä vzhľadom na vysokú mieru akceptovania násilia páchaného na ženách a nízke povedomie o rodových stereotypoch;</w:t>
      </w:r>
    </w:p>
    <w:p w:rsidR="007D604F" w:rsidRPr="00844CE7" w:rsidRDefault="003E2271">
      <w:pPr>
        <w:pStyle w:val="NormalHanging12a"/>
      </w:pPr>
      <w:r w:rsidRPr="00844CE7">
        <w:lastRenderedPageBreak/>
        <w:t>P.</w:t>
      </w:r>
      <w:r w:rsidRPr="00844CE7">
        <w:tab/>
        <w:t>keďže detské sobáše sú stále v Strednej Ázii bežné, najmä v Kirgizsku a Tadžikistane, kde sa každé ôsme dievča vydá pred dosiahnutím 18 rokov;</w:t>
      </w:r>
    </w:p>
    <w:p w:rsidR="007D604F" w:rsidRPr="00844CE7" w:rsidRDefault="003E2271">
      <w:pPr>
        <w:pStyle w:val="NormalHanging12a"/>
        <w:rPr>
          <w:bCs/>
        </w:rPr>
      </w:pPr>
      <w:r w:rsidRPr="00844CE7">
        <w:rPr>
          <w:rStyle w:val="BoldItalic"/>
        </w:rPr>
        <w:t>Spolupráca EÚ so Strednou Áziou</w:t>
      </w:r>
    </w:p>
    <w:p w:rsidR="007D604F" w:rsidRPr="00844CE7" w:rsidRDefault="003E2271">
      <w:pPr>
        <w:pStyle w:val="NormalHanging12a"/>
      </w:pPr>
      <w:r w:rsidRPr="00844CE7">
        <w:t>1.</w:t>
      </w:r>
      <w:r w:rsidRPr="00844CE7">
        <w:tab/>
        <w:t xml:space="preserve">zdôrazňuje, že EÚ a Stredná Ázia čelia hlbokým globálnym a regionálnym geopolitickým zmenám a výzvam, čo im poskytuje významný impulz na to, aby sa usilovali o dlhodobú, štruktúrovanú a vzájomne prospešnú spoluprácu v záležitostiach spoločného záujmu; dôrazne nabáda EÚ, aby zintenzívnila svoju spoluprácu so Strednou Áziou vzhľadom na </w:t>
      </w:r>
      <w:proofErr w:type="spellStart"/>
      <w:r w:rsidRPr="00844CE7">
        <w:t>geostrategický</w:t>
      </w:r>
      <w:proofErr w:type="spellEnd"/>
      <w:r w:rsidRPr="00844CE7">
        <w:t xml:space="preserve"> význam tohto regiónu a aby podporovala strategické partnerstvo s týmito krajinami rozšírením spolupráce na politickej a hospodárskej úrovni; víta intenzívnejšie kontakty na vysokej úrovni medzi EÚ a Strednou Áziou, najmä stretnutia hláv štátov Strednej Ázie s predsedom Európskej rady, a prácu osobitnej zástupkyne EÚ pre Strednú Áziu; žiada, aby sa v nadväznosti na všetky tieto stretnutia a vyhlásenia na vysokej úrovni prijali konkrétne opatrenia; v tejto súvislosti víta skutočnosť, že prvý samit EÚ – Stredná Ázia je naplánovaný na rok 2024, ako aj schválenie spoločného plánu na prehĺbenie vzťahov medzi EÚ a Strednou Áziou, ktorý slúži ako strategický plán na dosiahnutie pokroku v dialógu a spolupráci v konkrétnych oblastiach vrátane budovania kultúrnej, sociálnej a hospodárskej odolnosti; nabáda EÚ, aby naďalej podporovala politické a hospodárske reformy, ktoré posilňujú právny štát, demokraciu, dobrú správu vecí verejných a dodržiavanie ľudských práv; konštatuje, že Parlament je pripravený podporovať parlamentnú spoluprácu so Strednou Áziou;</w:t>
      </w:r>
    </w:p>
    <w:p w:rsidR="007D604F" w:rsidRPr="00844CE7" w:rsidRDefault="003E2271">
      <w:pPr>
        <w:pStyle w:val="NormalHanging12a"/>
      </w:pPr>
      <w:r w:rsidRPr="00844CE7">
        <w:t>2.</w:t>
      </w:r>
      <w:r w:rsidRPr="00844CE7">
        <w:tab/>
        <w:t xml:space="preserve">konštatuje, že útočná vojna Ruska proti Ukrajine a jeho stále nacionalistickejšie </w:t>
      </w:r>
      <w:proofErr w:type="spellStart"/>
      <w:r w:rsidRPr="00844CE7">
        <w:t>naratívy</w:t>
      </w:r>
      <w:proofErr w:type="spellEnd"/>
      <w:r w:rsidRPr="00844CE7">
        <w:t xml:space="preserve"> oslabili postavenie Ruska v regióne a podnietila Strednú Áziu k spolupráci s inými aktérmi, pričom títo aktéri zintenzívnili svoju spoluprácu so Strednou Áziou; berie tiež na vedomie, že Čína sa v tomto regióne tiež angažuje; zdôrazňuje, že EÚ má teraz príležitosť rozšíriť svoje väzby so Strednou Áziou a zohrávať v tomto regióne významnejšiu úlohu; zdôrazňuje, že EÚ by mala využiť túto príležitosť na podporu vzájomne prospešnej spolupráce a ponúknuť Strednej Ázii partnerstvo, ktoré sa môže stať osobitnou cestou v širšej stratégii EÚ k východným partnerom; domnieva sa, že posilnenie tejto spolupráce by tiež prispelo ako protiváha k vplyvu Ruska v tomto regióne; </w:t>
      </w:r>
    </w:p>
    <w:p w:rsidR="007D604F" w:rsidRPr="00844CE7" w:rsidRDefault="003E2271">
      <w:pPr>
        <w:pStyle w:val="NormalHanging12a"/>
      </w:pPr>
      <w:r w:rsidRPr="00844CE7">
        <w:t>3.</w:t>
      </w:r>
      <w:r w:rsidRPr="00844CE7">
        <w:tab/>
        <w:t>zdôrazňuje význam transatlantickej spolupráce o Strednej Ázii a vyzýva EÚ, aby prevzala iniciatívu pri práci na spoločnej stratégii pre Strednú Áziu s USA, ktorá by mala zahŕňať spoluprácu v oblasti podpory demokracie, investícií a obchodu, hospodárstva a regionálnej bezpečnosti;</w:t>
      </w:r>
    </w:p>
    <w:p w:rsidR="007D604F" w:rsidRPr="00844CE7" w:rsidRDefault="003E2271">
      <w:pPr>
        <w:pStyle w:val="NormalHanging12a"/>
      </w:pPr>
      <w:r w:rsidRPr="00844CE7">
        <w:t>4.</w:t>
      </w:r>
      <w:r w:rsidRPr="00844CE7">
        <w:tab/>
        <w:t>opakuje záväzok EÚ spolupracovať s krajinami Strednej Ázie pri budovaní mieru, stabilnej bezpečnosti, prosperity a udržateľného rozvoja, a to v plnom súlade s medzinárodným právom a zásadami rešpektovania nezávislosti, zvrchovanosti a územnej celistvosti všetkých krajín, nepoužitia sily alebo hrozby jej použitia a mierového urovnávania medzinárodných sporov;</w:t>
      </w:r>
    </w:p>
    <w:p w:rsidR="007D604F" w:rsidRPr="00844CE7" w:rsidRDefault="003E2271">
      <w:pPr>
        <w:pStyle w:val="NormalHanging12a"/>
      </w:pPr>
      <w:r w:rsidRPr="00844CE7">
        <w:t>5.</w:t>
      </w:r>
      <w:r w:rsidRPr="00844CE7">
        <w:tab/>
        <w:t xml:space="preserve">odmieta akékoľvek pokusy smerom k akémukoľvek uľahčeniu medzinárodného uznania separatistického subjektu na okupovanom Cypre vrátane jeho údajného prijatia ako pozorovateľa v Organizácii </w:t>
      </w:r>
      <w:proofErr w:type="spellStart"/>
      <w:r w:rsidRPr="00844CE7">
        <w:t>turkických</w:t>
      </w:r>
      <w:proofErr w:type="spellEnd"/>
      <w:r w:rsidRPr="00844CE7">
        <w:t xml:space="preserve"> štátov; podnecuje dotknuté stredoázijské štáty, aby účinne dodržiavali zásady zvrchovanosti a územnej celistvosti všetkých štátov a neratifikovali pozmenený štatút Organizácie </w:t>
      </w:r>
      <w:proofErr w:type="spellStart"/>
      <w:r w:rsidRPr="00844CE7">
        <w:t>turkických</w:t>
      </w:r>
      <w:proofErr w:type="spellEnd"/>
      <w:r w:rsidRPr="00844CE7">
        <w:t xml:space="preserve"> štátov, ktorým by nadobudlo </w:t>
      </w:r>
      <w:r w:rsidRPr="00844CE7">
        <w:lastRenderedPageBreak/>
        <w:t>účinnosť rozhodnutie udeliť štatút pozorovateľa;</w:t>
      </w:r>
    </w:p>
    <w:p w:rsidR="007D604F" w:rsidRPr="00844CE7" w:rsidRDefault="003E2271">
      <w:pPr>
        <w:pStyle w:val="NormalHanging12a"/>
      </w:pPr>
      <w:r w:rsidRPr="00844CE7">
        <w:t>6.</w:t>
      </w:r>
      <w:r w:rsidRPr="00844CE7">
        <w:tab/>
        <w:t>uznáva, že útočná vojna Ruska proti Ukrajine a jej dôsledky predstavujú výzvy aj príležitosti pre stredoázijské štáty, ktoré tradične udržiavajú úzke vzťahy s Ruskom; zdôrazňuje záujem EÚ na posilnení hospodárskych vzťahov a zintenzívnení politických väzieb s krajinami Strednej Ázie, čiastočne s cieľom minimalizovať obchádzanie sankcií voči Rusku a Bielorusku; zdôrazňuje význam pokračujúcej úzkej spolupráce na sankciách a vyzýva orgány stredoázijských štátov, najmä Kazachstanu, Kirgizska a Uzbekistanu, aby úzko spolupracovali s EÚ, najmä s jej vyslancom pre sankcie, aby sa zintenzívnilo úsilie o prevenciu obchádzania sankcií; odsudzuje, že Rusko najíma migrantov a občanov zo Strednej Ázie na boj na Ukrajine a podporuje opatrenia zamerané na zastavenie tejto praxe; berie na vedomí úsilie jednotlivých stredoázijských štátov o zaistenie toho, aby sa ich územia nevyužívali na obchádzanie sankcií EÚ, víta administratívne opatrenia Kazachstanu a jeho politický záväzok na vysokej úrovni v tejto veci; vyzýva EÚ, aby v stratégii pre Strednú Áziu uplatňovala diferencovaný prístup podľa úrovne spolupráce s EÚ na sankčnej politike voči Rusku; berie na vedomie úlohu, ktorú zohrávajú samé členské štáty pri zabezpečovaní toho, aby vyvážaný tovar, ktorý pravdepodobne stále smeruje do Ruska cez Strednú Áziu, podliehal príslušným preventívnym kontrolám;</w:t>
      </w:r>
    </w:p>
    <w:p w:rsidR="007D604F" w:rsidRPr="00844CE7" w:rsidRDefault="003E2271">
      <w:pPr>
        <w:pStyle w:val="NormalHanging12a"/>
      </w:pPr>
      <w:r w:rsidRPr="00844CE7">
        <w:t>7.</w:t>
      </w:r>
      <w:r w:rsidRPr="00844CE7">
        <w:tab/>
        <w:t xml:space="preserve">domnieva sa, že je potrebné preskúmať stratégiu EÚ – Stredná Ázia s cieľom aktualizovať ju vzhľadom na geopolitické udalosti, ku ktorým došlo v posledných rokoch; opätovne zdôrazňuje kľúčovú úlohu posilnených dohôd o partnerstve a spolupráci ako rámca pre spoluprácu so štátmi Strednej Ázie; so znepokojením konštatuje, že posilnená dohoda o partnerstve a spolupráci s Kirgizskom zostáva nepodpísaná, hoci rokovania boli ukončené v roku 2019; vyzýva Radu a Komisiu, aby rýchlo pokročili v prebiehajúcich rokovaniach o posilnenej dohode o partnerstve s Tadžikistanom a aby vyriešili zostávajúce otázky a bezodkladne podpísali posilnené dohody o partnerstve a spolupráci s Kirgizskom a Uzbekistanom, aby Európsky parlament mohol uplatniť svoje výsady v súvislosti s ratifikáciou týchto dohôd; zdôrazňuje, že nepodpísanie uvedených dohôd po ukončení rokovaní spochybňuje dôveryhodnosť EÚ ako globálneho aktéra; </w:t>
      </w:r>
    </w:p>
    <w:p w:rsidR="007D604F" w:rsidRPr="00844CE7" w:rsidRDefault="003E2271">
      <w:pPr>
        <w:pStyle w:val="NormalHanging12a"/>
      </w:pPr>
      <w:r w:rsidRPr="00844CE7">
        <w:t>8.</w:t>
      </w:r>
      <w:r w:rsidRPr="00844CE7">
        <w:tab/>
        <w:t xml:space="preserve">konštatuje, že v posilnených dohodách o partnerstve a spolupráci so štátmi Strednej Ázie, o ktorých sa doteraz rokovalo, sa kladie veľký dôraz na dodržiavanie demokratických zásad, ľudských práv a zásad právneho štátu; zdôrazňuje význam uplatňovania hľadiska ľudských práv, demokratických hodnôt, rodovej rovnosti, slobodných médií a zelenej transformácie v interakciách s vládami Strednej Ázie; </w:t>
      </w:r>
    </w:p>
    <w:p w:rsidR="007D604F" w:rsidRPr="00844CE7" w:rsidRDefault="003E2271">
      <w:pPr>
        <w:pStyle w:val="Normal12a24b"/>
      </w:pPr>
      <w:r w:rsidRPr="00844CE7">
        <w:rPr>
          <w:rStyle w:val="BoldItalic"/>
        </w:rPr>
        <w:t>Regionálna spolupráca</w:t>
      </w:r>
    </w:p>
    <w:p w:rsidR="007D604F" w:rsidRPr="00844CE7" w:rsidRDefault="003E2271">
      <w:pPr>
        <w:pStyle w:val="NormalHanging12a"/>
      </w:pPr>
      <w:r w:rsidRPr="00844CE7">
        <w:t>9.</w:t>
      </w:r>
      <w:r w:rsidRPr="00844CE7">
        <w:tab/>
        <w:t xml:space="preserve">vyzdvihuje veľký potenciál vzájomne prospešnej spolupráce v oblasti udržateľného rozvoja, konektivity, energetiky, kritických surovín a bezpečnosti, pretože Stredná Ázia je kľúčovým regiónom prepojenia medzi východom a západom; v tejto súvislosti pripomína významné geopolitické dôsledky agresívnej vojny Ruska proti Ukrajine, ktoré oživili stredný koridor nielen ako regionálnu hospodársku zónu, ale aj ako alternatívnu a udržateľnú trasu medzi Áziou a Európou, ktorá neprechádza ruským územím; pripomína, že nový Eurázijský suchozemský most prechádza sankcionovaným ruským a bieloruským územím; zdôrazňuje význam podpory regionálnej integrácie pozdĺž stredného koridoru a konštatuje, že na prilákanie veľmi potrebného financovania </w:t>
      </w:r>
      <w:r w:rsidRPr="00844CE7">
        <w:lastRenderedPageBreak/>
        <w:t xml:space="preserve">projektov infraštruktúry v rámci stratégie </w:t>
      </w:r>
      <w:proofErr w:type="spellStart"/>
      <w:r w:rsidRPr="00844CE7">
        <w:t>Global</w:t>
      </w:r>
      <w:proofErr w:type="spellEnd"/>
      <w:r w:rsidRPr="00844CE7">
        <w:t xml:space="preserve"> </w:t>
      </w:r>
      <w:proofErr w:type="spellStart"/>
      <w:r w:rsidRPr="00844CE7">
        <w:t>Gateway</w:t>
      </w:r>
      <w:proofErr w:type="spellEnd"/>
      <w:r w:rsidRPr="00844CE7">
        <w:t xml:space="preserve"> treba odstrániť prekážky, ktoré v štúdii identifikovala Európska banka pre obnovu a rozvoj; vyzýva Komisiu, aby preskúmala možnosť Európskej investičnej banky podporiť investície do rozvoja infraštruktúry v stredoázijských štátoch, najmä v strednom koridore;</w:t>
      </w:r>
    </w:p>
    <w:p w:rsidR="007D604F" w:rsidRPr="00844CE7" w:rsidRDefault="003E2271">
      <w:pPr>
        <w:pStyle w:val="NormalHanging12a"/>
      </w:pPr>
      <w:r w:rsidRPr="00844CE7">
        <w:t>10.</w:t>
      </w:r>
      <w:r w:rsidRPr="00844CE7">
        <w:tab/>
        <w:t xml:space="preserve">domnieva sa, že politika EÚ voči Strednej Ázii v oblasti energetiky, prepojenosti a diverzifikácie zdrojov by mala byť inšpirovaná Európskou zelenou dohodou a založená na vzájomne prospešných strategických partnerstvách zohľadňujúcich osobitnosti všetkých jednotlivých štátov Strednej Ázie, čím sa zabezpečí ich prístup k moderným technológiám a kvalitným pracovným miestam a zároveň sa zaručí bezpečný a konkurencieschopný prístup EÚ k surovinám a energii; v tejto súvislosti vyjadruje znepokojenie nad vznikom závislosti od Ruska v dôsledku podpísania dohody o zemnom plyne medzi Gazpromom a Uzbekistanom cez Kazachstan; </w:t>
      </w:r>
    </w:p>
    <w:p w:rsidR="007D604F" w:rsidRPr="00844CE7" w:rsidRDefault="003E2271">
      <w:pPr>
        <w:pStyle w:val="NormalHanging12a"/>
      </w:pPr>
      <w:r w:rsidRPr="00844CE7">
        <w:t>11.</w:t>
      </w:r>
      <w:r w:rsidRPr="00844CE7">
        <w:tab/>
        <w:t xml:space="preserve">uznáva kľúčovú úlohu EÚ pri financovaní sektorových reforiem v Strednej Ázii, zlepšovaní jej energetickej účinnosti a znižovaní emisií skleníkových plynov; víta začatie projektu udržateľnej energetickej konektivity v Strednej Ázii (SECCA) v roku 2022 a so záujmom očakáva jeho pozitívny vplyv na posilnenie vnútroštátnych politík prechodu na udržateľný energetický systém a zvýšenie investícií, kapacity a informovanosti v oblasti energie z obnoviteľných zdrojov a energetickej efektívnosti v regióne; </w:t>
      </w:r>
    </w:p>
    <w:p w:rsidR="007D604F" w:rsidRPr="00844CE7" w:rsidRDefault="003E2271">
      <w:pPr>
        <w:pStyle w:val="NormalHanging12a"/>
      </w:pPr>
      <w:r w:rsidRPr="00844CE7">
        <w:t>12.</w:t>
      </w:r>
      <w:r w:rsidRPr="00844CE7">
        <w:tab/>
        <w:t xml:space="preserve">zdôrazňuje význam pozitívneho investičného prostredia pre hospodársky rozvoj Strednej Ázie a obchodu a spolupráce medzi EÚ a Strednou Áziou; zdôrazňuje, že pozitívne investičné prostredie vedúce k vytvoreniu kvalitných pracovných miest s primeranými mzdami a dôstojnými pracovnými podmienkami závisí od stabilných demokratických inštitúcií, dodržiavania ľudských práv a zásad právneho štátu, ako aj od schopnosti podnikov a občianskej spoločnosti uplatňovať náležitú starostlivosť; </w:t>
      </w:r>
    </w:p>
    <w:p w:rsidR="007D604F" w:rsidRPr="00844CE7" w:rsidRDefault="003E2271">
      <w:pPr>
        <w:pStyle w:val="NormalHanging12a"/>
      </w:pPr>
      <w:r w:rsidRPr="00844CE7">
        <w:t>13.</w:t>
      </w:r>
      <w:r w:rsidRPr="00844CE7">
        <w:tab/>
        <w:t>berie na vedomie, že stredoázijské štáty s výnimkou Tadžikistanu dlhodobo udržiavajú vzťahy s Afganistanom a ich postoj k Talibanu, ktorý sa vyvíja pragmaticky od nástupu k moci v roku 2021, pričom ho však neuznávajú; zdôrazňuje, že krajiny v tomto regióne, najmä Pakistan a Čína, ale aj štáty Strednej Ázie zohrávajú kľúčovú úlohu pri zabezpečovaní stability v Afganistane prostredníctvom poskytovania humanitárnej pomoci, elektriny, obchodných príležitostí a spoločných projektov v oblasti konektivity; nabáda osobitného vyslanca EÚ pre Afganistan, aby pokračoval v úzkej spolupráci s partnermi v stredoázijských štátoch v rámci dialógu medzi EÚ a Strednou Áziou o Afganistane; uznáva, že Stredná Ázia je kľúčovou oblasťou na zabránenie šíreniu náboženského extrémizmu, terorizmu a sietí obchodovania s drogami a čelí zvýšenému migračnému tlaku v dôsledku prebiehajúcej humanitárnej krízy v Afganistane; opätovne vyjadruje rozhorčenie nad tým, že Taliban zaobchádza so ženami horšie ako s občanmi druhej kategórie, a vyzýva ESVČ a osobitného vyslanca EÚ pre Afganistan, aby spolupracovali s Turkménskom, Uzbekistanom a Tadžikistanom pri poskytovaní pomoci ženám, ktoré sa snažia utiecť z Afganistanu;</w:t>
      </w:r>
    </w:p>
    <w:p w:rsidR="007D604F" w:rsidRPr="00844CE7" w:rsidRDefault="003E2271">
      <w:pPr>
        <w:pStyle w:val="NormalHanging12a"/>
      </w:pPr>
      <w:r w:rsidRPr="00844CE7">
        <w:t>14.</w:t>
      </w:r>
      <w:r w:rsidRPr="00844CE7">
        <w:tab/>
        <w:t xml:space="preserve">vyzdvihuje úlohu EÚ ako dôležitého darcu pomoci pre tento región; zdôrazňuje, že je dôležité postupovať jednotne ako Tím Európa, pretože to umožňuje vytvárať synergie a maximalizovať vplyv prijatých opatrení a poukazuje na výhody mnohostrannej spolupráce a pretože to spája najlepšie nástroje a partnerov, ako sú organizácie občianskej spoločnosti, obhajcovia ľudských práv, nezávislé médiá a odborníci, verejný a súkromný sektor, s cieľom dosiahnuť zamýšľaný vplyv; zdôrazňuje potrebu </w:t>
      </w:r>
      <w:r w:rsidRPr="00844CE7">
        <w:lastRenderedPageBreak/>
        <w:t>zabezpečiť viditeľnosť pomoci a investícií EÚ a vyzýva na prepojenie pomoci a rozpočtovej podpory EÚ stredoázijským štátom s konkrétnymi kritériami pokroku v oblasti demokratických reforiem, ochrany ľudských práv, právneho štátu a udržateľného rozvoja; zdôrazňuje význam koordinovanej spolupráce s ostatnými partnermi a medzinárodnými organizáciami s cieľom umožniť súčinnosť a zabrániť duplicite;</w:t>
      </w:r>
    </w:p>
    <w:p w:rsidR="007D604F" w:rsidRPr="00844CE7" w:rsidRDefault="003E2271">
      <w:pPr>
        <w:pStyle w:val="NormalHanging12a"/>
      </w:pPr>
      <w:r w:rsidRPr="00844CE7">
        <w:t>15.</w:t>
      </w:r>
      <w:r w:rsidRPr="00844CE7">
        <w:tab/>
        <w:t>konštatuje, že zmena klímy, rastúca populácia a hospodárske potreby zvyšujú tlak na vodné zdroje v Strednej Ázii; zdôrazňuje potrebu užšej regionálnej spolupráce v tejto otázke medzi krajinami na hornom a dolnom toku s cieľom zabrániť konfliktom v súvislosti s distribúciou a využívaním vodných zdrojov; víta regionálne platformy, ako je Medzinárodný fond na záchranu Aralského mora, ktoré podporujú dialóg a spoluprácu medzi stredoázijskými štátmi; pripomína, že EÚ a Stredná Ázia nadviazali dialóg o životnom prostredí s cieľom podporiť stabilizáciu Aralského mora a lepšie riadenie vodných zdrojov; vyzýva na vykonávanie Parížskej dohody o zmene klímy a je pripravený poskytnúť odborné znalosti a spoluprácu na dosiahnutie tohto cieľa;</w:t>
      </w:r>
    </w:p>
    <w:p w:rsidR="007D604F" w:rsidRPr="00844CE7" w:rsidRDefault="003E2271">
      <w:pPr>
        <w:pStyle w:val="NormalHanging12a"/>
      </w:pPr>
      <w:r w:rsidRPr="00844CE7">
        <w:t>16.</w:t>
      </w:r>
      <w:r w:rsidRPr="00844CE7">
        <w:tab/>
        <w:t>zdôrazňuje, že riešenie konfliktov vrátane tých, ktoré sa týkajú distribúcie vody, v súlade s medzinárodným právom a dobrými susedskými vzťahmi, a vyhýbanie sa za každú cenu použitiu alebo hrozbe sily má zásadný význam pre dosiahnutie dlhodobej regionálnej stability, ako aj cieľov udržateľného rozvoja; zdôrazňuje význam vymedzenia a ohraničenia sporných pohraničných oblastí medzi Tadžikistanom a Kirgizskom s cieľom zabrániť ďalším vojenským konfliktom medzi oboma krajinami a víta kroky, ktoré v tejto súvislosti prijali obe strany; opakuje ponuku EÚ podporovať mierové urovnanie konfliktu prostredníctvom technickej pomoci a opatrení na budovanie dôvery; víta vyriešenie otázky vymedzenia hraníc medzi Kirgizskom a Uzbekistanom v januári 2023; opakuje, že EÚ sa zaviazala k nešíreniu zbraní hromadného ničenia v tejto oblasti;</w:t>
      </w:r>
    </w:p>
    <w:p w:rsidR="007D604F" w:rsidRPr="00844CE7" w:rsidRDefault="003E2271">
      <w:pPr>
        <w:pStyle w:val="Normal12a24b"/>
      </w:pPr>
      <w:r w:rsidRPr="00844CE7">
        <w:rPr>
          <w:rStyle w:val="BoldItalic"/>
        </w:rPr>
        <w:t xml:space="preserve">Demokracia a ľudské práva </w:t>
      </w:r>
    </w:p>
    <w:p w:rsidR="007D604F" w:rsidRPr="00844CE7" w:rsidRDefault="003E2271">
      <w:pPr>
        <w:pStyle w:val="NormalHanging12a"/>
      </w:pPr>
      <w:r w:rsidRPr="00844CE7">
        <w:t>17.</w:t>
      </w:r>
      <w:r w:rsidRPr="00844CE7">
        <w:tab/>
        <w:t>trvá na tom, že dodržiavanie ľudských práv a medzinárodných záväzkov je dôležité pre vzťahy EÚ so Strednou Áziou; naliehavo žiada stredoázijské štáty, aby dodržiavali svoje záväzky v oblasti demokracie a ľudských práv, pričom poznamenáva, že je to aj v súlade s dohodami o partnerstve a spolupráci a so všeobecným systémom preferencií plus (VSP+); zdôrazňuje, že je dôležité viesť pravidelné dialógy o ľudských právach so stredoázijskými štátmi, pretože sú nástrojom na podporu dodržiavania ľudských práv, základných slobôd a politického pluralizmu a fórom na riešenie problematických otázok; vyzýva delegácie EÚ a zastúpenia členských štátov v Strednej Ázii, aby naďalej zohrávali aktívnu úlohu pri monitorovaní situácie na mieste, spolupracovali s obhajcami ľudských práv a reagovali na porušovanie ľudských práv a politicky motivované prenasledovanie, a to aj účasťou na súdnych procesoch a návštevami politických väzňov; nabáda na spoluprácu so zmluvnými orgánmi OSN a osobitnými postupmi, ako aj na multilaterálnych fórach pre ľudské práva, ako je Rada OSN pre ľudské práva;</w:t>
      </w:r>
    </w:p>
    <w:p w:rsidR="007D604F" w:rsidRPr="00844CE7" w:rsidRDefault="003E2271">
      <w:pPr>
        <w:pStyle w:val="NormalHanging12a"/>
      </w:pPr>
      <w:r w:rsidRPr="00844CE7">
        <w:t>18.</w:t>
      </w:r>
      <w:r w:rsidRPr="00844CE7">
        <w:tab/>
        <w:t xml:space="preserve">vyjadruje znepokojenie nad nedostatočnou zodpovednosťou za závažné porušovanie ľudských práv vo veľkom rozsahu, a to aj vtedy, keď orgány využívajú prísne opatrenia na ukončenie masových protestov a následných nepokojov počas takzvaných januárových udalostí v Kazachstane, ako aj v autonómnej oblasti Horný </w:t>
      </w:r>
      <w:proofErr w:type="spellStart"/>
      <w:r w:rsidRPr="00844CE7">
        <w:t>Badachšán</w:t>
      </w:r>
      <w:proofErr w:type="spellEnd"/>
      <w:r w:rsidRPr="00844CE7">
        <w:t xml:space="preserve"> v Tadžikistane a v </w:t>
      </w:r>
      <w:proofErr w:type="spellStart"/>
      <w:r w:rsidRPr="00844CE7">
        <w:t>Karakalpakstane</w:t>
      </w:r>
      <w:proofErr w:type="spellEnd"/>
      <w:r w:rsidRPr="00844CE7">
        <w:t xml:space="preserve"> v Uzbekistane; vyzýva orgány vo všetkých piatich štátoch Strednej Ázie, aby prijali účinné opatrenia na začatie nezávislého a dôkladného </w:t>
      </w:r>
      <w:r w:rsidRPr="00844CE7">
        <w:lastRenderedPageBreak/>
        <w:t>vyšetrovania všetkých obvinení z mučenia a zlého zaobchádzania a iného závažného porušovania ľudských práv, a aby predchádzali využívaniu nadmernej sily policajnými a bezpečnostnými zložkami; vyzýva vlády štátov Strednej Ázie, aby uskutočnili reformy súdnictva s cieľom zabezpečiť väčšiu nezávislosť a transparentnosť;</w:t>
      </w:r>
    </w:p>
    <w:p w:rsidR="007D604F" w:rsidRPr="00844CE7" w:rsidRDefault="003E2271">
      <w:pPr>
        <w:pStyle w:val="NormalHanging12a"/>
      </w:pPr>
      <w:r w:rsidRPr="00844CE7">
        <w:t>19.</w:t>
      </w:r>
      <w:r w:rsidRPr="00844CE7">
        <w:tab/>
        <w:t>zdôrazňuje zásadné demokratické nedostatky v Strednej Ázii, pokiaľ ide o demokratickú správu vecí verejných, právny štát a ochranu ľudských práv, ktoré stále pretrvávajú a vo viacerých ohľadoch sa zhoršili; zdôrazňuje, že sú potrebné transparentnejšie, otvorenejšie a spravodlivejšie volebné procesy pre všetkých politických aktérov; zdôrazňuje dôležitú úlohu, ktorú môže zohrávať občianska spoločnosť pri podpore a presadzovaní demokratických reforiem, dobrej správy a ochrany ľudských práv v Strednej Ázii; vyjadruje poľutovanie nad reštriktívnym prístupom pri legislatívnych iniciatívach týkajúcich sa mimovládnych organizácií a médií, ktoré obmedzujú priestor pre činnosti občianskej spoločnosti; vyzýva štáty Strednej Ázie, aby podnikli zmysluplné kroky na riešenie týchto nedostatkov, uplatňovali príslušné dohovory Medzinárodnej organizácie práce a zabezpečili dodržiavanie svojich medzinárodných záväzkov, pokiaľ ide o demokratickú správu vecí verejných a ochranu ľudských práv, pričom poznamenáva, že sa k tomu zaviazali v rámci DPS s EÚ, PDPS a v VSP+; konštatuje, že stredoázijské štáty majú mladé a dynamické obyvateľstvo, ktoré by malo dostať príležitosť na zmysluplné zapojenie do formovania budúcnosti svojej krajiny; víta činnosti fóra občianskej spoločnosti EÚ – Stredná Ázia a vyzýva EÚ, aby posilnila svoju podporu občianskej spoločnosti;</w:t>
      </w:r>
    </w:p>
    <w:p w:rsidR="007D604F" w:rsidRPr="00844CE7" w:rsidRDefault="003E2271">
      <w:pPr>
        <w:pStyle w:val="NormalHanging12a"/>
      </w:pPr>
      <w:r w:rsidRPr="00844CE7">
        <w:t>20.</w:t>
      </w:r>
      <w:r w:rsidRPr="00844CE7">
        <w:tab/>
        <w:t xml:space="preserve">konštatuje, že treba zvýšiť odolnosť Strednej Ázie proti dezinformáciám podporou nezávislých médií a obsahu v miestnych jazykoch, zvyšovaním mediálnej gramotnosti a organizovaním cielených kurzov pre miestnych novinárov; zdôrazňuje potrebu posilniť nezávislosť a pluralitu a slobodu médií a slobodu prejavu v Strednej Ázii v súlade s najvyššími demokratickými normami; požaduje väčšiu transparentnosť vlastníctva médií a financovania s cieľom posilniť nezávislosť a pluralitu médií; vyjadruje poľutovanie nad tým, že stredoázijské orgány využili boj proti dezinformáciám na obmedzenie legitímneho uplatňovania slobody prejavu, a to aj tým, že obviňujú osoby </w:t>
      </w:r>
      <w:proofErr w:type="spellStart"/>
      <w:r w:rsidRPr="00844CE7">
        <w:t>poukazujúce</w:t>
      </w:r>
      <w:proofErr w:type="spellEnd"/>
      <w:r w:rsidRPr="00844CE7">
        <w:t xml:space="preserve"> na korupciu, nespravodlivosť a zneužívanie zo strany vlády z údajného šírenia „falošných“ informácií, podnecovania k „nesúhlasu“ a podpory „extrémizmu“; vyjadruje znepokojenie nad rastúcim počtom zatknutých novinárov a blogerov a nad hrozbami zákazu činnosti nezávislých médií; trvá na tom, že treba zabezpečiť dodržiavanie práv novinárov, nezávislých blogerov a obhajcov ľudských práv a občianskych a environmentálnych aktivistov, zaručiť ich ochranu pred obťažovaním, nátlakom a hrozbami a vyšetriť všetky útoky proti nim, ako aj okamžite a bezpodmienečne prepustiť všetky nespravodlivo zadržiavané a väznené osoby; odsudzuje počet nedávnych vládnych iniciatív s cieľom ukončiť činnosť nezávislých mediálnych služieb a zablokovať prístup na ich stránky v Tadžikistane a Kirgizsku, ako aj návrh zákona o médiách, o ktorom sa v súčasnosti uvažuje v Kirgizsku a Kazachstane, čo môže zvýšiť štátnu kontrolu nad mediálnymi činnosťami;</w:t>
      </w:r>
    </w:p>
    <w:p w:rsidR="007D604F" w:rsidRPr="00844CE7" w:rsidRDefault="003E2271">
      <w:pPr>
        <w:pStyle w:val="NormalHanging12a"/>
      </w:pPr>
      <w:r w:rsidRPr="00844CE7">
        <w:t>21.</w:t>
      </w:r>
      <w:r w:rsidRPr="00844CE7">
        <w:tab/>
        <w:t xml:space="preserve">vyzýva orgány štátov Strednej Ázie, aby prepustili všetkých politických väzňov; osobitne vyzýva orgány Kazachstanu, aby prepustili tieto osoby: </w:t>
      </w:r>
      <w:proofErr w:type="spellStart"/>
      <w:r w:rsidRPr="00844CE7">
        <w:t>Aigerim</w:t>
      </w:r>
      <w:proofErr w:type="spellEnd"/>
      <w:r w:rsidRPr="00844CE7">
        <w:t xml:space="preserve"> </w:t>
      </w:r>
      <w:proofErr w:type="spellStart"/>
      <w:r w:rsidRPr="00844CE7">
        <w:t>Tleužan</w:t>
      </w:r>
      <w:proofErr w:type="spellEnd"/>
      <w:r w:rsidRPr="00844CE7">
        <w:t xml:space="preserve">, </w:t>
      </w:r>
      <w:proofErr w:type="spellStart"/>
      <w:r w:rsidRPr="00844CE7">
        <w:t>Marat</w:t>
      </w:r>
      <w:proofErr w:type="spellEnd"/>
      <w:r w:rsidRPr="00844CE7">
        <w:t xml:space="preserve"> </w:t>
      </w:r>
      <w:proofErr w:type="spellStart"/>
      <w:r w:rsidRPr="00844CE7">
        <w:t>Žilanbajev</w:t>
      </w:r>
      <w:proofErr w:type="spellEnd"/>
      <w:r w:rsidRPr="00844CE7">
        <w:t xml:space="preserve">, </w:t>
      </w:r>
      <w:proofErr w:type="spellStart"/>
      <w:r w:rsidRPr="00844CE7">
        <w:t>Bekižan</w:t>
      </w:r>
      <w:proofErr w:type="spellEnd"/>
      <w:r w:rsidRPr="00844CE7">
        <w:t xml:space="preserve"> </w:t>
      </w:r>
      <w:proofErr w:type="spellStart"/>
      <w:r w:rsidRPr="00844CE7">
        <w:t>Mendygazijev</w:t>
      </w:r>
      <w:proofErr w:type="spellEnd"/>
      <w:r w:rsidRPr="00844CE7">
        <w:t xml:space="preserve">, </w:t>
      </w:r>
      <w:proofErr w:type="spellStart"/>
      <w:r w:rsidRPr="00844CE7">
        <w:t>Timur</w:t>
      </w:r>
      <w:proofErr w:type="spellEnd"/>
      <w:r w:rsidRPr="00844CE7">
        <w:t xml:space="preserve"> </w:t>
      </w:r>
      <w:proofErr w:type="spellStart"/>
      <w:r w:rsidRPr="00844CE7">
        <w:t>Danebajev</w:t>
      </w:r>
      <w:proofErr w:type="spellEnd"/>
      <w:r w:rsidRPr="00844CE7">
        <w:t xml:space="preserve">, </w:t>
      </w:r>
      <w:proofErr w:type="spellStart"/>
      <w:r w:rsidRPr="00844CE7">
        <w:t>Kairat</w:t>
      </w:r>
      <w:proofErr w:type="spellEnd"/>
      <w:r w:rsidRPr="00844CE7">
        <w:t xml:space="preserve"> </w:t>
      </w:r>
      <w:proofErr w:type="spellStart"/>
      <w:r w:rsidRPr="00844CE7">
        <w:t>Klyšev</w:t>
      </w:r>
      <w:proofErr w:type="spellEnd"/>
      <w:r w:rsidRPr="00844CE7">
        <w:t xml:space="preserve">; vyzýva orgány Kirgizka, aby prepustili tieto osoby: </w:t>
      </w:r>
      <w:proofErr w:type="spellStart"/>
      <w:r w:rsidRPr="00844CE7">
        <w:t>Azimbek</w:t>
      </w:r>
      <w:proofErr w:type="spellEnd"/>
      <w:r w:rsidRPr="00844CE7">
        <w:t xml:space="preserve"> </w:t>
      </w:r>
      <w:proofErr w:type="spellStart"/>
      <w:r w:rsidRPr="00844CE7">
        <w:t>Beknazarov</w:t>
      </w:r>
      <w:proofErr w:type="spellEnd"/>
      <w:r w:rsidRPr="00844CE7">
        <w:t xml:space="preserve">, </w:t>
      </w:r>
      <w:proofErr w:type="spellStart"/>
      <w:r w:rsidRPr="00844CE7">
        <w:t>Aibek</w:t>
      </w:r>
      <w:proofErr w:type="spellEnd"/>
      <w:r w:rsidRPr="00844CE7">
        <w:t xml:space="preserve"> </w:t>
      </w:r>
      <w:proofErr w:type="spellStart"/>
      <w:r w:rsidRPr="00844CE7">
        <w:t>Buzurmankulov</w:t>
      </w:r>
      <w:proofErr w:type="spellEnd"/>
      <w:r w:rsidRPr="00844CE7">
        <w:t xml:space="preserve">, </w:t>
      </w:r>
      <w:proofErr w:type="spellStart"/>
      <w:r w:rsidRPr="00844CE7">
        <w:t>Aidanbek</w:t>
      </w:r>
      <w:proofErr w:type="spellEnd"/>
      <w:r w:rsidRPr="00844CE7">
        <w:t xml:space="preserve"> </w:t>
      </w:r>
      <w:proofErr w:type="spellStart"/>
      <w:r w:rsidRPr="00844CE7">
        <w:t>Akmatov</w:t>
      </w:r>
      <w:proofErr w:type="spellEnd"/>
      <w:r w:rsidRPr="00844CE7">
        <w:t xml:space="preserve">, </w:t>
      </w:r>
      <w:proofErr w:type="spellStart"/>
      <w:r w:rsidRPr="00844CE7">
        <w:t>Temir</w:t>
      </w:r>
      <w:proofErr w:type="spellEnd"/>
      <w:r w:rsidRPr="00844CE7">
        <w:t xml:space="preserve"> </w:t>
      </w:r>
      <w:proofErr w:type="spellStart"/>
      <w:r w:rsidRPr="00844CE7">
        <w:t>Machmudov</w:t>
      </w:r>
      <w:proofErr w:type="spellEnd"/>
      <w:r w:rsidRPr="00844CE7">
        <w:t xml:space="preserve">, </w:t>
      </w:r>
      <w:proofErr w:type="spellStart"/>
      <w:r w:rsidRPr="00844CE7">
        <w:t>Marat</w:t>
      </w:r>
      <w:proofErr w:type="spellEnd"/>
      <w:r w:rsidRPr="00844CE7">
        <w:t xml:space="preserve"> </w:t>
      </w:r>
      <w:proofErr w:type="spellStart"/>
      <w:r w:rsidRPr="00844CE7">
        <w:t>Bajazov</w:t>
      </w:r>
      <w:proofErr w:type="spellEnd"/>
      <w:r w:rsidRPr="00844CE7">
        <w:t xml:space="preserve">; vyzýva orgány Uzbekistanu, aby prepustili tieto osoby: </w:t>
      </w:r>
      <w:proofErr w:type="spellStart"/>
      <w:r w:rsidRPr="00844CE7">
        <w:t>Dauletmurat</w:t>
      </w:r>
      <w:proofErr w:type="spellEnd"/>
      <w:r w:rsidRPr="00844CE7">
        <w:t xml:space="preserve"> </w:t>
      </w:r>
      <w:proofErr w:type="spellStart"/>
      <w:r w:rsidRPr="00844CE7">
        <w:t>Tažimuratov</w:t>
      </w:r>
      <w:proofErr w:type="spellEnd"/>
      <w:r w:rsidRPr="00844CE7">
        <w:t xml:space="preserve">, </w:t>
      </w:r>
      <w:proofErr w:type="spellStart"/>
      <w:r w:rsidRPr="00844CE7">
        <w:t>Allabai</w:t>
      </w:r>
      <w:proofErr w:type="spellEnd"/>
      <w:r w:rsidRPr="00844CE7">
        <w:t xml:space="preserve"> </w:t>
      </w:r>
      <w:proofErr w:type="spellStart"/>
      <w:r w:rsidRPr="00844CE7">
        <w:t>Tokymbetov</w:t>
      </w:r>
      <w:proofErr w:type="spellEnd"/>
      <w:r w:rsidRPr="00844CE7">
        <w:t xml:space="preserve">, </w:t>
      </w:r>
      <w:proofErr w:type="spellStart"/>
      <w:r w:rsidRPr="00844CE7">
        <w:t>Nurlan</w:t>
      </w:r>
      <w:proofErr w:type="spellEnd"/>
      <w:r w:rsidRPr="00844CE7">
        <w:t xml:space="preserve"> </w:t>
      </w:r>
      <w:proofErr w:type="spellStart"/>
      <w:r w:rsidRPr="00844CE7">
        <w:t>Naijpov</w:t>
      </w:r>
      <w:proofErr w:type="spellEnd"/>
      <w:r w:rsidRPr="00844CE7">
        <w:t xml:space="preserve">, </w:t>
      </w:r>
      <w:proofErr w:type="spellStart"/>
      <w:r w:rsidRPr="00844CE7">
        <w:t>Amirbek</w:t>
      </w:r>
      <w:proofErr w:type="spellEnd"/>
      <w:r w:rsidRPr="00844CE7">
        <w:t xml:space="preserve"> </w:t>
      </w:r>
      <w:proofErr w:type="spellStart"/>
      <w:r w:rsidRPr="00844CE7">
        <w:t>Adilbekov</w:t>
      </w:r>
      <w:proofErr w:type="spellEnd"/>
      <w:r w:rsidRPr="00844CE7">
        <w:t xml:space="preserve">; vyzýva orgány Tadžikistanu, aby </w:t>
      </w:r>
      <w:r w:rsidRPr="00844CE7">
        <w:lastRenderedPageBreak/>
        <w:t xml:space="preserve">prepustili tieto osoby: </w:t>
      </w:r>
      <w:proofErr w:type="spellStart"/>
      <w:r w:rsidRPr="00844CE7">
        <w:t>Faromuz</w:t>
      </w:r>
      <w:proofErr w:type="spellEnd"/>
      <w:r w:rsidRPr="00844CE7">
        <w:t xml:space="preserve"> </w:t>
      </w:r>
      <w:proofErr w:type="spellStart"/>
      <w:r w:rsidRPr="00844CE7">
        <w:t>Irgašov</w:t>
      </w:r>
      <w:proofErr w:type="spellEnd"/>
      <w:r w:rsidRPr="00844CE7">
        <w:t xml:space="preserve">, </w:t>
      </w:r>
      <w:proofErr w:type="spellStart"/>
      <w:r w:rsidRPr="00844CE7">
        <w:t>Ulfatchonim</w:t>
      </w:r>
      <w:proofErr w:type="spellEnd"/>
      <w:r w:rsidRPr="00844CE7">
        <w:t xml:space="preserve"> </w:t>
      </w:r>
      <w:proofErr w:type="spellStart"/>
      <w:r w:rsidRPr="00844CE7">
        <w:t>Mamadshojeva</w:t>
      </w:r>
      <w:proofErr w:type="spellEnd"/>
      <w:r w:rsidRPr="00844CE7">
        <w:t xml:space="preserve">, </w:t>
      </w:r>
      <w:proofErr w:type="spellStart"/>
      <w:r w:rsidRPr="00844CE7">
        <w:t>Chursand</w:t>
      </w:r>
      <w:proofErr w:type="spellEnd"/>
      <w:r w:rsidRPr="00844CE7">
        <w:t xml:space="preserve"> </w:t>
      </w:r>
      <w:proofErr w:type="spellStart"/>
      <w:r w:rsidRPr="00844CE7">
        <w:t>Mamadshojev</w:t>
      </w:r>
      <w:proofErr w:type="spellEnd"/>
      <w:r w:rsidRPr="00844CE7">
        <w:t xml:space="preserve">, </w:t>
      </w:r>
      <w:proofErr w:type="spellStart"/>
      <w:r w:rsidRPr="00844CE7">
        <w:t>Chušruz</w:t>
      </w:r>
      <w:proofErr w:type="spellEnd"/>
      <w:r w:rsidRPr="00844CE7">
        <w:t xml:space="preserve"> </w:t>
      </w:r>
      <w:proofErr w:type="spellStart"/>
      <w:r w:rsidRPr="00844CE7">
        <w:t>Djumaev</w:t>
      </w:r>
      <w:proofErr w:type="spellEnd"/>
      <w:r w:rsidRPr="00844CE7">
        <w:t xml:space="preserve">; vyzýva orgány Turkménska, aby prepustili tieto osoby: </w:t>
      </w:r>
      <w:proofErr w:type="spellStart"/>
      <w:r w:rsidRPr="00844CE7">
        <w:t>Omruzak</w:t>
      </w:r>
      <w:proofErr w:type="spellEnd"/>
      <w:r w:rsidRPr="00844CE7">
        <w:t xml:space="preserve"> </w:t>
      </w:r>
      <w:proofErr w:type="spellStart"/>
      <w:r w:rsidRPr="00844CE7">
        <w:t>Omarkuljev</w:t>
      </w:r>
      <w:proofErr w:type="spellEnd"/>
      <w:r w:rsidRPr="00844CE7">
        <w:t xml:space="preserve">, </w:t>
      </w:r>
      <w:proofErr w:type="spellStart"/>
      <w:r w:rsidRPr="00844CE7">
        <w:t>Murat</w:t>
      </w:r>
      <w:proofErr w:type="spellEnd"/>
      <w:r w:rsidRPr="00844CE7">
        <w:t xml:space="preserve"> </w:t>
      </w:r>
      <w:proofErr w:type="spellStart"/>
      <w:r w:rsidRPr="00844CE7">
        <w:t>Dušemov</w:t>
      </w:r>
      <w:proofErr w:type="spellEnd"/>
      <w:r w:rsidRPr="00844CE7">
        <w:t xml:space="preserve">, </w:t>
      </w:r>
      <w:proofErr w:type="spellStart"/>
      <w:r w:rsidRPr="00844CE7">
        <w:t>Murat</w:t>
      </w:r>
      <w:proofErr w:type="spellEnd"/>
      <w:r w:rsidRPr="00844CE7">
        <w:t xml:space="preserve"> </w:t>
      </w:r>
      <w:proofErr w:type="spellStart"/>
      <w:r w:rsidRPr="00844CE7">
        <w:t>Ovezov</w:t>
      </w:r>
      <w:proofErr w:type="spellEnd"/>
      <w:r w:rsidRPr="00844CE7">
        <w:t xml:space="preserve">, </w:t>
      </w:r>
      <w:proofErr w:type="spellStart"/>
      <w:r w:rsidRPr="00844CE7">
        <w:t>Mansur</w:t>
      </w:r>
      <w:proofErr w:type="spellEnd"/>
      <w:r w:rsidRPr="00844CE7">
        <w:t xml:space="preserve"> </w:t>
      </w:r>
      <w:proofErr w:type="spellStart"/>
      <w:r w:rsidRPr="00844CE7">
        <w:t>Mingelov</w:t>
      </w:r>
      <w:proofErr w:type="spellEnd"/>
      <w:r w:rsidRPr="00844CE7">
        <w:t xml:space="preserve">, </w:t>
      </w:r>
      <w:proofErr w:type="spellStart"/>
      <w:r w:rsidRPr="00844CE7">
        <w:t>Nurgeldy</w:t>
      </w:r>
      <w:proofErr w:type="spellEnd"/>
      <w:r w:rsidRPr="00844CE7">
        <w:t xml:space="preserve"> </w:t>
      </w:r>
      <w:proofErr w:type="spellStart"/>
      <w:r w:rsidRPr="00844CE7">
        <w:t>Chalykov</w:t>
      </w:r>
      <w:proofErr w:type="spellEnd"/>
      <w:r w:rsidRPr="00844CE7">
        <w:t>;</w:t>
      </w:r>
    </w:p>
    <w:p w:rsidR="007D604F" w:rsidRPr="00844CE7" w:rsidRDefault="003E2271">
      <w:pPr>
        <w:pStyle w:val="NormalHanging12a"/>
      </w:pPr>
      <w:r w:rsidRPr="00844CE7">
        <w:t>22.</w:t>
      </w:r>
      <w:r w:rsidRPr="00844CE7">
        <w:tab/>
        <w:t xml:space="preserve">vyjadruje znepokojenie nad tým, že hoci je rodová rovnosť údajne chránená zákonom vo všetkých krajinách, rodovo motivované násilie, domáce násilie, manželstvá detí, diskriminácia a obťažovanie etnických a náboženských menšín a LGBTIQ osôb sú v Strednej Ázii stále rozšírené; naliehavo vyzýva vlády Strednej Ázie, aby zabránili tomuto porušovaniu ľudských práv prostredníctvom vhodných zákonov a opatrení vrátane zvyšovania informovanosti a kvalifikácie verejných úradníkov, najmä príslušníkov polície, posilnenia schopnosti organizácií občianskej spoločnosti obhajovať legislatívne zmeny, zlepšenia podporných služieb v prvej línii pre osoby, ktoré prežili, a zvyšovania informovanosti s cieľom bojovať proti existujúcim stereotypom a presadzovať rovnosť v spoločnosti; vyjadruje znepokojenie nad tým, že </w:t>
      </w:r>
      <w:proofErr w:type="spellStart"/>
      <w:r w:rsidRPr="00844CE7">
        <w:t>kriminalizácia</w:t>
      </w:r>
      <w:proofErr w:type="spellEnd"/>
      <w:r w:rsidRPr="00844CE7">
        <w:t xml:space="preserve"> LGBTIQ osôb je naďalej pretrváva, vo väčšine krajín chýbajú základné antidiskriminačné právne predpisy, proti lesbám sa používa nápravné znásilnenie a chýbajú bezpečné priestory na stretnutia LGBTIQ osôb, pričom prebiehajú razie v baroch a spoločenských priestoroch a rozrastá sa policajná brutalita; zdôrazňuje, že každá stratégia EÚ pre Strednú Áziu musí byť v súlade s akčným plánom EÚ pre rodovú rovnosť III;</w:t>
      </w:r>
    </w:p>
    <w:p w:rsidR="007D604F" w:rsidRPr="00844CE7" w:rsidRDefault="003E2271">
      <w:pPr>
        <w:pStyle w:val="NormalHanging12a"/>
      </w:pPr>
      <w:r w:rsidRPr="00844CE7">
        <w:t>23.</w:t>
      </w:r>
      <w:r w:rsidRPr="00844CE7">
        <w:tab/>
        <w:t xml:space="preserve">opätovne vyjadruje znepokojenie nad rastúcou korupciou a </w:t>
      </w:r>
      <w:proofErr w:type="spellStart"/>
      <w:r w:rsidRPr="00844CE7">
        <w:t>kleptokraciou</w:t>
      </w:r>
      <w:proofErr w:type="spellEnd"/>
      <w:r w:rsidRPr="00844CE7">
        <w:t xml:space="preserve"> v Strednej Ázii, ktorá narúša dôveru vo vládu, podnecuje nerovnosť, pripravuje občanov o verejné služby a spomaľuje hospodársky rast; vyzýva vlády Strednej Ázie, aby nielen využívali rozšírenú protikorupčnú rétoriky, ale aby aj prijali konkrétne opatrenia a konečne sa zaviazali bojovať proti korupcii a </w:t>
      </w:r>
      <w:proofErr w:type="spellStart"/>
      <w:r w:rsidRPr="00844CE7">
        <w:t>kleptokracii</w:t>
      </w:r>
      <w:proofErr w:type="spellEnd"/>
      <w:r w:rsidRPr="00844CE7">
        <w:t xml:space="preserve"> a prijať národné stratégie zamerané na integrovaný prístup k prevencii a potláčaniu korupcie ako aj zvýšiť transparentnosť a prístup k informáciám a obmedziť súkromný vplyv;</w:t>
      </w:r>
    </w:p>
    <w:p w:rsidR="007D604F" w:rsidRPr="00844CE7" w:rsidRDefault="003E2271">
      <w:pPr>
        <w:pStyle w:val="NormalHanging12a"/>
      </w:pPr>
      <w:r w:rsidRPr="00844CE7">
        <w:t>24.</w:t>
      </w:r>
      <w:r w:rsidRPr="00844CE7">
        <w:tab/>
        <w:t>zdôrazňuje, že EÚ by mala využiť svoj pozitívny obraz v Strednej Ázii a viac sa angažovať v kultúrnej a verejnej diplomacii; zasadzuje sa za posilnenie vzťahov a zvýšenie príležitostí na spoluprácu medzi európskymi a stredoázijskými inštitúciami, ako aj za podporu medziľudských kontaktov a mobility, poskytovanie príležitostí v oblasti vzdelávania a vedy, ako napríklad výmeny na akademickej úrovni prostredníctvom programov Erasmus+ a Horizont 2020 a zvyšovanie udržateľného cestovného ruchu;</w:t>
      </w:r>
    </w:p>
    <w:p w:rsidR="007D604F" w:rsidRPr="00844CE7" w:rsidRDefault="003E2271">
      <w:pPr>
        <w:pStyle w:val="NormalHanging12a"/>
      </w:pPr>
      <w:r w:rsidRPr="00844CE7">
        <w:t>25.</w:t>
      </w:r>
      <w:r w:rsidRPr="00844CE7">
        <w:tab/>
        <w:t>berie na vedomie ochotu štátov Strednej Ázie začať dialóg s EÚ o liberalizácii vízového režimu a vyzýva Komisiu, aby zintenzívnila konzultácie o vypracovaní cielených a komplexných reformných plánov pre štáty Strednej Ázie s cieľom pripraviť pôdu pre dohody o zjednodušení vízového režimu a readmisii;</w:t>
      </w:r>
    </w:p>
    <w:p w:rsidR="007D604F" w:rsidRPr="00844CE7" w:rsidRDefault="003E2271">
      <w:pPr>
        <w:pStyle w:val="NormalHanging12a"/>
        <w:rPr>
          <w:b/>
          <w:i/>
        </w:rPr>
      </w:pPr>
      <w:r w:rsidRPr="00844CE7">
        <w:rPr>
          <w:b/>
          <w:i/>
        </w:rPr>
        <w:t>Dvojstranná spolupráca</w:t>
      </w:r>
    </w:p>
    <w:p w:rsidR="007D604F" w:rsidRPr="00844CE7" w:rsidRDefault="003E2271">
      <w:pPr>
        <w:pStyle w:val="NormalHanging12a"/>
      </w:pPr>
      <w:r w:rsidRPr="00844CE7">
        <w:t>26.</w:t>
      </w:r>
      <w:r w:rsidRPr="00844CE7">
        <w:tab/>
        <w:t xml:space="preserve">konštatuje, že Kazachstan je prvým štátom Strednej Ázie, ktorý ratifikoval posilnenú dohodu o partnerstve a spolupráci, ktorá poskytuje pevný základ pre rozšírenie spolupráce v kľúčových oblastiach spoločného záujmu, ako sú prepojenosť, energetická efektívnosť, ekologické hospodárstvo a digitalizácia; víta podpísanie Memoranda o porozumení medzi Kazašskou republikou a EÚ o strategickom partnerstve v oblasti udržateľných surovín, batérií a hodnotových reťazcov vodíka z obnoviteľných zdrojov; </w:t>
      </w:r>
      <w:r w:rsidRPr="00844CE7">
        <w:lastRenderedPageBreak/>
        <w:t xml:space="preserve">vyzýva kazašské orgány, aby pokračovali vo vykonávaní politických a hospodárskych reforiem, ktoré by mali posilniť demokraciu, právny štát a dobrú správu; zdôrazňuje, že vykonávanie vízie „spravodlivého Kazachstanu“ musí zaručiť dodržiavanie ľudských práv a slobôd prejavu, združovania a zhromažďovania a zlepšenie volebného rámca v súlade s odporúčaniami Úradu OBSE pre demokratické inštitúcie a ľudské práva; vyzýva kazašské orgány, aby ukončili vyšetrovanie udalostí z januára 2022, zverejnili svoje zistenia a zabezpečili spravodlivosť pre obete mučenia; berie na vedomie potenciálne prínosy intenzívnejších medziľudských výmen s Kazachstanom prostredníctvom dohody o zjednodušení vízového režimu, o ktorej sa začalo konzultovať </w:t>
      </w:r>
      <w:r w:rsidR="0000445B" w:rsidRPr="00844CE7">
        <w:t xml:space="preserve">v </w:t>
      </w:r>
      <w:r w:rsidRPr="00844CE7">
        <w:t>máji 2023;</w:t>
      </w:r>
    </w:p>
    <w:p w:rsidR="007D604F" w:rsidRPr="00844CE7" w:rsidRDefault="003E2271">
      <w:pPr>
        <w:pStyle w:val="NormalHanging12a"/>
      </w:pPr>
      <w:r w:rsidRPr="00844CE7">
        <w:t>27.</w:t>
      </w:r>
      <w:r w:rsidRPr="00844CE7">
        <w:tab/>
        <w:t>zdôrazňuje, že nadchádzajúce podpisovanie dohody o partnerstve a spolupráci a prebiehajúce vykonávanie systému VSP+ kladú ďalší dôraz na potrebu zabezpečiť dodržiavanie ľudských práv a základných slobôd v Kirgizsku v súlade s jeho medzinárodnými záväzkami; so znepokojením berie na vedomie zhoršenie demokratických noriem a ľudských práv v posledných rokoch, pričom Kirgizsko sa považovalo za najdemokratickejšiu krajinu v regióne s dynamickou občianskou spoločnosťou a slobodnými médiami; vyjadruje znepokojenie nad prenasledovaním politickej opozície, okrem iného zástupcov strany Sociálni demokrati, a negatívnym vplyvom legislatívnych iniciatív zameraných na činnosti nezávislých médií a občianskej spoločnosti, najmä zákona o „falošných informáciách“ a návrhov zákonov o „zahraničných zástupcoch“, „masových médiách“ a „ochrane detí pred škodlivými informáciami“, a nad rastúcim počtom súdnych konaní proti obhajcom ľudských práv, pracovníkom médií a novinárom, ako aj médiám; vyzýva EÚ, aby aj naďalej podporovala občiansku spoločnosť a nezávislé médiá;</w:t>
      </w:r>
    </w:p>
    <w:p w:rsidR="007D604F" w:rsidRPr="00844CE7" w:rsidRDefault="003E2271">
      <w:pPr>
        <w:pStyle w:val="NormalHanging12a"/>
      </w:pPr>
      <w:r w:rsidRPr="00844CE7">
        <w:t>28.</w:t>
      </w:r>
      <w:r w:rsidRPr="00844CE7">
        <w:tab/>
        <w:t xml:space="preserve">konštatuje, že začatie rokovaní o dohode o partnerstve a spolupráci s Tadžikistanom je príležitosťou na rozšírenie rozsahu bilaterálnej spolupráce a výmen; zdôrazňuje, že je potrebné pokračovať v úzkej spolupráci v bezpečnostných otázkach, keďže Afganistan je naďalej zdrojom nestability a bezpečnostných obáv v dôsledku tvrdej vlády Talibanu a prebiehajúcej humanitárnej krízy v krajine; opakuje, že legitímny boj proti terorizmu a násilnému extrémizmu by sa nemal používať ako zámienka na potlačenie opozičnej činnosti, oslabovanie slobody prejavu alebo obmedzenie nezávislosti súdnictva; víta záujem Tadžikistanu o pripojenie sa k systému VSP+, ktorý môže podporiť udržateľný hospodársky rast a posilniť obchod, a vyžaduje účinné vykonávanie medzinárodných noriem v oblasti ľudských a pracovných práv; vyzýva Tadžikistan, aby zlepšil ochranu ľudských práv a základných slobôd, najmä slobody prejavu, a aby zastavil zastrašovanie a prenasledovanie pracovníkov médií, obhajcov ľudských práv, nezávislých právnikov a občianskej spoločnosti, ako aj represie voči pamírskej menšine v Hornom </w:t>
      </w:r>
      <w:proofErr w:type="spellStart"/>
      <w:r w:rsidRPr="00844CE7">
        <w:t>Badachšáne</w:t>
      </w:r>
      <w:proofErr w:type="spellEnd"/>
      <w:r w:rsidRPr="00844CE7">
        <w:t>;</w:t>
      </w:r>
    </w:p>
    <w:p w:rsidR="007D604F" w:rsidRPr="00844CE7" w:rsidRDefault="003E2271">
      <w:pPr>
        <w:pStyle w:val="NormalHanging12a"/>
        <w:rPr>
          <w:i/>
          <w:u w:val="single"/>
        </w:rPr>
      </w:pPr>
      <w:r w:rsidRPr="00844CE7">
        <w:t>29.</w:t>
      </w:r>
      <w:r w:rsidRPr="00844CE7">
        <w:tab/>
        <w:t xml:space="preserve">konštatuje, že Turkménsko zostáva jedinou stredoázijskou krajinou bez DPS s EÚ, čo obmedzuje priestor na bilaterálne vzťahy; zdôrazňuje, že Turkménsko musí preukázať zlepšenie svojej zúfalej situácie v oblasti demokracie a ľudských práv, aby mohol Európsky parlament prehodnotiť svoju pozíciu a ratifikoval DPS; naliehavo vyzýva vládu Turkménska, aby </w:t>
      </w:r>
      <w:proofErr w:type="spellStart"/>
      <w:r w:rsidRPr="00844CE7">
        <w:t>dekriminalizovala</w:t>
      </w:r>
      <w:proofErr w:type="spellEnd"/>
      <w:r w:rsidRPr="00844CE7">
        <w:t xml:space="preserve"> konsenzuálne sexuálne vzťahy medzi mužmi; konštatuje, že by malo byť v záujme Turkménska otvoriť sa, aby nebol krajinou, ktorá je v regióne na okraji a má len obmedzené možnosti spolupráce; uznáva potenciál vzájomne prospešnej spolupráce v oblastiach, ako sú energetika, prepojenosť a obchod a víta záujem Turkménska dodávať plyn do Európy prostredníctvom výstavby </w:t>
      </w:r>
      <w:proofErr w:type="spellStart"/>
      <w:r w:rsidRPr="00844CE7">
        <w:t>transkaspického</w:t>
      </w:r>
      <w:proofErr w:type="spellEnd"/>
      <w:r w:rsidRPr="00844CE7">
        <w:t xml:space="preserve"> plynovodu;</w:t>
      </w:r>
    </w:p>
    <w:p w:rsidR="007D604F" w:rsidRPr="00844CE7" w:rsidRDefault="003E2271">
      <w:pPr>
        <w:pStyle w:val="NormalHanging12a"/>
        <w:rPr>
          <w:i/>
          <w:u w:val="single"/>
        </w:rPr>
      </w:pPr>
      <w:r w:rsidRPr="00844CE7">
        <w:lastRenderedPageBreak/>
        <w:t>30.</w:t>
      </w:r>
      <w:r w:rsidRPr="00844CE7">
        <w:tab/>
        <w:t xml:space="preserve">berie na vedomie ohlásené reformy v Uzbekistane zamerané na dosiahnutie skutočnej zmeny v krajine, pokiaľ ide o sociálno-ekonomický rozvoj, efektívnu správu, nezávislejší súdny systém a dodržiavanie ľudských práv a základných slobôd; zdôrazňuje, že ústavná reforma je príležitosťou na posilnenie právneho štátu a poskytnutie pevného právneho základu na reformy; opakuje však svoje hlboké znepokojenie nad zlými výsledkami Uzbekistanu v oblasti demokracie, slobody médií, ľudských práv a právneho štátu vrátane brutálneho zásahu proti protestu v </w:t>
      </w:r>
      <w:proofErr w:type="spellStart"/>
      <w:r w:rsidRPr="00844CE7">
        <w:t>Karakalpakstane</w:t>
      </w:r>
      <w:proofErr w:type="spellEnd"/>
      <w:r w:rsidRPr="00844CE7">
        <w:t xml:space="preserve"> a obmedzovania slobody združovania pre mimovládne organizácie a politické strany, a nad prenasledovaním novinárov, nezávislých blogerov, tvorcov obsahu a obhajcov ľudských práv; pripomína orgánom, že je dôležité dodržiavať slobodu prejavu, a to tak online, ako aj </w:t>
      </w:r>
      <w:proofErr w:type="spellStart"/>
      <w:r w:rsidRPr="00844CE7">
        <w:t>offline</w:t>
      </w:r>
      <w:proofErr w:type="spellEnd"/>
      <w:r w:rsidRPr="00844CE7">
        <w:t xml:space="preserve">, slobodu zhromažďovania, slobodu združovania a nezávislosť médií; víta niektoré pozoruhodné zlepšenia v oblasti práv žien v Uzbekistane; naliehavo vyzýva vládu Uzbekistanu, aby </w:t>
      </w:r>
      <w:proofErr w:type="spellStart"/>
      <w:r w:rsidRPr="00844CE7">
        <w:t>dekriminalizovala</w:t>
      </w:r>
      <w:proofErr w:type="spellEnd"/>
      <w:r w:rsidRPr="00844CE7">
        <w:t xml:space="preserve"> konsenzuálne sexuálne vzťahy medzi mužmi; víta ukončenie rokovaní o dohode o partnerstve a spolupráci medzi EÚ a Uzbekistanom a opakuje svoju výzvu na urýchlené dokončenie právnych a technických postupov potrebných na podpísanie dohody o partnerstve a spolupráci; víta vedúcu úlohu Uzbekistanu pri podpore regionálnej spolupráce v rôznych oblastiach vrátane prepojenosti a využívania vodných zdrojov; </w:t>
      </w:r>
    </w:p>
    <w:p w:rsidR="007D604F" w:rsidRPr="00844CE7" w:rsidRDefault="003E2271">
      <w:pPr>
        <w:pStyle w:val="NormalCenter12a"/>
      </w:pPr>
      <w:r w:rsidRPr="00844CE7">
        <w:t>°</w:t>
      </w:r>
    </w:p>
    <w:p w:rsidR="007D604F" w:rsidRPr="00844CE7" w:rsidRDefault="003E2271">
      <w:pPr>
        <w:pStyle w:val="NormalCenter12a"/>
      </w:pPr>
      <w:r w:rsidRPr="00844CE7">
        <w:t>°</w:t>
      </w:r>
      <w:r w:rsidRPr="00844CE7">
        <w:tab/>
        <w:t>°</w:t>
      </w:r>
    </w:p>
    <w:p w:rsidR="007D604F" w:rsidRPr="00844CE7" w:rsidRDefault="003E2271">
      <w:pPr>
        <w:pStyle w:val="NormalHanging12a"/>
        <w:ind w:left="560" w:hanging="560"/>
      </w:pPr>
      <w:r w:rsidRPr="00844CE7">
        <w:t>31.</w:t>
      </w:r>
      <w:r w:rsidRPr="00844CE7">
        <w:tab/>
        <w:t>poveruje svoju predsedníčku, aby postúpila toto uznesenie Rade, Komisii a podpredsedovi Komisie/vysokému predstaviteľovi Únie pre zahraničné veci a bezpečnostnú politiku a prezidentom, vládam a parlamentom Kazachstanu, Kirgizska, Tadžikistanu, Turkménska a Uzbekistanu.</w:t>
      </w:r>
    </w:p>
    <w:p w:rsidR="007D604F" w:rsidRPr="00844CE7" w:rsidRDefault="007D604F">
      <w:pPr>
        <w:pStyle w:val="NormalHanging12a"/>
        <w:ind w:left="560" w:hanging="560"/>
      </w:pPr>
    </w:p>
    <w:sectPr w:rsidR="007D604F" w:rsidRPr="00844C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04F" w:rsidRDefault="003E2271">
      <w:r>
        <w:separator/>
      </w:r>
    </w:p>
  </w:endnote>
  <w:endnote w:type="continuationSeparator" w:id="0">
    <w:p w:rsidR="007D604F" w:rsidRDefault="003E2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04F" w:rsidRDefault="007D604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04F" w:rsidRDefault="007D604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04F" w:rsidRDefault="007D604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04F" w:rsidRDefault="003E2271">
      <w:r>
        <w:separator/>
      </w:r>
    </w:p>
  </w:footnote>
  <w:footnote w:type="continuationSeparator" w:id="0">
    <w:p w:rsidR="007D604F" w:rsidRDefault="003E2271">
      <w:r>
        <w:continuationSeparator/>
      </w:r>
    </w:p>
  </w:footnote>
  <w:footnote w:id="1">
    <w:p w:rsidR="007D604F" w:rsidRDefault="003E227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1" w:history="1">
        <w:r>
          <w:rPr>
            <w:rStyle w:val="Hyperlink"/>
            <w:sz w:val="24"/>
            <w:lang w:val="sk-SK"/>
          </w:rPr>
          <w:t>Ú. v. EÚ L 29, 4.2.2016, s. 3</w:t>
        </w:r>
      </w:hyperlink>
      <w:r>
        <w:rPr>
          <w:sz w:val="24"/>
          <w:lang w:val="sk-SK"/>
        </w:rPr>
        <w:t>.</w:t>
      </w:r>
    </w:p>
  </w:footnote>
  <w:footnote w:id="2">
    <w:p w:rsidR="007D604F" w:rsidRDefault="003E227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="007A1899">
        <w:fldChar w:fldCharType="begin"/>
      </w:r>
      <w:r w:rsidR="007A1899" w:rsidRPr="007A1899">
        <w:rPr>
          <w:lang w:val="es-ES"/>
        </w:rPr>
        <w:instrText xml:space="preserve"> HYPERLINK "https://eur-lex.europa.eu/legal-content/EN/TXT/?uri=uriserv:OJ.L_.1999.196.01.0048.01.ENG&amp;toc=OJ:L:1999:196:TOC" </w:instrText>
      </w:r>
      <w:r w:rsidR="007A1899">
        <w:fldChar w:fldCharType="separate"/>
      </w:r>
      <w:r>
        <w:rPr>
          <w:rStyle w:val="Hyperlink"/>
          <w:sz w:val="24"/>
          <w:lang w:val="sk-SK"/>
        </w:rPr>
        <w:t>Ú. v. ES L 196, 28.7.1999, s. 48.</w:t>
      </w:r>
      <w:r w:rsidR="007A1899">
        <w:rPr>
          <w:rStyle w:val="Hyperlink"/>
          <w:sz w:val="24"/>
          <w:lang w:val="sk-SK"/>
        </w:rPr>
        <w:fldChar w:fldCharType="end"/>
      </w:r>
    </w:p>
  </w:footnote>
  <w:footnote w:id="3">
    <w:p w:rsidR="007D604F" w:rsidRDefault="003E227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="007A1899">
        <w:fldChar w:fldCharType="begin"/>
      </w:r>
      <w:r w:rsidR="007A1899" w:rsidRPr="007A1899">
        <w:rPr>
          <w:lang w:val="es-ES"/>
        </w:rPr>
        <w:instrText xml:space="preserve"> HYPERLINK "https://eur-lex.europa.eu/legal-content/SK/TXT/?uri=CELEX:22009A1229(01)" </w:instrText>
      </w:r>
      <w:r w:rsidR="007A1899">
        <w:fldChar w:fldCharType="separate"/>
      </w:r>
      <w:r>
        <w:rPr>
          <w:rStyle w:val="Hyperlink"/>
          <w:sz w:val="24"/>
          <w:shd w:val="clear" w:color="auto" w:fill="FFFFFF"/>
          <w:lang w:val="sk-SK"/>
        </w:rPr>
        <w:t>Ú. v. EÚ L 350, 29.12.2009, s. 3.</w:t>
      </w:r>
      <w:r w:rsidR="007A1899">
        <w:rPr>
          <w:rStyle w:val="Hyperlink"/>
          <w:sz w:val="24"/>
          <w:shd w:val="clear" w:color="auto" w:fill="FFFFFF"/>
          <w:lang w:val="sk-SK"/>
        </w:rPr>
        <w:fldChar w:fldCharType="end"/>
      </w:r>
    </w:p>
  </w:footnote>
  <w:footnote w:id="4">
    <w:p w:rsidR="007D604F" w:rsidRDefault="003E2271">
      <w:pPr>
        <w:pStyle w:val="FootnoteText"/>
        <w:ind w:left="567" w:hanging="567"/>
        <w:rPr>
          <w:color w:val="0000FF"/>
          <w:sz w:val="24"/>
          <w:u w:val="single"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="007A1899">
        <w:fldChar w:fldCharType="begin"/>
      </w:r>
      <w:r w:rsidR="007A1899" w:rsidRPr="007A1899">
        <w:rPr>
          <w:lang w:val="es-ES"/>
        </w:rPr>
        <w:instrText xml:space="preserve"> HYPERLINK "https://eur-lex.europa.eu/legal-content/SK/TXT/?uri=CELEX:21999A0831(01)" </w:instrText>
      </w:r>
      <w:r w:rsidR="007A1899">
        <w:fldChar w:fldCharType="separate"/>
      </w:r>
      <w:r>
        <w:rPr>
          <w:rStyle w:val="Hyperlink"/>
          <w:color w:val="0000FF"/>
          <w:sz w:val="24"/>
          <w:lang w:val="sk-SK"/>
        </w:rPr>
        <w:t>Ú. v. ES L 229, 31.8.1999, s. 3.</w:t>
      </w:r>
      <w:r w:rsidR="007A1899">
        <w:rPr>
          <w:rStyle w:val="Hyperlink"/>
          <w:color w:val="0000FF"/>
          <w:sz w:val="24"/>
          <w:lang w:val="sk-SK"/>
        </w:rPr>
        <w:fldChar w:fldCharType="end"/>
      </w:r>
    </w:p>
  </w:footnote>
  <w:footnote w:id="5">
    <w:p w:rsidR="007D604F" w:rsidRDefault="003E227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2" w:history="1">
        <w:r>
          <w:rPr>
            <w:rStyle w:val="Hyperlink"/>
            <w:sz w:val="24"/>
            <w:lang w:val="sk-SK"/>
          </w:rPr>
          <w:t>Ú. v. EÚ C 404, 6.10.2021, s. 202.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04F" w:rsidRDefault="007D604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04F" w:rsidRDefault="007D604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04F" w:rsidRDefault="007D604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7/2023"/>
    <w:docVar w:name="dvlangue" w:val="SK"/>
    <w:docVar w:name="dvnumam" w:val="0"/>
    <w:docVar w:name="dvpe" w:val="752.889"/>
    <w:docVar w:name="dvrapporteur" w:val="Spravodajca: "/>
    <w:docVar w:name="dvtitre" w:val="Uznesenie Európskeho parlamentu z xx. januára 2024 o stratégii EÚ pre Strednú Áziu(2023/2106(INI))"/>
  </w:docVars>
  <w:rsids>
    <w:rsidRoot w:val="007D604F"/>
    <w:rsid w:val="0000445B"/>
    <w:rsid w:val="003E2271"/>
    <w:rsid w:val="007A1899"/>
    <w:rsid w:val="007D604F"/>
    <w:rsid w:val="00844CE7"/>
    <w:rsid w:val="00A62D19"/>
    <w:rsid w:val="00F64FF1"/>
    <w:rsid w:val="00F7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D973C-43FC-4DC4-838E-FC6903974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character" w:styleId="Hyperlink">
    <w:name w:val="Hyperlink"/>
    <w:basedOn w:val="DefaultParagraphFont"/>
    <w:unhideWhenUsed/>
    <w:rPr>
      <w:color w:val="0563C1" w:themeColor="hyperlink"/>
      <w:u w:val="single"/>
    </w:rPr>
  </w:style>
  <w:style w:type="character" w:customStyle="1" w:styleId="BoldItalic">
    <w:name w:val="BoldItalic"/>
    <w:uiPriority w:val="1"/>
    <w:rPr>
      <w:b/>
      <w:bCs w:val="0"/>
      <w:i/>
      <w:iCs w:val="0"/>
      <w:strike w:val="0"/>
      <w:dstrike w:val="0"/>
      <w:u w:val="none"/>
      <w:effect w:val="none"/>
    </w:rPr>
  </w:style>
  <w:style w:type="paragraph" w:customStyle="1" w:styleId="Normal12a24b">
    <w:name w:val="Normal12a24b"/>
    <w:basedOn w:val="Normal"/>
    <w:pPr>
      <w:snapToGrid w:val="0"/>
      <w:spacing w:before="360" w:after="240"/>
    </w:pPr>
    <w:rPr>
      <w:lang w:eastAsia="en-US"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character" w:customStyle="1" w:styleId="NormalHanging12aChar">
    <w:name w:val="NormalHanging12a Char"/>
    <w:basedOn w:val="DefaultParagraphFont"/>
    <w:link w:val="NormalHanging12a"/>
    <w:rPr>
      <w:sz w:val="24"/>
      <w:lang w:val="sk-SK"/>
    </w:rPr>
  </w:style>
  <w:style w:type="paragraph" w:styleId="BalloonText">
    <w:name w:val="Balloon Text"/>
    <w:basedOn w:val="Normal"/>
    <w:link w:val="BalloonTextChar"/>
    <w:rsid w:val="000044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0445B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-lex.europa.eu/legal-content/SK/TXT/?uri=OJ:C:2021:404:TOC" TargetMode="External"/><Relationship Id="rId1" Type="http://schemas.openxmlformats.org/officeDocument/2006/relationships/hyperlink" Target="https://eur-lex.europa.eu/legal-content/SK/TXT/?uri=CELEX:22016A0204(01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962CE-F0C4-413C-A31C-19FCD9053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5115</Words>
  <Characters>32245</Characters>
  <Application>Microsoft Office Word</Application>
  <DocSecurity>0</DocSecurity>
  <Lines>268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DINGA-SUPOVA Lucia</cp:lastModifiedBy>
  <cp:revision>2</cp:revision>
  <cp:lastPrinted>2004-11-19T15:42:00Z</cp:lastPrinted>
  <dcterms:created xsi:type="dcterms:W3CDTF">2024-02-22T12:10:00Z</dcterms:created>
  <dcterms:modified xsi:type="dcterms:W3CDTF">2024-02-22T12:10:00Z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A9-0407/2023</vt:lpwstr>
  </property>
  <property fmtid="{D5CDD505-2E9C-101B-9397-08002B2CF9AE}" pid="4" name="&lt;Type&gt;">
    <vt:lpwstr>RR</vt:lpwstr>
  </property>
</Properties>
</file>