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7AE6" w:rsidTr="0010095E">
        <w:trPr>
          <w:trHeight w:hRule="exact" w:val="1418"/>
        </w:trPr>
        <w:tc>
          <w:tcPr>
            <w:tcW w:w="6804" w:type="dxa"/>
            <w:shd w:val="clear" w:color="auto" w:fill="auto"/>
            <w:vAlign w:val="center"/>
          </w:tcPr>
          <w:p w:rsidR="00751A4A" w:rsidRPr="00817AE6" w:rsidRDefault="00BE6B25" w:rsidP="0010095E">
            <w:pPr>
              <w:pStyle w:val="EPName"/>
            </w:pPr>
            <w:r w:rsidRPr="00817AE6">
              <w:t>Euroopan parlamentti</w:t>
            </w:r>
          </w:p>
          <w:p w:rsidR="00751A4A" w:rsidRPr="00817AE6" w:rsidRDefault="00817416" w:rsidP="00756632">
            <w:pPr>
              <w:pStyle w:val="EPTerm"/>
              <w:rPr>
                <w:rStyle w:val="HideTWBExt"/>
                <w:noProof w:val="0"/>
                <w:vanish w:val="0"/>
                <w:color w:val="auto"/>
              </w:rPr>
            </w:pPr>
            <w:r w:rsidRPr="00817AE6">
              <w:t>2019-2024</w:t>
            </w:r>
          </w:p>
        </w:tc>
        <w:tc>
          <w:tcPr>
            <w:tcW w:w="2268" w:type="dxa"/>
            <w:shd w:val="clear" w:color="auto" w:fill="auto"/>
          </w:tcPr>
          <w:p w:rsidR="00751A4A" w:rsidRPr="00817AE6" w:rsidRDefault="00187494" w:rsidP="0010095E">
            <w:pPr>
              <w:pStyle w:val="EPLogo"/>
            </w:pPr>
            <w:r w:rsidRPr="00817AE6">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7AE6" w:rsidRDefault="00D058B8" w:rsidP="004C5D52">
      <w:pPr>
        <w:pStyle w:val="LineTop"/>
      </w:pPr>
    </w:p>
    <w:p w:rsidR="00680577" w:rsidRPr="00817AE6" w:rsidRDefault="00BE6B25" w:rsidP="00680577">
      <w:pPr>
        <w:pStyle w:val="EPBodyTA1"/>
      </w:pPr>
      <w:r w:rsidRPr="00817AE6">
        <w:t>HYVÄKSYTYT TEKSTIT</w:t>
      </w:r>
    </w:p>
    <w:p w:rsidR="00D058B8" w:rsidRPr="00817AE6" w:rsidRDefault="00D058B8" w:rsidP="00D058B8">
      <w:pPr>
        <w:pStyle w:val="LineBottom"/>
      </w:pPr>
    </w:p>
    <w:p w:rsidR="00BE6B25" w:rsidRPr="00817AE6" w:rsidRDefault="00BE6B25" w:rsidP="00BE6B25">
      <w:pPr>
        <w:pStyle w:val="ATHeading1"/>
      </w:pPr>
      <w:bookmarkStart w:id="0" w:name="TANumber"/>
      <w:r w:rsidRPr="00817AE6">
        <w:t>P9_</w:t>
      </w:r>
      <w:proofErr w:type="gramStart"/>
      <w:r w:rsidRPr="00817AE6">
        <w:t>TA(</w:t>
      </w:r>
      <w:proofErr w:type="gramEnd"/>
      <w:r w:rsidRPr="00817AE6">
        <w:t>2024)00</w:t>
      </w:r>
      <w:r w:rsidR="00D463A7">
        <w:t>28</w:t>
      </w:r>
      <w:bookmarkEnd w:id="0"/>
    </w:p>
    <w:p w:rsidR="00BE6B25" w:rsidRPr="00817AE6" w:rsidRDefault="00BE6B25" w:rsidP="00BE6B25">
      <w:pPr>
        <w:pStyle w:val="ATHeading2"/>
      </w:pPr>
      <w:bookmarkStart w:id="1" w:name="title"/>
      <w:r w:rsidRPr="00817AE6">
        <w:t>Kiinan vaikuttamisesta Euroopan unionin kriittiseen infrastruktuuriin aiheutuvat vaikutukset turvallisuuteen ja puolustukseen</w:t>
      </w:r>
      <w:bookmarkEnd w:id="1"/>
    </w:p>
    <w:p w:rsidR="00BE6B25" w:rsidRPr="00817AE6" w:rsidRDefault="00BE6B25" w:rsidP="00BE6B25">
      <w:pPr>
        <w:rPr>
          <w:i/>
          <w:vanish/>
        </w:rPr>
      </w:pPr>
      <w:r w:rsidRPr="00817AE6">
        <w:rPr>
          <w:i/>
        </w:rPr>
        <w:fldChar w:fldCharType="begin"/>
      </w:r>
      <w:r w:rsidRPr="00817AE6">
        <w:rPr>
          <w:i/>
        </w:rPr>
        <w:instrText xml:space="preserve"> TC"(</w:instrText>
      </w:r>
      <w:bookmarkStart w:id="2" w:name="DocNumber"/>
      <w:r w:rsidRPr="00817AE6">
        <w:rPr>
          <w:i/>
        </w:rPr>
        <w:instrText>A9-0401/2023</w:instrText>
      </w:r>
      <w:bookmarkEnd w:id="2"/>
      <w:r w:rsidRPr="00817AE6">
        <w:rPr>
          <w:i/>
        </w:rPr>
        <w:instrText xml:space="preserve"> - Esittelijä: Klemen Grošelj)"\l3 \n&gt; \* MERGEFORMAT </w:instrText>
      </w:r>
      <w:r w:rsidRPr="00817AE6">
        <w:rPr>
          <w:i/>
        </w:rPr>
        <w:fldChar w:fldCharType="end"/>
      </w:r>
    </w:p>
    <w:p w:rsidR="00BE6B25" w:rsidRPr="00817AE6" w:rsidRDefault="00BE6B25" w:rsidP="00BE6B25">
      <w:pPr>
        <w:rPr>
          <w:vanish/>
        </w:rPr>
      </w:pPr>
      <w:bookmarkStart w:id="3" w:name="Commission"/>
      <w:r w:rsidRPr="00817AE6">
        <w:rPr>
          <w:vanish/>
        </w:rPr>
        <w:t>Ulkoasiainvaliokunta</w:t>
      </w:r>
      <w:bookmarkEnd w:id="3"/>
    </w:p>
    <w:p w:rsidR="00BE6B25" w:rsidRPr="00817AE6" w:rsidRDefault="00BE6B25" w:rsidP="00BE6B25">
      <w:pPr>
        <w:rPr>
          <w:vanish/>
        </w:rPr>
      </w:pPr>
      <w:bookmarkStart w:id="4" w:name="PE"/>
      <w:r w:rsidRPr="00817AE6">
        <w:rPr>
          <w:vanish/>
        </w:rPr>
        <w:t>PE750.176</w:t>
      </w:r>
      <w:bookmarkEnd w:id="4"/>
    </w:p>
    <w:p w:rsidR="00BE6B25" w:rsidRPr="00817AE6" w:rsidRDefault="00BE6B25" w:rsidP="00BE6B25">
      <w:pPr>
        <w:pStyle w:val="ATHeading3"/>
      </w:pPr>
      <w:bookmarkStart w:id="5" w:name="Sujet"/>
      <w:r w:rsidRPr="00817AE6">
        <w:t xml:space="preserve">Euroopan parlamentin päätöslauselma </w:t>
      </w:r>
      <w:r w:rsidR="00886E35">
        <w:t>17</w:t>
      </w:r>
      <w:r w:rsidRPr="00817AE6">
        <w:t>. tammikuuta 2024 Kiinan vaikuttamisesta Euroopan unionin kriittiseen infrastr</w:t>
      </w:r>
      <w:bookmarkStart w:id="6" w:name="_GoBack"/>
      <w:bookmarkEnd w:id="6"/>
      <w:r w:rsidRPr="00817AE6">
        <w:t>uktuuriin aiheutuvista vaikutuksista turvallisuuteen ja puolustukseen</w:t>
      </w:r>
      <w:bookmarkEnd w:id="5"/>
      <w:r w:rsidRPr="00817AE6">
        <w:t xml:space="preserve"> </w:t>
      </w:r>
      <w:bookmarkStart w:id="7" w:name="References"/>
      <w:r w:rsidRPr="00817AE6">
        <w:t>(2023/2072(INI))</w:t>
      </w:r>
      <w:bookmarkEnd w:id="7"/>
    </w:p>
    <w:p w:rsidR="005A1FFA" w:rsidRPr="00817AE6" w:rsidRDefault="005A1FFA" w:rsidP="00366010">
      <w:pPr>
        <w:pStyle w:val="Normal12"/>
        <w:spacing w:before="240"/>
      </w:pPr>
      <w:bookmarkStart w:id="8" w:name="TextBodyBegin"/>
      <w:bookmarkEnd w:id="8"/>
      <w:r w:rsidRPr="00817AE6">
        <w:rPr>
          <w:i/>
          <w:iCs/>
        </w:rPr>
        <w:t>Euroopan parlamentti</w:t>
      </w:r>
      <w:r w:rsidRPr="00817AE6">
        <w:t>, joka</w:t>
      </w:r>
    </w:p>
    <w:p w:rsidR="005A1FFA" w:rsidRPr="00817AE6" w:rsidRDefault="005A1FFA" w:rsidP="005A1FFA">
      <w:pPr>
        <w:pStyle w:val="NormalHanging"/>
      </w:pPr>
      <w:r w:rsidRPr="00817AE6">
        <w:t>–</w:t>
      </w:r>
      <w:r w:rsidRPr="00817AE6">
        <w:tab/>
        <w:t>ottaa huomioon Euroopan unionin toiminnasta tehdyn sopimuksen,</w:t>
      </w:r>
    </w:p>
    <w:p w:rsidR="005A1FFA" w:rsidRPr="00817AE6" w:rsidRDefault="005A1FFA" w:rsidP="005A1FFA">
      <w:pPr>
        <w:pStyle w:val="NormalHanging"/>
      </w:pPr>
      <w:r w:rsidRPr="00817AE6">
        <w:t>–</w:t>
      </w:r>
      <w:r w:rsidRPr="00817AE6">
        <w:tab/>
        <w:t>ottaa huomioon Euroopan unionista tehdyn sopimuksen V osaston ja erityisesti sen 2 luvun 2 jakson yhteistä turvallisuus- ja puolustuspolitiikkaa koskevista määräyksistä,</w:t>
      </w:r>
    </w:p>
    <w:p w:rsidR="005A1FFA" w:rsidRPr="00817AE6" w:rsidRDefault="005A1FFA" w:rsidP="005A1FFA">
      <w:pPr>
        <w:pStyle w:val="NormalHanging12a"/>
      </w:pPr>
      <w:r w:rsidRPr="00817AE6">
        <w:t>–</w:t>
      </w:r>
      <w:r w:rsidRPr="00817AE6">
        <w:tab/>
        <w:t>ottaa huomioon neuvoston 21. maaliskuuta 2022 ja Eurooppa-neuvoston 25. maaliskuuta 2022 hyväksymän asiakirjan ”Turvallisuus- ja puolustusalan strateginen kompassi – Euroopan unioni, joka suojaa kansalaisiaan, arvojaan ja etujaan sekä edistää kansainvälistä rauhaa ja turvallisuutta”,</w:t>
      </w:r>
    </w:p>
    <w:p w:rsidR="005A1FFA" w:rsidRPr="00817AE6" w:rsidRDefault="005A1FFA" w:rsidP="005A1FFA">
      <w:pPr>
        <w:pStyle w:val="NormalHanging12a"/>
      </w:pPr>
      <w:r w:rsidRPr="00817AE6">
        <w:t>–</w:t>
      </w:r>
      <w:r w:rsidRPr="00817AE6">
        <w:tab/>
        <w:t>ottaa huomioon valtion- ja hallitusten päämiesten epävirallisessa kokouksessa 11. maaliskuuta 2022 annetun Versailles’n julistuksen,</w:t>
      </w:r>
    </w:p>
    <w:p w:rsidR="005A1FFA" w:rsidRPr="00817AE6" w:rsidRDefault="005A1FFA" w:rsidP="005A1FFA">
      <w:pPr>
        <w:pStyle w:val="NormalHanging"/>
      </w:pPr>
      <w:r w:rsidRPr="00817AE6">
        <w:t>–</w:t>
      </w:r>
      <w:r w:rsidRPr="00817AE6">
        <w:tab/>
        <w:t>ottaa huomioon 20. kesäkuuta 2023 annetun komission ja unionin ulkoasioiden ja turvallisuuspolitiikan korkean edustajan yhteisen tiedonannon Euroopan taloudellisen turvallisuuden strategiasta (</w:t>
      </w:r>
      <w:proofErr w:type="gramStart"/>
      <w:r w:rsidRPr="00817AE6">
        <w:t>JOIN(</w:t>
      </w:r>
      <w:proofErr w:type="gramEnd"/>
      <w:r w:rsidRPr="00817AE6">
        <w:t>2023)0020),</w:t>
      </w:r>
    </w:p>
    <w:p w:rsidR="005A1FFA" w:rsidRPr="00817AE6" w:rsidRDefault="005A1FFA" w:rsidP="005A1FFA">
      <w:pPr>
        <w:pStyle w:val="NormalHanging"/>
      </w:pPr>
      <w:r w:rsidRPr="00817AE6">
        <w:t>–</w:t>
      </w:r>
      <w:r w:rsidRPr="00817AE6">
        <w:tab/>
        <w:t>ottaa huomioon sisämarkkinoita vääristävistä ulkomaisista tuista 14. joulukuuta 2022 annetun Euroopan parlamentin ja neuvoston asetuksen (EU) 2022/2560</w:t>
      </w:r>
      <w:r w:rsidRPr="00817AE6">
        <w:footnoteReference w:id="1"/>
      </w:r>
      <w:r w:rsidRPr="00817AE6">
        <w:t>,</w:t>
      </w:r>
    </w:p>
    <w:p w:rsidR="005A1FFA" w:rsidRPr="00817AE6" w:rsidRDefault="005A1FFA" w:rsidP="005A1FFA">
      <w:pPr>
        <w:spacing w:after="240"/>
        <w:ind w:left="567" w:hanging="567"/>
      </w:pPr>
      <w:r w:rsidRPr="00817AE6">
        <w:t>–</w:t>
      </w:r>
      <w:r w:rsidRPr="00817AE6">
        <w:tab/>
        <w:t>ottaa huomioon unioniin tulevien ulkomaisten suorien sijoitusten seurantaan tarkoitettujen puitteiden perustamisesta 19. maaliskuuta 2019 annetun Euroopan parlamentin ja neuvoston asetuksen (EU) 2019/452</w:t>
      </w:r>
      <w:r w:rsidRPr="00817AE6">
        <w:rPr>
          <w:rStyle w:val="FootnoteReference"/>
        </w:rPr>
        <w:footnoteReference w:id="2"/>
      </w:r>
      <w:r w:rsidRPr="00817AE6">
        <w:t>,</w:t>
      </w:r>
    </w:p>
    <w:p w:rsidR="005A1FFA" w:rsidRPr="00817AE6" w:rsidRDefault="005A1FFA" w:rsidP="005A1FFA">
      <w:pPr>
        <w:pStyle w:val="NormalHanging"/>
      </w:pPr>
      <w:r w:rsidRPr="00817AE6">
        <w:t>–</w:t>
      </w:r>
      <w:r w:rsidRPr="00817AE6">
        <w:tab/>
        <w:t>ottaa huomioon kriittisten toimijoiden häiriönsietokyvystä ja direktiivin 2008/114/EY kumoamisesta 14. joulukuuta 2022 annetun Euroopan parlamentin ja neuvoston direktiivin (EU) 2022/2557 (direktiivi kriittisten toimijoiden häiriönsietokyvystä)</w:t>
      </w:r>
      <w:r w:rsidRPr="00817AE6">
        <w:rPr>
          <w:rStyle w:val="FootnoteReference"/>
        </w:rPr>
        <w:footnoteReference w:id="3"/>
      </w:r>
      <w:r w:rsidRPr="00817AE6">
        <w:t>,</w:t>
      </w:r>
    </w:p>
    <w:p w:rsidR="005A1FFA" w:rsidRPr="00817AE6" w:rsidRDefault="005A1FFA" w:rsidP="005A1FFA">
      <w:pPr>
        <w:pStyle w:val="NormalHanging"/>
      </w:pPr>
      <w:r w:rsidRPr="00817AE6">
        <w:lastRenderedPageBreak/>
        <w:t>–</w:t>
      </w:r>
      <w:r w:rsidRPr="00817AE6">
        <w:tab/>
        <w:t>ottaa huomioon toimenpiteistä kyberturvallisuuden yhteisen korkean tason varmistamiseksi kaikkialla unionissa, asetuksen (EU) N</w:t>
      </w:r>
      <w:r w:rsidR="00761895">
        <w:t>:o 910/2014 ja direktiivin (EU) </w:t>
      </w:r>
      <w:r w:rsidRPr="00817AE6">
        <w:t>2018/1972 muuttamisesta sekä direktiivin (EU) 2016/1148 kumoamisesta 14. joulukuuta 2022 annetun Euroopan parlamenti</w:t>
      </w:r>
      <w:r w:rsidR="00761895">
        <w:t>n ja neuvoston direktiivin (EU) </w:t>
      </w:r>
      <w:r w:rsidRPr="00817AE6">
        <w:t>2022/2555 (NIS 2 -direktiivi)</w:t>
      </w:r>
      <w:r w:rsidRPr="00817AE6">
        <w:rPr>
          <w:rStyle w:val="FootnoteReference"/>
        </w:rPr>
        <w:footnoteReference w:id="4"/>
      </w:r>
      <w:r w:rsidRPr="00817AE6">
        <w:t>,</w:t>
      </w:r>
    </w:p>
    <w:p w:rsidR="005A1FFA" w:rsidRPr="00817AE6" w:rsidRDefault="005A1FFA" w:rsidP="005A1FFA">
      <w:pPr>
        <w:pStyle w:val="NormalHanging"/>
      </w:pPr>
      <w:r w:rsidRPr="00817AE6">
        <w:t>–</w:t>
      </w:r>
      <w:r w:rsidRPr="00817AE6">
        <w:tab/>
        <w:t>ottaa huomioon 15. syyskuuta 2022 annetun komission ehdotuksen Euroopan parlamentin ja neuvoston asetukseksi digitaalisia elementtejä sisältävien tuotteiden horisontaalisista kyberturvavaatimuksista ja asetuksen (EU) 2019/1020 muuttamisesta (</w:t>
      </w:r>
      <w:proofErr w:type="gramStart"/>
      <w:r w:rsidRPr="00817AE6">
        <w:t>COM(</w:t>
      </w:r>
      <w:proofErr w:type="gramEnd"/>
      <w:r w:rsidRPr="00817AE6">
        <w:t>2022)0454),</w:t>
      </w:r>
    </w:p>
    <w:p w:rsidR="005A1FFA" w:rsidRPr="00817AE6" w:rsidRDefault="005A1FFA" w:rsidP="005A1FFA">
      <w:pPr>
        <w:pStyle w:val="NormalHanging"/>
      </w:pPr>
      <w:r w:rsidRPr="00817AE6">
        <w:t>–</w:t>
      </w:r>
      <w:r w:rsidRPr="00817AE6">
        <w:tab/>
        <w:t>ottaa huomioon Euroopan puolijohde-ekosysteemiä vahvistavasta toimenpidekehyksestä 13. syyskuuta 2023 annetun Euroopan parlamentin ja neuvoston asetukse</w:t>
      </w:r>
      <w:r w:rsidR="00761895">
        <w:t>n (EU) </w:t>
      </w:r>
      <w:r w:rsidRPr="00817AE6">
        <w:t>2023/1781 (sirusäädös)</w:t>
      </w:r>
      <w:r w:rsidRPr="00817AE6">
        <w:rPr>
          <w:rStyle w:val="FootnoteReference"/>
        </w:rPr>
        <w:footnoteReference w:id="5"/>
      </w:r>
      <w:r w:rsidRPr="00817AE6">
        <w:t>,</w:t>
      </w:r>
    </w:p>
    <w:p w:rsidR="005A1FFA" w:rsidRPr="00817AE6" w:rsidRDefault="005A1FFA" w:rsidP="005A1FFA">
      <w:pPr>
        <w:pStyle w:val="NormalHanging"/>
      </w:pPr>
      <w:r w:rsidRPr="00817AE6">
        <w:t>–</w:t>
      </w:r>
      <w:r w:rsidRPr="00817AE6">
        <w:tab/>
        <w:t xml:space="preserve">ottaa huomioon </w:t>
      </w:r>
      <w:r w:rsidR="00D74ABE">
        <w:t xml:space="preserve">ensimmäisessä käsittelyssä vahvistamansa kannan ehdotuksesta </w:t>
      </w:r>
      <w:r w:rsidR="00D74ABE" w:rsidRPr="00817AE6">
        <w:t>Euroopan p</w:t>
      </w:r>
      <w:r w:rsidR="00D74ABE">
        <w:t xml:space="preserve">arlamentin ja neuvoston asetukseksi </w:t>
      </w:r>
      <w:r w:rsidRPr="00817AE6">
        <w:t>puitteiden vahvistamisesta kriittisten raaka-aineiden turvatun ja kestävän tarjonnan varmistamiseksi  (kriittisiä raaka-aineita koskeva säädös)</w:t>
      </w:r>
      <w:r w:rsidR="00D74ABE">
        <w:t xml:space="preserve"> viimeistelemättömänä versiona hyväksytyssä tekstissä </w:t>
      </w:r>
      <w:r w:rsidRPr="00817AE6">
        <w:rPr>
          <w:rStyle w:val="FootnoteReference"/>
        </w:rPr>
        <w:footnoteReference w:id="6"/>
      </w:r>
      <w:r w:rsidR="00761895">
        <w:t>,</w:t>
      </w:r>
    </w:p>
    <w:p w:rsidR="005A1FFA" w:rsidRPr="00817AE6" w:rsidRDefault="005A1FFA" w:rsidP="005A1FFA">
      <w:pPr>
        <w:pStyle w:val="NormalHanging"/>
      </w:pPr>
      <w:r w:rsidRPr="00817AE6">
        <w:t>–</w:t>
      </w:r>
      <w:r w:rsidRPr="00817AE6">
        <w:tab/>
        <w:t xml:space="preserve">ottaa huomioon unionin ja sen jäsenvaltioiden suojelemisesta kolmansien maiden käyttämältä taloudelliselta pakottamiselta </w:t>
      </w:r>
      <w:r w:rsidR="00D74ABE" w:rsidRPr="00D74ABE">
        <w:t>22 päivänä marraskuuta 2023</w:t>
      </w:r>
      <w:r w:rsidRPr="00817AE6">
        <w:t xml:space="preserve"> annetun Euroopan parlamentin ja neuvoston asetuksen (EU) 2023/</w:t>
      </w:r>
      <w:r w:rsidR="00D74ABE">
        <w:t>2675</w:t>
      </w:r>
      <w:r w:rsidRPr="00817AE6">
        <w:rPr>
          <w:rStyle w:val="FootnoteReference"/>
        </w:rPr>
        <w:footnoteReference w:id="7"/>
      </w:r>
      <w:r w:rsidRPr="00817AE6">
        <w:t>,</w:t>
      </w:r>
    </w:p>
    <w:p w:rsidR="005A1FFA" w:rsidRPr="00817AE6" w:rsidRDefault="005A1FFA" w:rsidP="005A1FFA">
      <w:pPr>
        <w:pStyle w:val="NormalHanging"/>
      </w:pPr>
      <w:r w:rsidRPr="00817AE6">
        <w:t>–</w:t>
      </w:r>
      <w:r w:rsidRPr="00817AE6">
        <w:tab/>
        <w:t>ottaa huomioon 16. syyskuuta 2021 antamansa päätöslauselman EU:n uudesta Kiina-strategiasta (2021/2037(INI))</w:t>
      </w:r>
      <w:r w:rsidRPr="00817AE6">
        <w:rPr>
          <w:rStyle w:val="FootnoteReference"/>
        </w:rPr>
        <w:footnoteReference w:id="8"/>
      </w:r>
      <w:r w:rsidRPr="00817AE6">
        <w:t>, jolla pyritään muun muassa vahvistamaan EU:n kaupan välineistöä nykyisen epätasapainon lieventämiseksi Kiinan ja EU:n välisissä kahdenvälisissä talous- ja kauppasuhteissa,</w:t>
      </w:r>
    </w:p>
    <w:p w:rsidR="005A1FFA" w:rsidRPr="00817AE6" w:rsidRDefault="005A1FFA" w:rsidP="005A1FFA">
      <w:pPr>
        <w:pStyle w:val="NormalHanging"/>
      </w:pPr>
      <w:r w:rsidRPr="00817AE6">
        <w:t>–</w:t>
      </w:r>
      <w:r w:rsidRPr="00817AE6">
        <w:tab/>
        <w:t>ottaa huomioon 9. maaliskuuta 2022</w:t>
      </w:r>
      <w:r w:rsidRPr="00817AE6">
        <w:rPr>
          <w:rStyle w:val="FootnoteReference"/>
        </w:rPr>
        <w:footnoteReference w:id="9"/>
      </w:r>
      <w:r w:rsidRPr="00817AE6">
        <w:t xml:space="preserve"> ja 1. kesäkuuta 2023</w:t>
      </w:r>
      <w:r w:rsidRPr="00817AE6">
        <w:rPr>
          <w:rStyle w:val="FootnoteReference"/>
        </w:rPr>
        <w:footnoteReference w:id="10"/>
      </w:r>
      <w:r w:rsidRPr="00817AE6">
        <w:t xml:space="preserve"> antamansa päätöslauselmat ulkomaisesta sekaantumisesta kaikkiin Euroopan unionin demokraattisiin prosesseihin ja siihen sisältyvästä disinformaatiosta,</w:t>
      </w:r>
    </w:p>
    <w:p w:rsidR="005A1FFA" w:rsidRPr="00817AE6" w:rsidRDefault="005A1FFA" w:rsidP="005A1FFA">
      <w:pPr>
        <w:spacing w:after="240"/>
        <w:ind w:left="567" w:hanging="567"/>
      </w:pPr>
      <w:r w:rsidRPr="00817AE6">
        <w:t>–</w:t>
      </w:r>
      <w:r w:rsidRPr="00817AE6">
        <w:tab/>
        <w:t>ottaa huomioon Euroopan parlamentille, neuvostolle, Euroopan talous- ja sosiaalikomitealle, alueiden komitealle ja Euroopan investointipankille</w:t>
      </w:r>
      <w:r w:rsidR="00761895">
        <w:t xml:space="preserve"> </w:t>
      </w:r>
      <w:r w:rsidR="00761895" w:rsidRPr="00761895">
        <w:t>1. joulukuuta 2021</w:t>
      </w:r>
      <w:r w:rsidRPr="00817AE6">
        <w:t xml:space="preserve"> annetun yhteisen tiedonannon ”Global Gateway” (</w:t>
      </w:r>
      <w:proofErr w:type="gramStart"/>
      <w:r w:rsidRPr="00817AE6">
        <w:t>JOIN(</w:t>
      </w:r>
      <w:proofErr w:type="gramEnd"/>
      <w:r w:rsidRPr="00817AE6">
        <w:t>2021)0030),</w:t>
      </w:r>
    </w:p>
    <w:p w:rsidR="005A1FFA" w:rsidRPr="00817AE6" w:rsidRDefault="005A1FFA" w:rsidP="005A1FFA">
      <w:pPr>
        <w:spacing w:after="240"/>
        <w:ind w:left="567" w:hanging="567"/>
      </w:pPr>
      <w:r w:rsidRPr="00817AE6">
        <w:t>–</w:t>
      </w:r>
      <w:r w:rsidRPr="00817AE6">
        <w:tab/>
        <w:t>ottaa huomioon 3. lokakuuta 2023 annetun komission suosituksen EU:n taloudellisen turvallisuuden kannalta kriittisistä teknologia-aloista jäsenvaltioiden kanssa tehtävää riskinarviointia varten (</w:t>
      </w:r>
      <w:proofErr w:type="gramStart"/>
      <w:r w:rsidRPr="00817AE6">
        <w:t>C(</w:t>
      </w:r>
      <w:proofErr w:type="gramEnd"/>
      <w:r w:rsidRPr="00817AE6">
        <w:t>2023)6689),</w:t>
      </w:r>
    </w:p>
    <w:p w:rsidR="005A1FFA" w:rsidRPr="00817AE6" w:rsidRDefault="005A1FFA" w:rsidP="005A1FFA">
      <w:pPr>
        <w:pStyle w:val="NormalHanging"/>
      </w:pPr>
      <w:r w:rsidRPr="00817AE6">
        <w:t>–</w:t>
      </w:r>
      <w:r w:rsidRPr="00817AE6">
        <w:tab/>
        <w:t>ottaa huomioon 8. joulukuuta 2022 annetun neuvoston suosituksen unionin koordinoidusta lähestymistavasta kriittisen infrastruktuurin häiriönsietokyvyn vahvistamiseen</w:t>
      </w:r>
      <w:r w:rsidRPr="00817AE6">
        <w:rPr>
          <w:rStyle w:val="FootnoteReference"/>
        </w:rPr>
        <w:footnoteReference w:id="11"/>
      </w:r>
      <w:r w:rsidRPr="00817AE6">
        <w:t>,</w:t>
      </w:r>
    </w:p>
    <w:p w:rsidR="005A1FFA" w:rsidRPr="00817AE6" w:rsidRDefault="005A1FFA" w:rsidP="005A1FFA">
      <w:pPr>
        <w:pStyle w:val="NormalHanging"/>
      </w:pPr>
      <w:r w:rsidRPr="00817AE6">
        <w:t>–</w:t>
      </w:r>
      <w:r w:rsidRPr="00817AE6">
        <w:tab/>
        <w:t>ottaa huomioon Vilnassa 11. heinäkuuta 2023 pidettyyn Pohjois-Atlantin neuvoston kokoukseen osallistuneiden valtion- ja hallitusten päämiesten antaman Vilnan huippukokouksen julkilausuman,</w:t>
      </w:r>
    </w:p>
    <w:p w:rsidR="005A1FFA" w:rsidRPr="00817AE6" w:rsidRDefault="005A1FFA" w:rsidP="005A1FFA">
      <w:pPr>
        <w:tabs>
          <w:tab w:val="left" w:pos="567"/>
        </w:tabs>
        <w:spacing w:after="240"/>
        <w:ind w:left="567" w:hanging="567"/>
      </w:pPr>
      <w:r w:rsidRPr="00817AE6">
        <w:t>–</w:t>
      </w:r>
      <w:r w:rsidRPr="00817AE6">
        <w:tab/>
        <w:t>ottaa huomioon 29. kesäkuuta 2023 julkaistun kriittisen infrastruktuurin häiriönsietokykyä käsittelevän Naton ja EU:n työryhmän lopullisen arviointiraportin,</w:t>
      </w:r>
    </w:p>
    <w:p w:rsidR="005A1FFA" w:rsidRPr="00817AE6" w:rsidRDefault="005A1FFA" w:rsidP="005A1FFA">
      <w:pPr>
        <w:spacing w:after="240"/>
        <w:ind w:left="567" w:hanging="567"/>
      </w:pPr>
      <w:r w:rsidRPr="00817AE6">
        <w:t>–</w:t>
      </w:r>
      <w:r w:rsidRPr="00817AE6">
        <w:tab/>
        <w:t xml:space="preserve">ottaa huomioon 10. tammikuuta 2023 allekirjoitetun yhteisen julistuksen EU:n ja Naton yhteistyöstä, </w:t>
      </w:r>
    </w:p>
    <w:p w:rsidR="005A1FFA" w:rsidRPr="00817AE6" w:rsidRDefault="005A1FFA" w:rsidP="005A1FFA">
      <w:pPr>
        <w:spacing w:after="240"/>
        <w:ind w:left="567" w:hanging="567"/>
      </w:pPr>
      <w:r w:rsidRPr="00817AE6">
        <w:t>–</w:t>
      </w:r>
      <w:r w:rsidRPr="00817AE6">
        <w:tab/>
        <w:t>ottaa huomioon 20. toukokuuta 2023 annetun G7-maiden johtajien Hiroshiman julkilausuman,</w:t>
      </w:r>
    </w:p>
    <w:p w:rsidR="005A1FFA" w:rsidRPr="00817AE6" w:rsidRDefault="005A1FFA" w:rsidP="005A1FFA">
      <w:pPr>
        <w:spacing w:after="240"/>
        <w:ind w:left="567" w:hanging="567"/>
      </w:pPr>
      <w:r w:rsidRPr="00817AE6">
        <w:t>–</w:t>
      </w:r>
      <w:r w:rsidRPr="00817AE6">
        <w:tab/>
        <w:t>ottaa huomioon 24. lokakuuta 2023 annetut neuvoston päätelmät tarkistetusta EU:n merellisestä turvallisuusstrategiasta ja sen toimintasuunnitelmasta,</w:t>
      </w:r>
    </w:p>
    <w:p w:rsidR="005A1FFA" w:rsidRPr="00817AE6" w:rsidRDefault="005A1FFA" w:rsidP="005A1FFA">
      <w:pPr>
        <w:pStyle w:val="NormalHanging"/>
      </w:pPr>
      <w:r w:rsidRPr="00817AE6">
        <w:t>–</w:t>
      </w:r>
      <w:r w:rsidRPr="00817AE6">
        <w:tab/>
        <w:t>ottaa huomioon työjärjestyksen 54 artiklan,</w:t>
      </w:r>
    </w:p>
    <w:p w:rsidR="005A1FFA" w:rsidRPr="00817AE6" w:rsidRDefault="005A1FFA" w:rsidP="005A1FFA">
      <w:pPr>
        <w:pStyle w:val="NormalHanging"/>
      </w:pPr>
      <w:r w:rsidRPr="00817AE6">
        <w:t>–</w:t>
      </w:r>
      <w:r w:rsidRPr="00817AE6">
        <w:tab/>
        <w:t>ottaa huomioon kansainvälisen kaupan valiokunnan lausunnon,</w:t>
      </w:r>
    </w:p>
    <w:p w:rsidR="005A1FFA" w:rsidRPr="00817AE6" w:rsidRDefault="005A1FFA" w:rsidP="005A1FFA">
      <w:pPr>
        <w:pStyle w:val="NormalHanging"/>
      </w:pPr>
      <w:r w:rsidRPr="00817AE6">
        <w:t>–</w:t>
      </w:r>
      <w:r w:rsidRPr="00817AE6">
        <w:tab/>
        <w:t>ottaa huomioon ulkoasiainvaliokunnan mietinnön (A9-0401/2023),</w:t>
      </w:r>
    </w:p>
    <w:p w:rsidR="005A1FFA" w:rsidRPr="00817AE6" w:rsidRDefault="005A1FFA" w:rsidP="005A1FFA">
      <w:pPr>
        <w:pStyle w:val="Normal12"/>
        <w:rPr>
          <w:szCs w:val="24"/>
        </w:rPr>
      </w:pPr>
      <w:r w:rsidRPr="00817AE6">
        <w:t>A.</w:t>
      </w:r>
      <w:r w:rsidRPr="00817AE6">
        <w:tab/>
        <w:t>ottaa huomioon, että hiljattain annetussa Euroopan taloudellisen turvallisuuden strategiaa koskevassa yhteisessä tiedonannossa keskitytään minimoimaan riskit, joita aiheutuu tietyistä taloudellisista virroista ja EU:n riippuvuudesta autoritaarisista ja totalitaarisista hallinnoista, kuten Kiinan kansantasavallasta, tilanteessa, jossa geopoliittiset jännitteet lisääntyvät ja teknologian muutos kiihtyy, ja samalla suojelemaan vapaiden markkinoiden periaatteita tällaisten järjestelmien aiheuttamalta vääristymältä ja sen kautta säilyttämään mahdollisimman suuri talouden avoimuus ja dynamiikka;</w:t>
      </w:r>
    </w:p>
    <w:p w:rsidR="005A1FFA" w:rsidRPr="00817AE6" w:rsidRDefault="005A1FFA" w:rsidP="005A1FFA">
      <w:pPr>
        <w:pStyle w:val="Normal12"/>
        <w:rPr>
          <w:szCs w:val="24"/>
        </w:rPr>
      </w:pPr>
      <w:r w:rsidRPr="00817AE6">
        <w:t>B.</w:t>
      </w:r>
      <w:r w:rsidRPr="00817AE6">
        <w:tab/>
        <w:t>ottaa huomioon, että kriittisen infrastruktuurin häiriöillä voi olla merkittäviä kielteisiä vaikutuksia valtion elintärkeisiin toimintoihin, väestölle tarjottaviin keskeisiin palveluihin, taloudelliseen toimintaan sekä EU:n turvallisuuteen ja puolustukseen; katsoo, että jäsenvaltioiden ja komission on erittäin tärkeää seurata valppaasti EU:ssa sijaitsevien kriittisten toimijoiden toimintaan kohdistuvia ulkomaiden tekemiä taloudellisia sijoituksia ja sitä, mitä seurauksia tällaisilla sijoituksilla voisi olla kykyyn estää merkittävät häiriöt;</w:t>
      </w:r>
    </w:p>
    <w:p w:rsidR="005A1FFA" w:rsidRPr="00817AE6" w:rsidRDefault="005A1FFA" w:rsidP="00761895">
      <w:pPr>
        <w:widowControl/>
        <w:spacing w:after="240"/>
        <w:ind w:left="567" w:hanging="567"/>
        <w:rPr>
          <w:szCs w:val="24"/>
        </w:rPr>
      </w:pPr>
      <w:r w:rsidRPr="00817AE6">
        <w:t>C.</w:t>
      </w:r>
      <w:r w:rsidRPr="00817AE6">
        <w:tab/>
        <w:t>ottaa huomioon, että kriittisten yksiköiden häiriönsietokykyä koskeva direktiivi</w:t>
      </w:r>
      <w:r w:rsidRPr="00817AE6">
        <w:rPr>
          <w:rStyle w:val="FootnoteReference"/>
          <w:szCs w:val="24"/>
        </w:rPr>
        <w:footnoteReference w:id="12"/>
      </w:r>
      <w:r w:rsidRPr="00817AE6">
        <w:t xml:space="preserve"> ja NIS 2 -direktiivi</w:t>
      </w:r>
      <w:r w:rsidRPr="00817AE6">
        <w:rPr>
          <w:rStyle w:val="FootnoteReference"/>
          <w:szCs w:val="24"/>
        </w:rPr>
        <w:footnoteReference w:id="13"/>
      </w:r>
      <w:r w:rsidRPr="00817AE6">
        <w:t xml:space="preserve"> tarjoavat kattavan oikeudellisen kehyksen, jonka avulla voidaan vahvistaa sekä kriittisen infrastruktuurin fyysistä että digitaalista häiriönsietokykyä, myös energian, liikenteen, terveyden, digitaalisen infrastruktuurin, veden ja elintarvikkeiden osalta;</w:t>
      </w:r>
    </w:p>
    <w:p w:rsidR="005A1FFA" w:rsidRPr="00817AE6" w:rsidRDefault="005A1FFA" w:rsidP="005A1FFA">
      <w:pPr>
        <w:pStyle w:val="Normal12"/>
        <w:rPr>
          <w:szCs w:val="24"/>
        </w:rPr>
      </w:pPr>
      <w:r w:rsidRPr="00817AE6">
        <w:t>D.</w:t>
      </w:r>
      <w:r w:rsidRPr="00817AE6">
        <w:tab/>
        <w:t>ottaa huomioon, että siitä lähtien, kun neuvoston suositus annettiin 8. joulukuuta 2022, on jo toteutettu kohdennettuja toimia, joiden avulla varmistetaan EU:n yhteinen reagointi poikkeamiin, myös vahvistamalla kriittisen infrastruktuurin koordinointia Naton kanssa häiriönsietokykyä koskevan EU:n ja Naton jäsennellyn vuoropuhelun osana toimivan häiriönsietokykyä käsittelevän EU:n ja Naton työryhmän avulla;</w:t>
      </w:r>
    </w:p>
    <w:p w:rsidR="005A1FFA" w:rsidRPr="00817AE6" w:rsidRDefault="005A1FFA" w:rsidP="005A1FFA">
      <w:pPr>
        <w:spacing w:after="240"/>
        <w:ind w:left="567" w:hanging="567"/>
        <w:rPr>
          <w:szCs w:val="24"/>
        </w:rPr>
      </w:pPr>
      <w:r w:rsidRPr="00817AE6">
        <w:t>E.</w:t>
      </w:r>
      <w:r w:rsidRPr="00817AE6">
        <w:tab/>
        <w:t>ottaa huomioon, että eurooppalaiset satamat, joissa kiinalaisilla valtio-omisteisilla yrityksillä on osuuksia, käsittelevät noin 10 prosenttia Euroopan koko konttikapasiteetista; ottaa huomioon, että Euroopan satamien kolmella suurimmalla kiinalaisella osakkaalla on varoja lähes puolessa satamista (14:ssä 29:stä), jotka sijaitsevat joko laivastotukikohtien läheisyydessä tai tarjoavat logistista tukea Naton joukoille, mikä lisää merkittävästi vakoilun riskiä;</w:t>
      </w:r>
    </w:p>
    <w:p w:rsidR="005A1FFA" w:rsidRPr="00817AE6" w:rsidRDefault="005A1FFA" w:rsidP="005A1FFA">
      <w:pPr>
        <w:pStyle w:val="Normal12"/>
        <w:rPr>
          <w:szCs w:val="24"/>
        </w:rPr>
      </w:pPr>
      <w:r w:rsidRPr="00817AE6">
        <w:t>F.</w:t>
      </w:r>
      <w:r w:rsidRPr="00817AE6">
        <w:tab/>
        <w:t>ottaa huomioon, että Kiinan kansantasavallan pakkotoimet ja yhä määrätietoisempi toiminta, mukaan lukien sen yhä aggressiivisempi suhtautuminen Taiwaniin ja aggressiivinen asenne Etelä-Kiinan merellä, sekä covid-19-pandemian ja Venäjän Ukrainaa vastaan käymän hyökkäyssodan sosiaaliset ja taloudelliset seuraukset ovat paljastaneet EU:n haavoittuvuudet ja vahvistaneet jälleen tarpeen vähentää riskejä, jotka liittyvät sen suhteisiin Kiinan kansantasavallan ja muiden epädemokraattisten kolmansien maiden kanssa;</w:t>
      </w:r>
    </w:p>
    <w:p w:rsidR="005A1FFA" w:rsidRPr="00817AE6" w:rsidRDefault="005A1FFA" w:rsidP="005A1FFA">
      <w:pPr>
        <w:pStyle w:val="Normal12"/>
        <w:rPr>
          <w:szCs w:val="24"/>
        </w:rPr>
      </w:pPr>
      <w:r w:rsidRPr="00817AE6">
        <w:t>G.</w:t>
      </w:r>
      <w:r w:rsidRPr="00817AE6">
        <w:tab/>
        <w:t xml:space="preserve">ottaa huomioon, että Kiinan hallitus on osoittanut olevansa valmis </w:t>
      </w:r>
      <w:proofErr w:type="gramStart"/>
      <w:r w:rsidRPr="00817AE6">
        <w:t>käyttämään</w:t>
      </w:r>
      <w:proofErr w:type="gramEnd"/>
      <w:r w:rsidRPr="00817AE6">
        <w:t xml:space="preserve"> sillä olevaa maailmanlaajuisten harvinaisten maametallivarantojen ylivertaista hallintaa aseena poliittisiin tarkoituksiin ja saadakseen perusteettomia taloudellisia myönnytyksiä ja etuja;</w:t>
      </w:r>
    </w:p>
    <w:p w:rsidR="005A1FFA" w:rsidRPr="00817AE6" w:rsidRDefault="005A1FFA" w:rsidP="005A1FFA">
      <w:pPr>
        <w:pStyle w:val="Normal12"/>
        <w:rPr>
          <w:szCs w:val="24"/>
        </w:rPr>
      </w:pPr>
      <w:r w:rsidRPr="00817AE6">
        <w:t>H.</w:t>
      </w:r>
      <w:r w:rsidRPr="00817AE6">
        <w:tab/>
        <w:t>ottaa huomioon, että Kiina rajoittaa muiden kuin kiinalaisten yritysten osallistumista infrastruktuurihankkeisiin turvallisuusriskien perusteella ja esittää kriittistä infrastruktuuria koskevaa lainsäädäntöä, kuten kriittisten tietoinfrastruktuurien turvallisuutta koskevia asetuksia; ottaa huomioon, että Kiina osallistuu EU:n rahoittaman infrastruktuurin rakentamiseen EU:n eri jäsenvaltioissa; ottaa huomioon, että kansainvälisten sitoumusten mukaan EU ja jäsenvaltiot voivat tietyin edellytyksin toteuttaa suoria ulkomaisia sijoituksia koskevia rajoittavia toimenpiteitä turvallisuuteen tai yleiseen järjestykseen liittyvistä syistä; ottaa huomioon, että Kiina toteutti vuosina 2021–2022 Liettuan vastaisen taloussaarron reaktiona Liettuan päätökseen vetäytyä uusi silkkitie -aloitteesta ja avata Taiwanin edustusto Liettuassa, minkä seurauksena komissio pyysi perustamaan Maailman kauppajärjestöön paneelin tutkimaan, olivatko kaupparajoitukset, joita Kiina kohdisti Liettuan vientituotteisiin tai sellaisiin EU:n vientituotteisiin, joissa on liettualaista sisältöä, laillisia; katsoo, että tämä on osoitus siitä, että Kiina toimii päättäväisesti paitsi kohdistaessaan tiettyihin EU:n jäsenvaltioihin suoraa taloudellista pakottamista myös käyttäessään toissijaisten pakotteiden uhkaa;</w:t>
      </w:r>
    </w:p>
    <w:p w:rsidR="005A1FFA" w:rsidRPr="00817AE6" w:rsidRDefault="005A1FFA" w:rsidP="005A1FFA">
      <w:pPr>
        <w:pStyle w:val="Normal12"/>
        <w:rPr>
          <w:szCs w:val="24"/>
        </w:rPr>
      </w:pPr>
      <w:r w:rsidRPr="00817AE6">
        <w:t>I.</w:t>
      </w:r>
      <w:r w:rsidRPr="00817AE6">
        <w:tab/>
        <w:t>ottaa huomioon, että Kiinan digitaalisen autoritaarisuuden ja sen harjoittaman joukkovalvonnan leviäminen kiihtyy edelleen sekä Kiinassa että sen ulkopuolella ja että sen kohteena ovat demokraattiset instituutiot ja yhteiskunnat; katsoo, että tämä uhkaa luoda uuden kansainvälisen järjestyksen, joka vaarantaisi vapauden ja demokratian kaikkialla maailmassa; ottaa huomioon, että suuri määrä kiinalaisia opiskelijoita opiskelee jäsenvaltioiden yliopistoissa erityisesti kaksikäyttöteknologioiden alalla, mikä voi johtaa joissakin tapauksissa suureen vakoiluriskiin; ottaa huomioon, että Kiinan armeija on palkannut entisiä eurooppalaisia taistelulentäjiä ja että tällainen värväys aiheuttaa vakavan kriittisten tietojen siirtymisen riskin, mikä vaarantaa asianomaisten maiden sotilaalliset ja strategiset edut; ottaa huomioon, että Kiinan tavoitteet ovat muuttumassa kunnianhimoisemmiksi sellaisilla strategisilla aloilla kuin tekoäly, pilvipalvelut, puolijohteet tai atk-laitteistot; ottaa huomioon, että näitä välineitä, erityisesti tekoälyä, voitaisiin kehittää sotilaallisiin tarkoituksiin, ja ne voivat merkitä seuraavaa vallankumousta sotilasalalla;</w:t>
      </w:r>
    </w:p>
    <w:p w:rsidR="005A1FFA" w:rsidRPr="00817AE6" w:rsidRDefault="005A1FFA" w:rsidP="005A1FFA">
      <w:pPr>
        <w:tabs>
          <w:tab w:val="left" w:pos="567"/>
        </w:tabs>
        <w:spacing w:after="240"/>
        <w:ind w:left="567" w:hanging="567"/>
        <w:rPr>
          <w:szCs w:val="24"/>
        </w:rPr>
      </w:pPr>
      <w:r w:rsidRPr="00817AE6">
        <w:t>J.</w:t>
      </w:r>
      <w:r w:rsidRPr="00817AE6">
        <w:tab/>
        <w:t>katsoo, että Kiinan hankkima kriittinen infrastruktuuri, etenkin EU:n sisällä ja sen naapurialueilla, mukaan lukien Länsi-Balkanilla, on yhä vakavampi moniulotteinen riski EU:n turvallisuudelle;</w:t>
      </w:r>
    </w:p>
    <w:p w:rsidR="005A1FFA" w:rsidRPr="00817AE6" w:rsidRDefault="005A1FFA" w:rsidP="005A1FFA">
      <w:pPr>
        <w:tabs>
          <w:tab w:val="left" w:pos="567"/>
        </w:tabs>
        <w:spacing w:after="240"/>
        <w:ind w:left="567" w:hanging="567"/>
        <w:rPr>
          <w:szCs w:val="24"/>
        </w:rPr>
      </w:pPr>
      <w:r w:rsidRPr="00817AE6">
        <w:t>K.</w:t>
      </w:r>
      <w:r w:rsidRPr="00817AE6">
        <w:tab/>
        <w:t>ottaa huomioon, että Kiinan kansalliseen turvallisuuteen liittyvä lainsäädäntö, kuten Kiinan kansantasavallan vuoden 2015 kansallista turvallisuutta koskeva laki, edellyttää, että kansalaiset ja järjestöt tukevat Kiinan yleistä turvallisuutta, valtion turvallisuutta tai sotilaallisia elimiä ja antavat tätä varten apua;</w:t>
      </w:r>
    </w:p>
    <w:p w:rsidR="005A1FFA" w:rsidRPr="00817AE6" w:rsidRDefault="005A1FFA" w:rsidP="005A1FFA">
      <w:pPr>
        <w:pStyle w:val="Normal12"/>
        <w:rPr>
          <w:rFonts w:cs="Myriad Pro"/>
          <w:szCs w:val="22"/>
        </w:rPr>
      </w:pPr>
      <w:r w:rsidRPr="00817AE6">
        <w:t>L.</w:t>
      </w:r>
      <w:r w:rsidRPr="00817AE6">
        <w:tab/>
        <w:t>ottaa huomioon, että Kiinan ja Venäjän välinen strateginen kumppanuus, joka virallistettiin 4. helmikuuta 2022 annetulla yhteisellä julkilausumalla ”kansainvälisten suhteiden uudesta aikakaudesta ja maailmanlaajuisesta kestävästä kehityksestä”, vahvistuu edelleen, myös sellaisilla aloilla kuin teknologia ja sotilaallinen asiantuntemus sekä kyvykkyyksien siirto, mikä merkitsee yhä suurempaa uhkaa Euroopan turvallisuudelle;</w:t>
      </w:r>
    </w:p>
    <w:p w:rsidR="005A1FFA" w:rsidRPr="00817AE6" w:rsidRDefault="005A1FFA" w:rsidP="005A1FFA">
      <w:pPr>
        <w:pStyle w:val="Normal12"/>
        <w:rPr>
          <w:rStyle w:val="BoldItalic"/>
        </w:rPr>
      </w:pPr>
      <w:r w:rsidRPr="00817AE6">
        <w:rPr>
          <w:rStyle w:val="BoldItalic"/>
        </w:rPr>
        <w:t>Keskeinen haaste: Kiinan sotilas- ja siviilialan yhdistämisen strategian ymmärtäminen</w:t>
      </w:r>
    </w:p>
    <w:p w:rsidR="005A1FFA" w:rsidRPr="00817AE6" w:rsidRDefault="005A1FFA" w:rsidP="005A1FFA">
      <w:pPr>
        <w:pStyle w:val="Normal12"/>
      </w:pPr>
      <w:r w:rsidRPr="00817AE6">
        <w:t>1.</w:t>
      </w:r>
      <w:r w:rsidRPr="00817AE6">
        <w:tab/>
        <w:t>korostaa, että Kiinan sotilas- ja siviilialan yhdistämisen strategiassa on kyse valtiojohtoisesta ja valtion ohjailemasta ohjelmasta ja suunnitelmista kaikkien valtion käytössä olevien keinojen ja kaupallisen voiman valjastamiseksi vahvistamaan ja tukemaan Kiinan kommunistista puoluetta ja sen aseellista siipeä, Kansan vapautusarmeijaa, erityisesti hankkimalla maailman edistyneintä huipputeknologiaa ja soveltamalla sitä uusiin tarkoituksiin tavoiteltaessa totalitaarisen hallinnon vahvistamista ja sotilaallisen valta-aseman saavuttamista;</w:t>
      </w:r>
    </w:p>
    <w:p w:rsidR="005A1FFA" w:rsidRPr="00817AE6" w:rsidRDefault="005A1FFA" w:rsidP="005A1FFA">
      <w:pPr>
        <w:pStyle w:val="Normal12"/>
      </w:pPr>
      <w:r w:rsidRPr="00817AE6">
        <w:t>2.</w:t>
      </w:r>
      <w:r w:rsidRPr="00817AE6">
        <w:tab/>
        <w:t>katsoo, että Kiinan puoluejohtoinen poliittinen järjestelmä ja talous edellyttävät usein, että yksityiset yritykset mukautuvat kaupallisten intressiensä osalta Kiinan kommunistiseen puolueeseen, myös puolueen sotilaallisiin toimiin, sortotoimiin, vaikuttamistoimiin sekä poliittiseen vaikuttamiseen tähtäävään toimintaan; panee merkille, että yksityisten yritysten sisällä toimivia Kiinan kommunistisen puolueen soluja käytetään yleisesti puolueen harjoittaman suoran valvonnan välineinä; korostaa, että tämän seurauksena kiinalaisten yritysten kansainvälinen toiminta tukee Kiinan kommunistisen puolueen tavoitteita laajentaa vaikutusvaltaansa muihin maihin nähden, horjuttaa geopoliittisia kilpailijoita ja lisätä Kiinan vaikutusvaltaa;</w:t>
      </w:r>
    </w:p>
    <w:p w:rsidR="005A1FFA" w:rsidRPr="00817AE6" w:rsidRDefault="005A1FFA" w:rsidP="005A1FFA">
      <w:pPr>
        <w:pStyle w:val="Normal12"/>
      </w:pPr>
      <w:r w:rsidRPr="00817AE6">
        <w:t>3.</w:t>
      </w:r>
      <w:r w:rsidRPr="00817AE6">
        <w:tab/>
        <w:t xml:space="preserve">katsoo, että Kiinan sotilas- ja siviilialan yhdistäminen on ymmärrettävä laajemmassa poliittisessa ja strategisessa kontekstissa ottaen huomioon sen kytkökset muihin aloitteisiin, kuten uutta silkkitietä koskevaan aloitteeseen, aloitteeseen digitaalisesta silkkitiestä (mukaan lukien Made in China 2025 - aloite ja China Standards 2035 </w:t>
      </w:r>
      <w:r w:rsidRPr="00817AE6">
        <w:noBreakHyphen/>
        <w:t>aloite), globaaliin turvallisuusaloitteeseen ja rinnakkaiskäytön strategiaan sekä Kiinan lisääntyvään määrätietoisuuteen ja aggressiiviseen käyttäytymiseen ulkomailla; katsoo, että Kiinan sotilas- ja siviilialan yhdistämisen lopullisena tavoitteena on edistää puoluevaltion pitkän aikavälin strategista tavoitetta päästä johtavaan asemaan maailmassa poliittisen vaikutusvallan, taloudellisten valmiuksien, teknologisesti määräävän aseman ja sotilaallisen voiman osalta ja heikentää sääntöpohjaista kansainvälistä järjestystä;</w:t>
      </w:r>
    </w:p>
    <w:p w:rsidR="005A1FFA" w:rsidRPr="00817AE6" w:rsidRDefault="005A1FFA" w:rsidP="005A1FFA">
      <w:pPr>
        <w:pStyle w:val="Normal12"/>
      </w:pPr>
      <w:r w:rsidRPr="00817AE6">
        <w:t>4.</w:t>
      </w:r>
      <w:r w:rsidRPr="00817AE6">
        <w:tab/>
        <w:t>muistuttaa, että etusijan saavuttaminen tieteessä ja teknologiassa on ollut viime vuosina yksi Kiinan kommunistisen puolueen ensisijaisista tavoitteista ja että sen sotilas- ja siviilialan yhdistämisen strategia kannustaa jakamaan tutkimus- ja kehitystyön tuloksia markkinasuuntautuneen teollisuuden ja Kiinan puolustusteollisuuden välillä; painottaa tiedustelupalvelujen toistuvasti antamia varoituksia taloudellisen riippuvuuden, vakoilun ja sabotaasin riskeistä, jotka johtuvat tiettyjen EU:n ulkopuolisten maiden, erityisesti Kiinan, toimijoiden taloudellisesta läsnäolosta kriittisessä infrastruktuurissa ja strategisilla aloilla eri puolilla EU:ta; on tässä yhteydessä huolissaan poliittisesta painostuksesta, jota on käytetty hyväksyttäessä erinäisiä Kiinan investointeja kriittiseen infrastruktuuriin, kuten tapauksessa, jossa Saksan hallitus päätti suostua siihen, että COSCO hankkisi osuuden Hampurin satamasta toimivaltaisten instituutioiden ohjeiden vastaisesti;</w:t>
      </w:r>
    </w:p>
    <w:p w:rsidR="005A1FFA" w:rsidRPr="00817AE6" w:rsidRDefault="005A1FFA" w:rsidP="00901947">
      <w:pPr>
        <w:pStyle w:val="Normal12"/>
        <w:keepNext/>
        <w:ind w:left="0" w:firstLine="0"/>
        <w:rPr>
          <w:i/>
        </w:rPr>
      </w:pPr>
      <w:r w:rsidRPr="00817AE6">
        <w:rPr>
          <w:b/>
          <w:i/>
        </w:rPr>
        <w:t>Kiinan kansantasavallan sotilas- ja siviilialan yhdistämisen strategian seuraukset</w:t>
      </w:r>
    </w:p>
    <w:p w:rsidR="005A1FFA" w:rsidRPr="00817AE6" w:rsidRDefault="005A1FFA" w:rsidP="005A1FFA">
      <w:pPr>
        <w:pStyle w:val="Normal12"/>
      </w:pPr>
      <w:r w:rsidRPr="00817AE6">
        <w:t>5.</w:t>
      </w:r>
      <w:r w:rsidRPr="00817AE6">
        <w:tab/>
        <w:t>varoittaa riskistä, joka aiheutuu siitä, että kiinalaisyrityksillä, etenkin sellaisilla yrityksillä, joilla on suoria tai epäsuoria yhteyksiä Kiinan poliittis-sotilaalliseen järjestelmään, on minkäänlaisia kytköksiä EU:n strategisiin voimavaroihin, korostaa tässä yhteydessä olevansa huolissaan siitä, että siviilitoiminnassa erityisesti talouden alalla käytetty teknologia ja teknologinen asiantuntemus siirtyy edelleen Kiinan sotilasalalle ja vahvistaa siten Kansan vapautusarmeijan valmiuksia kehittää uuden sukupolven sotilasteknologiaa, jota voidaan käyttää painostamaan kumppaneita Aasiassa ja ympäri maailmaa; kehottaa EU:n jäsenvaltioita lisäämään viranomaisvalvontaa ja ottamaan käyttöön erityisiä taustan tarkistuksia sellaisten henkilöiden ja oikeushenkilöiden osalta, joilla on suoria kytköksiä Kiinan hallitukseen;</w:t>
      </w:r>
    </w:p>
    <w:p w:rsidR="005A1FFA" w:rsidRPr="00817AE6" w:rsidRDefault="005A1FFA" w:rsidP="005A1FFA">
      <w:pPr>
        <w:pStyle w:val="Normal12"/>
      </w:pPr>
      <w:r w:rsidRPr="00817AE6">
        <w:t>6.</w:t>
      </w:r>
      <w:r w:rsidRPr="00817AE6">
        <w:tab/>
        <w:t>on huolissaan siitä, että 98 prosenttiin EU:n harvinaisten maametallien kysynnästä vastaa Kiinan kansantasavalta; painottaa, että Kiina tuottaa 70 prosenttia maailman akuista (viidestä merkittävimmästä akkuvalmistajasta kolme sijaitsee Kiinassa), sen osuus maailman alumiinituotannosta on 60 prosenttia ja silikonituotannosta 75 prosenttia ja edelleen galliumin maailmanlaajuisesta tuotannosta 94 prosenttia ja noin 60 prosenttia germaniumin tuotannosta, ja toteaa, että Kiina käsittelee johtavana jalostajana 60 prosenttia litiumista ja 70 prosenttia kuparista sekä tuottaa 84 prosenttia maailman nikkelistä ja 85 prosenttia koboltista; korostaa, että kiinalaiset kaivosyhtiöt toimivat Serbiassa (kupari ja kulta), Kongon demokraattisessa tasavallassa (koboltti), Indonesiassa (nikkeli), Chilessä ja Australiassa (litium) ja että se, että sillä on lähes monopoliasema näiden kriittisten raaka-aineiden tuotannossa ja jalostuksessa, ei ole ainoastaan akuutti geopoliittinen haaste EU:lle vaan myös valtava riski Euroopan puolustukselle ja muille keskeisille teollisuudenaloille sekä sen avoimelle strategiselle riippumattomuudelle sekä Euroopan taloudellisen turvallisuuden strategialle;</w:t>
      </w:r>
    </w:p>
    <w:p w:rsidR="005A1FFA" w:rsidRPr="00817AE6" w:rsidRDefault="005A1FFA" w:rsidP="005A1FFA">
      <w:pPr>
        <w:pStyle w:val="Normal12"/>
      </w:pPr>
      <w:r w:rsidRPr="00817AE6">
        <w:t>7.</w:t>
      </w:r>
      <w:r w:rsidRPr="00817AE6">
        <w:tab/>
        <w:t>suhtautuu tältä osin myönteisesti komission ehdotukseen kriittisiä raaka-aineita koskevaksi säädökseksi ja kehottaa panemaan sen tavoitteet nopeasti täytäntöön EU:n toimitusketjun häiriönsietokyvyn vahvistamiseksi; muistuttaa, että kriittiset raaka-aineet ovat olennaisen tärkeitä turvallisuus- ja puolustusalalle sekä EU:n digitaalisen ja vihreän siirtymän onnistumisen kannalta; kehottaa komissiota ja jäsenvaltioita panemaan täytäntöön yhteistyössä teollisuuden sidosryhmien kanssa päätöksen vähentää asteittain riippuvuutta Kiinasta monipuolistamalla kriittisten raaka-aineiden ja harvinaisten maametallien lähteitä ja luomalla strategisia kumppanuuksia luotettavien kolmansien maiden kanssa kriittisten raaka-aineiden varman ja luotettavan saatavuuden varmistamiseksi; kehottaa EU:ta avustamaan jäsenvaltioita sellaisten hankkeiden kehittämisessä, joilla pyritään lisäämään riippumattomuutta Kiinan tuotannosta;</w:t>
      </w:r>
    </w:p>
    <w:p w:rsidR="005A1FFA" w:rsidRPr="00817AE6" w:rsidRDefault="005A1FFA" w:rsidP="005A1FFA">
      <w:pPr>
        <w:pStyle w:val="Normal12"/>
      </w:pPr>
      <w:r w:rsidRPr="00817AE6">
        <w:t>8.</w:t>
      </w:r>
      <w:r w:rsidRPr="00817AE6">
        <w:tab/>
        <w:t>kehottaa painokkaasti monipuolistamaan toimituslähteitä ja etsimään monenlaisia kumppaneita kriittisen infrastruktuurin aloitteissa, jotta vähennetään alttiutta ulkoisille vaikutuksille ja varmistetaan, että riippuvuus yhdestä ainoasta lähteestä minimoidaan;</w:t>
      </w:r>
    </w:p>
    <w:p w:rsidR="005A1FFA" w:rsidRPr="00817AE6" w:rsidRDefault="005A1FFA" w:rsidP="005A1FFA">
      <w:pPr>
        <w:pStyle w:val="Normal12"/>
      </w:pPr>
      <w:r w:rsidRPr="00817AE6">
        <w:t>9.</w:t>
      </w:r>
      <w:r w:rsidRPr="00817AE6">
        <w:tab/>
        <w:t>on huolissaan siitä, että sekä EU:n että jäsenvaltioiden diplomaattista ja sotilaallista viestintää tuetaan yksityisomistuksessa olevien vedenalaisten kaapeleiden avulla, joita ylläpitävät kiinalaiset yritykset kuten HMN Technologies, jolla on kytköksiä Kansan vapautusarmeijan kybertiedusteluun; ilmaisee vakavan huolensa merenalaisista tietoliikennekaapelijärjestelmistä, joiden toiminnasta vastaa kiinalainen yritys HMN Technologies ja jotka yhdistävät toisiinsa EU:n jäsenvaltioiden alueet ja indopasifisen alueen, mukaan lukien jäsenvaltioiden ja Naton sotilastukikohdat, mikä aiheuttaa kyberturvallisuuteen, vedenalaiseen valvontaan, tiedonkeruuseen ja tiedustelutietojen keräämiseen liittyviä turvallisuushaavoittuvuuksia; on tältä osin huolissaan myös Viron internet-infrastruktuurin selkärankana toimineen alankomaalaisen yrityksen myynnistä kiinalaiselle yritykselle, jolla on sidoksia Kansan vapautusarmeijaan; korostaa, että vastaavien tapausten estämiseksi tarvitaan jäsenvaltioiden yhteisiä ponnistuksia;</w:t>
      </w:r>
    </w:p>
    <w:p w:rsidR="005A1FFA" w:rsidRPr="00817AE6" w:rsidRDefault="005A1FFA" w:rsidP="005A1FFA">
      <w:pPr>
        <w:pStyle w:val="NormalHanging12a"/>
        <w:rPr>
          <w:szCs w:val="24"/>
        </w:rPr>
      </w:pPr>
      <w:r w:rsidRPr="00817AE6">
        <w:t>10.</w:t>
      </w:r>
      <w:r w:rsidRPr="00817AE6">
        <w:tab/>
        <w:t>muistuttaa, että EU:n toimielinten tietoturvainfrastruktuuria ja -palveluja on arvioitava perusteellisesti erityisesti toimielinten sekä ulkomailla toteutettavien tehtävien ja operaatioiden välisen turvallisuusluokitellun viestinnän osalta; muistuttaa, että koko toimitusketju olisi otettava huomioon varmistettaessa, että yrityksillä ei ole suoria tai välillisiä yhteyksiä Kiinan kansantasavaltaan; suosittaa EU:n toimielinten hankintamenettelyjä varten erityissäännöksiä, joilla rajoitetaan sekaantumisen riskiä, mukaan lukien kolmannen osapuolen suorittaman hankinnan, kunnossapidon tai tutkinnan yhteydessä;</w:t>
      </w:r>
    </w:p>
    <w:p w:rsidR="005A1FFA" w:rsidRPr="00817AE6" w:rsidRDefault="005A1FFA" w:rsidP="005A1FFA">
      <w:pPr>
        <w:pStyle w:val="NormalHanging12a"/>
        <w:rPr>
          <w:szCs w:val="24"/>
        </w:rPr>
      </w:pPr>
      <w:r w:rsidRPr="00817AE6">
        <w:t>11.</w:t>
      </w:r>
      <w:r w:rsidRPr="00817AE6">
        <w:tab/>
        <w:t>varoittaa, että merkittävät investoinnit merisatamiin, rautateihin ja lentoasemiin antavat Kiinan keskushallinnolle mahdollisuuden seurata ja valvoa toimia keskeisissä logistisissa solmukohdissa, joilla on perustavanlaatuinen strateginen ulottuvuus;</w:t>
      </w:r>
    </w:p>
    <w:p w:rsidR="005A1FFA" w:rsidRPr="00817AE6" w:rsidRDefault="005A1FFA" w:rsidP="005A1FFA">
      <w:pPr>
        <w:pStyle w:val="NormalHanging12a"/>
        <w:rPr>
          <w:szCs w:val="24"/>
        </w:rPr>
      </w:pPr>
      <w:r w:rsidRPr="00817AE6">
        <w:t>12.</w:t>
      </w:r>
      <w:r w:rsidRPr="00817AE6">
        <w:tab/>
        <w:t>korostaa, että Kiina oli vuonna 2022 EU:n toiseksi suurin kauppakumppani tavarakaupassa; on huolissaan EU:n ja Kiinan välisten kauppa- ja investointisuhteiden yhä suuremmasta epätasapainosta, josta kertovat myös EU:n 396 miljardin euron ennätyksellinen kauppavaje vuonna 2022 ja EU:n riippuvuus Kiinasta tulevasta tuonnista ja Kiinan investoinneista joillakin kriittisillä aloilla; korostaa, että Kiinan kansainvälinen kauppapolitiikka on epätasapainoista sen nk. dual circulation -strategian vuoksi; pyytää komissiota ottamaan Kiinan kanssa esille EU:n huolen Kiinan ohjatuista kauppakäytännöistä;</w:t>
      </w:r>
    </w:p>
    <w:p w:rsidR="005A1FFA" w:rsidRPr="00817AE6" w:rsidRDefault="005A1FFA" w:rsidP="005A1FFA">
      <w:pPr>
        <w:pStyle w:val="Normal12"/>
        <w:ind w:left="0" w:firstLine="0"/>
        <w:rPr>
          <w:b/>
          <w:i/>
        </w:rPr>
      </w:pPr>
      <w:r w:rsidRPr="00817AE6">
        <w:rPr>
          <w:b/>
          <w:i/>
        </w:rPr>
        <w:t>Ratkaisuja haasteisiin: uusia välineitä turvallisuus- ja puolustushuoliin vastaamiseksi</w:t>
      </w:r>
    </w:p>
    <w:p w:rsidR="005A1FFA" w:rsidRPr="00817AE6" w:rsidRDefault="005A1FFA" w:rsidP="005A1FFA">
      <w:pPr>
        <w:pStyle w:val="NormalHanging12a"/>
      </w:pPr>
      <w:r w:rsidRPr="00817AE6">
        <w:t>13.</w:t>
      </w:r>
      <w:r w:rsidRPr="00817AE6">
        <w:tab/>
        <w:t>katsoo, että keskeisten alojen, kuten avaruuspuolustuksen, rinnalla EU:n kriittisen infrastruktuurin ratkaisevan tärkeä osa-alue on sen tutkimus- ja kehittämislaitosten verkosto, jolla on merkittävä rooli EU:n kyvyssä toteuttaa vihreä ja digitaalinen siirtymä; muistuttaa, että teknologian pakolliseen siirtoon, teollis- ja tekijänoikeusvarkauksiin ja tietovuotoihin liittyy turvallisuushaavoittuvuuksia sekä EU:ssa että sen ulkopuolella; kehottaa lisäämään valppautta tällaisten EU:n innovointi- ja kasvukykyyn kohdistuvien uhkien huomioon ottamiseksi;</w:t>
      </w:r>
    </w:p>
    <w:p w:rsidR="005A1FFA" w:rsidRPr="00817AE6" w:rsidRDefault="005A1FFA" w:rsidP="005A1FFA">
      <w:pPr>
        <w:pStyle w:val="NormalHanging12a"/>
        <w:rPr>
          <w:szCs w:val="24"/>
        </w:rPr>
      </w:pPr>
      <w:r w:rsidRPr="00817AE6">
        <w:t>14.</w:t>
      </w:r>
      <w:r w:rsidRPr="00817AE6">
        <w:tab/>
        <w:t>panee merkille, että kiinalaiset yritykset ovat jo johtavassa asemassa keskeisissä teknologioissa, joita käytetään muun muassa langattoman 5G-infrastruktuurin, droonien, akkujen, yliääniohjusten, aurinko- ja tuulienergian sekä kryptovaluutan yhteydessä; ilmaisee huolensa näiden teknologioiden käytöstä ja riippuvuussuhteista, joita ne luovat; panee tässä yhteydessä merkille, että Kyproksella 100 prosenttia 5G</w:t>
      </w:r>
      <w:r w:rsidRPr="00817AE6">
        <w:noBreakHyphen/>
        <w:t>radioliityntäverkosta (RAN) koostuu kiinalaisista laitteista ja Saksassa vastaavasti 59 prosenttia; korostaa, että tämä on vastoin 5G-kyberturvallisuutta koskevan EU:n välineistön mukaisia suosituksia verkkojen turvallisuusriskien lieventämiseksi, ja kehottaa neuvostoa ja komissiota kieltämään Kiinan kansantasavaltaan sijoittautuneiden valmistajien laitteiden ja ohjelmiston käytön keskeisissä verkkotoiminnoissa; muistuttaa, että Huawei oli kesäkuuhun 2023 mennessä osallistunut 11:een Horisontti Eurooppa -puiteohjelman hankkeeseen ja saanut tällä tavalla yhteensä 3,89 miljoonaa euroa rahoitusta; kehottaa siksi EU:ta ja sen toimielimiä seulomaan järjestelmällisesti kiinalaiset yritykset, jotka hyötyvät suoraan tai välillisesti EU:lle strategisesti tärkeistä eurooppalaisista ohjelmista ja tarvittaessa lakkauttamaan niiden osallistumisen ohjelmiin; kehottaa lisäksi komissiota ehdottamaan lisäturvallisuusvaatimuksia 5G</w:t>
      </w:r>
      <w:r w:rsidRPr="00817AE6">
        <w:noBreakHyphen/>
        <w:t>verkon sekä seuraavan sukupolven 6G-verkon kiinalaisille toimittajille;</w:t>
      </w:r>
    </w:p>
    <w:p w:rsidR="005A1FFA" w:rsidRPr="00817AE6" w:rsidRDefault="005A1FFA" w:rsidP="005A1FFA">
      <w:pPr>
        <w:pStyle w:val="NormalHanging12a"/>
        <w:rPr>
          <w:szCs w:val="24"/>
        </w:rPr>
      </w:pPr>
      <w:r w:rsidRPr="00817AE6">
        <w:t>15.</w:t>
      </w:r>
      <w:r w:rsidRPr="00817AE6">
        <w:tab/>
        <w:t>katsoo, että kiinalaisen ByteDance-ryhmittymän omistama TikTok-sovellus on EU:n tietosuojakehyksen vastainen, minkä vuoksi se on potentiaalinen riski ja Kiinan tukeman disinformaation lähde; suhtautuu myönteisesti EU:n toimielinten ja useiden EU:n jäsenvaltioiden päätökseen lakkauttaa TikTok-sovelluksen käyttö yritysten laitteilla sekä toimielinten mobiililaitepalveluihin rekisteröidyillä henkilökohtaisilla laitteilla;</w:t>
      </w:r>
    </w:p>
    <w:p w:rsidR="005A1FFA" w:rsidRPr="00817AE6" w:rsidRDefault="005A1FFA" w:rsidP="005A1FFA">
      <w:pPr>
        <w:pStyle w:val="Normal12"/>
      </w:pPr>
      <w:r w:rsidRPr="00817AE6">
        <w:t>16.</w:t>
      </w:r>
      <w:r w:rsidRPr="00817AE6">
        <w:tab/>
        <w:t>varoittaa siitä, että turvallisuusympäristön heikentyminen Euroopassa, sen naapurustossa ja eri puolilla maailmaa edellyttää kiireellistä pohdintaa siitä, miten voidaan vahvistaa EU:n avointa strategista riippumattomuutta ja vähentää sen riippuvuutta Kiinan kansantasavallan kaltaisista maista ja systeemisistä kilpailijoista, jotka ovat turvallisuusuhka EU:lle; painottaa tarvetta estää arkaluonteisten kehitteillä olevien teknologioiden ja merkittävien kaksikäyttötuotteiden, erityisesti niiden, jotka ovat unionin turvallisuuden ja puolustuksen kannalta kriittisiä, vuotaminen huolta herättäviin kohteisiin, jotka noudattavat Kiinan sotilas- ja siviilialan yhdistämisen strategioita tai tekevät niihin liittyvää yhteistyötä; pitää EU:n laajuisten sähköisten tulli- ja vientilupajärjestelmien käyttöönottoa ratkaisevana askeleena kohti tehokasta yhteistä eurooppalaista vientivalvontaa ja kehottaa kaikkia jäsenvaltioita ottamaan kyseiset järjestelmät käyttöön vuoden 2024 loppuun mennessä; kehottaa lisäksi EU:n toimielimiä ja jäsenvaltioita vahvistamaan kriittisen infrastruktuurin suojelemiseen liittyvää yhteistyötä transatlanttisten kumppaneiden ja muiden samanmielisten kumppanien kanssa sekä puolustamaan demokratiaa ja säilyttämään yhteiset arvomme, turvallisuutemme ja vaurautemme;</w:t>
      </w:r>
    </w:p>
    <w:p w:rsidR="005A1FFA" w:rsidRPr="00817AE6" w:rsidRDefault="005A1FFA" w:rsidP="005A1FFA">
      <w:pPr>
        <w:pStyle w:val="Normal12"/>
      </w:pPr>
      <w:r w:rsidRPr="00817AE6">
        <w:t>17.</w:t>
      </w:r>
      <w:r w:rsidRPr="00817AE6">
        <w:tab/>
        <w:t>on edelleen huolissaan siitä, että Euroopan kriittinen infrastruktuuri televerkoista satamalaitoksiin muuttuu yhä alttiimmaksi ulkopuoliselle vaikuttamiselle; panee tässä yhteydessä tyytyväisenä merkille viimeaikaiset lainsäädäntötoimet kriittisten toimijoiden häiriönsietokyvyn vahvistamiseksi EU:ssa; panee kuitenkin huolestuneena merkille, että tällaiset aloitteet rajoittuvat suurelta osin ulkomaisten suorien sijoitusten seurantamenettelyihin mutta Kiinan kommunistiselle puolueelle jää edelleen muita kanavia, joiden kautta se voi päästä käsiksi ja vaikuttaa strategiin kohteisiin, mukaan lukien eliitin jäsenten värvääminen, teollis- ja tekijänoikeuksien siirtäminen sekä toimitusketjujen ja myynnin riippuvuudet; toteaa, että on ehdottoman välttämätöntä luoda puitteet perusteelliselle riskinarvioinnille ja kartoitukselle kriittisen infrastruktuuriomaisuuden ja sen herkkyyksien tunnistamiseksi; katsoo, että on tarpeen kartoittaa, jäljittää ja arvioida Kiinan ja muiden kolmansien maiden mahdollisuuksia päästä käsiksi kriittiseen infrastruktuuriin EU:ssa ja tarvittaessa toteuttaa yhdessä lieventäviä toimenpiteitä; kehottaa näin ollen komissiota laatimaan jäsenvaltioiden tuella kattavan luettelon strategisista kohteista ja arvioimaan järjestelmällisesti niiden alttiutta ulkoisille vaikutuksille; kehottaa siis laajentamaan lainsäädäntöaloitteita, jotta tällaiset riskit voidaan torjua;</w:t>
      </w:r>
    </w:p>
    <w:p w:rsidR="005A1FFA" w:rsidRPr="00817AE6" w:rsidRDefault="005A1FFA" w:rsidP="005A1FFA">
      <w:pPr>
        <w:pStyle w:val="NormalHanging12a"/>
      </w:pPr>
      <w:r w:rsidRPr="00817AE6">
        <w:t>18.</w:t>
      </w:r>
      <w:r w:rsidRPr="00817AE6">
        <w:tab/>
        <w:t>kehottaa komissiota toimittamaan parlamentille ennen tämän vaalikauden loppua yksityiskohtaisen analyysin niistä kaupan alan riskeistä, jotka liittyvät sellaiseen teknologiaan kuin puolijohteet, kvanttilaskenta, lohkoketjut, avaruusteknologia, tekoäly ja bioteknologia, sekä EU:n toimien mahdollisesta tarpeesta näillä aloilla;</w:t>
      </w:r>
    </w:p>
    <w:p w:rsidR="005A1FFA" w:rsidRPr="00817AE6" w:rsidRDefault="005A1FFA" w:rsidP="005A1FFA">
      <w:pPr>
        <w:pStyle w:val="Normal12"/>
      </w:pPr>
      <w:r w:rsidRPr="00817AE6">
        <w:t>19.</w:t>
      </w:r>
      <w:r w:rsidRPr="00817AE6">
        <w:tab/>
        <w:t>muistuttaa, että ulkomaisten suorien sijoitusten seurantaa koskevassa asetuksessa</w:t>
      </w:r>
      <w:r w:rsidRPr="00901947">
        <w:rPr>
          <w:rStyle w:val="FootnoteReference"/>
        </w:rPr>
        <w:footnoteReference w:id="14"/>
      </w:r>
      <w:r w:rsidRPr="00817AE6">
        <w:t xml:space="preserve"> käsitellään EU:n ulkopuolelta tehdyistä investoinneista aiheutuvia turvallisuuteen ja yleiseen järjestykseen kohdistuvia riskejä; muistuttaa seurantamekanismin keskeisestä lisäarvosta asianmukaisena välineenä, joka antaa EU:lle ja sen jäsenvaltioille paremman strategisen yleiskuvan ja tilannetietoisuuden suuntauksista, tavoitteista, keinoista ja menetelmistä, joita ulkomaiset toimijat käyttävät lisätäkseen taloudellista ja poliittista vaikutusvaltaansa; kehottaa laajentamaan suoriin ulkomaisiin investointeihin ja ulkomaisiin tukiin kohdennettuja nykyisiä välineitä siten, että ne kattavat yleiset seurantamenettelyt kaikille sidosryhmille, jotka osallistuvat EU:n kriittiseen infrastruktuuriin liittyviin hankkeisiin, ja käsittävät kaiken osallistumisen kriittisen infrastruktuurin toimiin, mukaan lukien yhteistyöhankkeet, kumppanuudet ja teknologian siirrot; korostaa myös, että kriittiseen infrastruktuuriin liittyvien hankkeiden rutiininomaiset arvioinnit, joihin osallistuu EU:n ulkopuolisia sidosryhmiä, ovat olennaisen tärkeitä, ja katsoo, että tähän prosessiin olisi sisällyttävä omistusrakenteiden, toimitusketjujen riippuvuuksien ja näihin hankkeisiin liittyvän teknologian siirron valvonta; katsoo myös, että on tarpeen laatia asianmukaista huolellisuutta koskevia standardeja, jotta voidaan tunnistaa Kiinan vaikutusvalta EU:n kriittiseen infrastruktuuriin sijoittajiin nähden, ja korostaa, että tätä lähestymistapaa olisi sovellettava yhtäläisesti ehdokasmaihin ja mahdollisiin ehdokasmaihin; painottaa, että jäsenvaltiot ovat viime kädessä vastuussa infrastruktuurin suojelusta, mutta ne eivät ole panneet suoria ulkomaisia investointeja koskevia nykyisiä ohjeistuksia johdonmukaisesti täytäntöön; on näin ollen erittäin huolissaan siitä, että kaikki jäsenvaltiot eivät ole ottaneet käyttöön tai käytä kriittiseen infrastruktuuriin tehtyjen ulkomaisten suorien sijoitusten seurantaan tarkoitettua mekanismia; kehottaa painokkaasti jäsenvaltioita panemaan johdonmukaisesti täytäntöön nykyisen lainsäädännön, joka koskee suoria ulkomaisia sijoituksia ja kriittisten toimijoiden häiriönsietokykyä;</w:t>
      </w:r>
    </w:p>
    <w:p w:rsidR="005A1FFA" w:rsidRPr="00817AE6" w:rsidRDefault="005A1FFA" w:rsidP="005A1FFA">
      <w:pPr>
        <w:pStyle w:val="Normal12"/>
      </w:pPr>
      <w:r w:rsidRPr="00817AE6">
        <w:t>20.</w:t>
      </w:r>
      <w:r w:rsidRPr="00817AE6">
        <w:tab/>
        <w:t>pitää tässä yhteydessä valitettavana, että turvalaitteiden julkisiin hankintoihin kohdistuvien häiriöiden riskejä ei seulota riittävällä tavalla, kuten tapauksessa, jossa Strasbourgin lentoasema allekirjoitti sellaisen sopimuksen lentoaseman turvaskannereiden ja -porttien asentamisesta, että niiden toimittajana oli Kiinan hallituksen osittain omistaman ja yhteisrintaman politiikkaa noudattavan kiinalaisen Nuctech-yrityksen eurooppalainen tytäryhtiö; varoittaa, että kaikissa tällaisissa teknologioissa voi olla sisäänrakennettuja turvallisuuspuutteita tai niihin voidaan päästä käsiksi niiden kunnossapidon aikana; pitää toisaalta myönteisenä Romanian hallituksen päätöstä lopettaa neuvottelut CGNPC:n (China General Nuclear Power Corporation) kanssa ydinreaktoreiden 3 ja 4 rakentamisesta Cernavodaan;</w:t>
      </w:r>
    </w:p>
    <w:p w:rsidR="005A1FFA" w:rsidRPr="00817AE6" w:rsidRDefault="005A1FFA" w:rsidP="005A1FFA">
      <w:pPr>
        <w:pStyle w:val="Normal12"/>
      </w:pPr>
      <w:r w:rsidRPr="00817AE6">
        <w:t>21.</w:t>
      </w:r>
      <w:r w:rsidRPr="00817AE6">
        <w:tab/>
        <w:t>korostaa kuitenkin, että on löydettävä strateginen tasapaino toisaalta EU:n sisämarkkinoiden avoimuuden ja niiden investointien houkuttelemiseen liittyvän kyvykkyyden ja toisaalta EU:n kriittisen infrastruktuurin ja riippumattomuuden puolustamisen välillä ottaen huomioon EU:n turvallisuushaavoittuvuudet, erityisesti kun on kyse taloudellisesta pakottamisesta tai Euroopan kriittisen infrastruktuurin eheyteen kohdistuvista uhkista;</w:t>
      </w:r>
    </w:p>
    <w:p w:rsidR="005A1FFA" w:rsidRPr="00817AE6" w:rsidRDefault="005A1FFA" w:rsidP="005A1FFA">
      <w:pPr>
        <w:pStyle w:val="Normal12"/>
      </w:pPr>
      <w:r w:rsidRPr="00817AE6">
        <w:t>22.</w:t>
      </w:r>
      <w:r w:rsidRPr="00817AE6">
        <w:tab/>
        <w:t>kehottaa komissiota harkitsemaan keinoja, joilla sen ulkomaisten suorien sijoitusten seurantaa koskevista lausunnoista voitaisiin tehdä vaikuttavampia, jotta vältetään sisämarkkinoiden vääristyminen ja kilpailu alhaisimmasta sääntelystä jäsenvaltioiden keskuudessa; kehottaa komissiota ja jäsenvaltioita tehostamaan yhdenmukaistamista, myös tarvittavaa asiantuntemusta kehittämällä, ja panemaan täysimääräisesti täytäntöön ulkomaisten suorien sijoitusten seurantaa koskevan asetuksen; toteaa, että asetusta on mahdollista ja tarpeen vahvistaa, kun sitä tarkastellaan uudelleen vuoden lopussa; kannustaa komissiota esittämään asetuksen tarkistamista koskevan kunnianhimoisen lainsäädäntöehdotuksen, jossa käsitellään asianmukaisesti kaikkia asetuksen täytäntöönpanon aikana syntyneitä porsaanreikiä, sekä arvioimaan pikaisesti mahdollisuutta antaa lainsäädäntöehdotus ulkomaille suuntautuvien sijoitusten seurantamekanismista; suosittelee, että ehdotettu ulkomaille suuntautuvien sijoitusten seurantamekanismi luotaisiin yritysten asianmukaisen kuulemisen sisältävän vaikutustenarvioinnin pohjalta, jotta kaikki mahdolliset kielteiset vaikutukset Euroopan kilpailukykyyn voidaan minimoida;</w:t>
      </w:r>
    </w:p>
    <w:p w:rsidR="005A1FFA" w:rsidRPr="00817AE6" w:rsidRDefault="005A1FFA" w:rsidP="005A1FFA">
      <w:pPr>
        <w:pStyle w:val="Normal12"/>
      </w:pPr>
      <w:r w:rsidRPr="00817AE6">
        <w:t>23.</w:t>
      </w:r>
      <w:r w:rsidRPr="00817AE6">
        <w:tab/>
        <w:t>panee tyytyväisenä merkille 20. kesäkuuta 2023 ehdotetussa Euroopan taloudellisen turvallisuuden strategiassa omaksutun riskien vähentämistä koskevan lähestymistavan, jolla pyritään maksimoimaan EU:n talouden avoimuudesta saatavat hyödyt ja suojelemaan, edistämään ja vahvistamaan, samalla minimoiden keskinäisistä taloudellisista riippuvuuksista aiheutuvia riskejä ja riippuvuuksien mahdollista välineellistämistä, EU:n avointa strategista riippumattomuutta, mukaan lukien investoinnit ja tutkimusyhteistyö keskeisen sotilaskäyttöön soveltuvan mahdollistavan teknologian osalta muun muassa sellaisilla aloilla kuin kvanttilaskenta, kehittyneet puolijohteet ja tekoäly; vaatii, että korkean edustajan ja komission ehdotukset hyväksytään nopeasti, ja kehottaa jäsenvaltioita panemaan EU:n laajennetun sääntelykehyksen täytäntöön kaikilta osin Kiinan sotilas- ja siviilialan yhdistämistä mahdollisesti edistävien tahojen torjumiseksi ja etsimään vaihtoehtoja Kiinan EU:ssa rahoittamille hankkeille luomalla kattava lähestymistapa Euroopan taloudelliseen turvallisuuteen kohdistuvien riskien yhteistä tunnistamista, arviointia ja hallintaa varten;</w:t>
      </w:r>
    </w:p>
    <w:p w:rsidR="005A1FFA" w:rsidRPr="00817AE6" w:rsidRDefault="005A1FFA" w:rsidP="005A1FFA">
      <w:pPr>
        <w:pStyle w:val="Normal12"/>
      </w:pPr>
      <w:r w:rsidRPr="00817AE6">
        <w:t>24.</w:t>
      </w:r>
      <w:r w:rsidRPr="00817AE6">
        <w:tab/>
        <w:t>pitää lisäksi myönteisenä korkean edustajan ja komission ehdotusta estää arkaluonteisten kehitteillä olevien teknologioiden vuotaminen laatimalla kaksikäyttöteknologioista luettelo, joka perustuu tiukasti määriteltyihin ja tulevaisuutta ennakoiviin kriteereihin, kuten teknologian potentiaaliseen mahdollistavuuteen ja muutosvoimaisuuteen, sotilas- ja siviilialan yhdistämisen riskiin sekä vaaraan, että teknologiaa käytetään väärin ihmisoikeuksien loukkaamiseksi; kehottaa komissiota ja jäsenvaltioita yksilöimään ja panemaan täytäntöön näihin kaksikäyttöteknologioihin sovellettavat asiaankuuluvat suojatoimenpiteet mahdollisimman nopeasti;</w:t>
      </w:r>
    </w:p>
    <w:p w:rsidR="005A1FFA" w:rsidRPr="00817AE6" w:rsidRDefault="005A1FFA" w:rsidP="005A1FFA">
      <w:pPr>
        <w:spacing w:after="240"/>
        <w:ind w:left="567" w:hanging="567"/>
      </w:pPr>
      <w:r w:rsidRPr="00817AE6">
        <w:t>25.</w:t>
      </w:r>
      <w:r w:rsidRPr="00817AE6">
        <w:tab/>
        <w:t>kehottaa tässä yhteydessä komissiota yhteistyössä jäsenvaltioiden kanssa suunnittelemaan nopean reagoinnin mekanismin, jonka avulla voidaan havaita sellaisten EU:n infrastruktuurien kaksoiskäyttö tai väärinkäyttö, joissa Kiina on omistajana, osallisena tai käyttöoikeuden haltijana ja jota voitaisiin käyttää käyttöoikeuksien peruuttamiseen ja/tai nautintaoikeuden keskeyttämiseen, kun kyse on omistamisesta ja osallistumisesta; kehottaa komissiota raportoimaan vuosittain parlamentille seuraavista asioista:</w:t>
      </w:r>
    </w:p>
    <w:p w:rsidR="005A1FFA" w:rsidRPr="00817AE6" w:rsidRDefault="005A1FFA" w:rsidP="005A1FFA">
      <w:pPr>
        <w:spacing w:after="240"/>
        <w:ind w:left="1134" w:hanging="567"/>
      </w:pPr>
      <w:r w:rsidRPr="00817AE6">
        <w:t>a)</w:t>
      </w:r>
      <w:r w:rsidRPr="00817AE6">
        <w:tab/>
        <w:t>havainnot sellaisen strategisen infrastruktuurin mahdollisesta kaksoiskäytöstä, joka tarjoaa Kiinalle logistista ja tiedustelutukea</w:t>
      </w:r>
    </w:p>
    <w:p w:rsidR="005A1FFA" w:rsidRPr="00817AE6" w:rsidRDefault="005A1FFA" w:rsidP="00886E35">
      <w:pPr>
        <w:spacing w:after="240"/>
        <w:ind w:left="1134" w:hanging="567"/>
      </w:pPr>
      <w:r w:rsidRPr="00817AE6">
        <w:t>b)</w:t>
      </w:r>
      <w:r w:rsidRPr="00817AE6">
        <w:tab/>
        <w:t>EU:n kauppalainsäädännön täysimääräinen noudattaminen erityisesti huolellisuusvelvoitteen, pakkokeinojen torjunnan ja pakkotyövoimaa käyttäen valmistettujen EU:n markkinoille tuotavien tavaroiden osalta;</w:t>
      </w:r>
    </w:p>
    <w:p w:rsidR="005A1FFA" w:rsidRPr="00817AE6" w:rsidRDefault="005A1FFA" w:rsidP="005A1FFA">
      <w:pPr>
        <w:pStyle w:val="Normal12"/>
      </w:pPr>
      <w:r w:rsidRPr="00817AE6">
        <w:t>26.</w:t>
      </w:r>
      <w:r w:rsidRPr="00817AE6">
        <w:tab/>
        <w:t>pitää myönteisenä EU:n sirusäädöstä, joka parantaa EU:n edellytyksiä tuottaa puolijohteita ja laatia strateginen kartta muun muassa puolijohteiden arvoketjun valmiuksia koskevista puutteista unionissa ja rajoittaa näin EU:n riippuvuutta kolmansista maista kuten Kiinasta; kehottaa esittämään uusia ehdotuksia, joiden avulla voidaan taata kriittisen infrastruktuurin ja materiaalien tuotanto ja toimitusketjut EU:ssa; kehottaa lisäksi komissiota ja jäsenvaltioita luonnostelemaan lisäaloitteita, joilla mahdollistetaan tiiviimpi koordinointi ja yhteistyö samanmielisten kumppanien ja liittolaisten kanssa, ja seuraamaan ja kehittämään edelleen mahdollisuuksien mukaan ja EU:n mahdollisten tulevien riippuvuuksien vähentämistä koskevan tavoitteen mukaisesti unionin turvallisuuden ja puolustuksen kannalta kriittisen infrastruktuurin ja materiaalien maailmanlaajuista tuotantokapasiteettia ja toimitusketjuja; kiinnittää erityistä huomiota Taiwaniin, jolla on merkittävä rooli maailmanlaajuisissa toimitusketjuissa ja sääntöpohjaisen kansainvälisen järjestyksen kannalta; muistuttaa antaneensa jo pitkään tukensa EU:n ja Taiwanin kahdenväliselle investointisopimukselle ja kaikille kahdenvälisen kaupan ja investointien kannalta molempia osapuolia hyödyttäville järjestelyille;</w:t>
      </w:r>
    </w:p>
    <w:p w:rsidR="005A1FFA" w:rsidRPr="00817AE6" w:rsidRDefault="005A1FFA" w:rsidP="005A1FFA">
      <w:pPr>
        <w:pStyle w:val="Normal12"/>
      </w:pPr>
      <w:r w:rsidRPr="00817AE6">
        <w:t>27.</w:t>
      </w:r>
      <w:r w:rsidRPr="00817AE6">
        <w:tab/>
        <w:t>kehottaa komissiota ehdottamaan uutta lainsäädäntökehystä merenalaisten kaapelijärjestelmien tarjoajien aiheuttamien turvallisuusriskien hillitsemiseksi muun muassa seuraamalla tarkemmin ja tarkastelemalla tiheään tällaisten toimittajien omistusrakenteita, niiden aiempia investointeja merenalaisiin kaapelijärjestelmiin sekä sitä, kuinka lähellä Euroopan ja liittolaisten sotilastukikohtia merenalaiset kaapelijärjestelmät sijaitsevat; painottaa, että kaapelijärjestelmien tarjoajia, kuten kiinalaisia yrityksiä, on estettävä jakamasta tietoja tiedustelupalveluille muutoin kuin suojatakseen infrastruktuuria ulkopuolelta tulevalta tunkeutumiselta tai pahantahtoisilta hyökkäyksiltä; kehottaa tässä yhteydessä tekemään aloitteita, joilla pyritään kehittämään edelleen eurooppalaisomisteisia tai Eurooppaan sijoittautuneita yrityksiä merenalaisten kaapelijärjestelmien alalla;</w:t>
      </w:r>
    </w:p>
    <w:p w:rsidR="005A1FFA" w:rsidRPr="00817AE6" w:rsidRDefault="005A1FFA" w:rsidP="005A1FFA">
      <w:pPr>
        <w:pStyle w:val="NormalHanging12a"/>
      </w:pPr>
      <w:r w:rsidRPr="00817AE6">
        <w:t>28.</w:t>
      </w:r>
      <w:r w:rsidRPr="00817AE6">
        <w:tab/>
        <w:t>korostaa, että EU:n toimien on perustuttava parempaan käsitykseen asiaankuuluvasta strategisesta kuvasta ja sen mukaiseen keskittymiseen kriittistä infrastruktuuria koskeviin monialaisiin ja valtioiden välisiin uhka-arvioihin ja haavoittuvuustutkimuksiin; katsoo, että hajanainen tai epätäydellinen kuva, jossa Euroopan puolustuksen ja turvallisuuden kannalta strategisesti merkityksellisiä hankkeita ei kyetä hahmottamaan ja tarkastelemaan selkeästi, voisi vahingoittaa suuresti EU:n geopoliittisia etuja</w:t>
      </w:r>
      <w:r w:rsidRPr="00886E35">
        <w:rPr>
          <w:rStyle w:val="FootnoteReference"/>
        </w:rPr>
        <w:footnoteReference w:id="15"/>
      </w:r>
      <w:r w:rsidRPr="00817AE6">
        <w:t>; palauttaa mieliin haavoittuvuudet, jotka liittyvät ulkomaiseen sekaantumiseen, erityisesti informaatioympäristössä, sekä suoria ulkomaisia sijoituksia koskevien hankkeiden ja pahantahtoisten ulkomaisten toimijoiden tiedonmanipulointioperaatioiden välisen vuorovaikutuksen;</w:t>
      </w:r>
    </w:p>
    <w:p w:rsidR="005A1FFA" w:rsidRPr="00901947" w:rsidRDefault="005A1FFA" w:rsidP="005A1FFA">
      <w:pPr>
        <w:pStyle w:val="Normal12"/>
        <w:ind w:left="0" w:firstLine="0"/>
        <w:rPr>
          <w:rStyle w:val="BoldItalic"/>
        </w:rPr>
      </w:pPr>
      <w:r w:rsidRPr="00817AE6">
        <w:rPr>
          <w:rStyle w:val="BoldItalic"/>
        </w:rPr>
        <w:t>Sisäiset ja ulkoiset yhteydet: EU:n lähimpien kumppaneiden häiriönsietokyvyn vahvistaminen</w:t>
      </w:r>
    </w:p>
    <w:p w:rsidR="005A1FFA" w:rsidRPr="00817AE6" w:rsidRDefault="005A1FFA" w:rsidP="005A1FFA">
      <w:pPr>
        <w:pStyle w:val="Normal12"/>
      </w:pPr>
      <w:r w:rsidRPr="00817AE6">
        <w:t>29.</w:t>
      </w:r>
      <w:r w:rsidRPr="00817AE6">
        <w:tab/>
        <w:t>ilmaisee huolensa siitä, että Kiinan kansantasavalta on vahvistanut asemaansa EU:n markkinoilla ja sen laajemmassa naapurustossa; kehottaa komissiota ja Euroopan ulkosuhdehallintoa (EUH) varmistamaan, että toimenpiteitä, joita toteutetaan EU:n häiriönsietokyvyn vahvistamiseksi Kiinan vaikutusvaltaa vastaan, mukaan lukien riskien vähentäminen, monipuolistaminen ja kriittisten riippuvuuksien vähentäminen, laajennetaan siten, että ne koskevat myös EU:n lähimpiä kumppaneita, etenkin liittymisneuvotteluja käyviä maita ja Euroopan naapuruuspolitiikkaan osallistuvia maita;</w:t>
      </w:r>
    </w:p>
    <w:p w:rsidR="005A1FFA" w:rsidRPr="00817AE6" w:rsidRDefault="005A1FFA" w:rsidP="005A1FFA">
      <w:pPr>
        <w:pStyle w:val="Normal12"/>
      </w:pPr>
      <w:r w:rsidRPr="00817AE6">
        <w:t>30.</w:t>
      </w:r>
      <w:r w:rsidRPr="00817AE6">
        <w:tab/>
        <w:t>muistuttaa, että Kiinan kansantasavallan merivoimilla on keinoja ja oikeudellisia välineitä sen varmistamiseksi, että Kiinan siviilialuksia ja infrastruktuuria voidaan käyttää sotilas- ja turvallisuustarkoituksiin; katsoo, että Kiina pystyy käyttämään siviilialan kaupallista infrastruktuuriaan tukeakseen Kansan vapautusarmeijan läsnäoloa kolmansissa maissa; varoittaa, että tällainen sotilas- ja siviilialan yhdistäminen mahdollistaa Kansan vapautusarmeijan pääsyn ulkomaisiin satamiin ja antaa sille tilaisuuden sijoittaa ennalta logistiikkatukea, jonka avulla merivoimia on mahdollista sijoittaa niinkin kauas kuin Intian valtamerelle, Välimerelle ja Atlantin valtamerelle; korostaa, että vakoilun riskit ovat suurimmat silloin, kun Kiinan siviilialan kaupalliset resurssit sijaitsevat logistiikkakeskuksissa, jotka ovat lähellä EU:n ja Naton laivastotukikohtia tai satamaoperaattoreita, jotka ovat allekirjoittaneet sopimuksia logistisen tuen tarjoamisesta eurooppalaisille yrityksille; kehottaa jäsenvaltioita vastaamaan kiireellisesti tarpeeseen vähentää kriittiseen infrastruktuuriin liittyviä vakoilun ja sabotaasin riskejä, erityisesti sellaisen kriittisen infrastruktuurin osalta, jolla on sotilaallinen tehtävä, kuten Naton käyttämissä satamissa; korostaa tässä yhteydessä, että EU:n ja Naton on tehtävä yhteistyötä pitkän aikavälin suunnitelman laatimiseksi Kiinan sotilas- ja siviilialan yhdistämisen strategian torjumiseksi Euroopassa, ja kehottaa panemaan täysimääräisesti täytäntöön EU:n ja Naton työryhmän lopullisen arviointiraportin</w:t>
      </w:r>
      <w:r w:rsidRPr="00817AE6">
        <w:rPr>
          <w:rStyle w:val="FootnoteReference"/>
        </w:rPr>
        <w:footnoteReference w:id="16"/>
      </w:r>
      <w:r w:rsidRPr="00817AE6">
        <w:t>;</w:t>
      </w:r>
    </w:p>
    <w:p w:rsidR="005A1FFA" w:rsidRPr="00817AE6" w:rsidRDefault="005A1FFA" w:rsidP="005A1FFA">
      <w:pPr>
        <w:pStyle w:val="Normal12"/>
      </w:pPr>
      <w:r w:rsidRPr="00817AE6">
        <w:t>31.</w:t>
      </w:r>
      <w:r w:rsidRPr="00817AE6">
        <w:tab/>
        <w:t>toteaa, että satamat ovat yhdyskäytäviä muuhun maailmaan ja siten ratkaisevassa asemassa EU:n taloudessa; panee huolestuneena merkille, että kiinalaisomisteiset tai Kiinan määräysvallassa olevat yhteisöt ovat strategisesti kasvattaneet osuuttaan Euroopan satamien ja satamainfrastruktuurien toiminnassa; kehottaa komissiota esittämään EU:n strategista toimintapoliittista kehystä, jolla vähennetään ja rajoitetaan Kiinan ja muiden hallintojen vaikutusvaltaa ja operatiivista määräysvaltaa; korostaa, että Kiinan kansantasavalta ulottaa valtaansa ulkomaille käyttämällä kaupallisten satamien ja kaksoiskäyttöön soveltuvien laitosten verkostoa, joka tarjoaa logistiikka- ja tiedustelutukea Kiinan laivastolle; panee merkille, että vuonna 2022 kiinalaiset yritykset omistivat tai toimivat terminaalioperaattoreina 96 satamassa 53:ssa eri maassa; panee lisäksi merkille, että Kansan vapautusarmeijan laivaston sota-aluksille on tehty merkittäviä alusten ja laitteiden korjaus- tai kunnossapitotöitä vähintään yhdeksässä satamassa, joista kaksi sijaitsee Euroopassa; huomauttaa, että laivastovierailut paljastavat vaikutusalueita, priorisoituja toiminta-alueita, tiedustelutietojen keruun tavoitteita ja yhteistyön painopisteitä;</w:t>
      </w:r>
    </w:p>
    <w:p w:rsidR="005A1FFA" w:rsidRPr="00901947" w:rsidRDefault="005A1FFA" w:rsidP="005A1FFA">
      <w:pPr>
        <w:pStyle w:val="Normal12"/>
      </w:pPr>
      <w:r w:rsidRPr="00901947">
        <w:t>32.</w:t>
      </w:r>
      <w:r w:rsidRPr="00901947">
        <w:tab/>
      </w:r>
      <w:r w:rsidRPr="00817AE6">
        <w:t>korostaa, että kriittistä infrastruktuuria koskevaan maailmanlaajuiseen yhteistyöhön tarvitaan geopoliittista lähestymistapaa, jotta EU voi vastata menestyksekkäästi uusiin turvallisuushaasteisiin; panee merkille, että kolmasosa kaikesta vuodesta 2010 lähtien rakennetusta Afrikan infrastruktuurista, mukaan lukien noin 50 prosenttia Afrikan 3G</w:t>
      </w:r>
      <w:r w:rsidRPr="00817AE6">
        <w:noBreakHyphen/>
        <w:t xml:space="preserve">verkoista ja 70 prosenttia sen 4G-verkoista, on kiinalaisomisteisten yritysten rahoittamaa ja rakentamaa; korostaa, että Kiina on viimeisten 20 vuoden aikana lisännyt 160 miljardin Yhdysvaltain dollarin edestä kauppa-, investointi- ja lainasitoumuksiaan, joihin liittyviä sopimusvelvoitteita on vain vähän tai ne ovat vaikeaselkoisia, Afrikan maiden hallitusten ja kyseisten maiden valtio-omisteisten yritysten kanssa pääasiassa kuljetusten, sähköntuotannon, kaivostoiminnan ja televiestinnän alalla; korostaa erityisesti sitä, että yksi ainoa kiinalainen televiestintäyritys on rakentanut jopa 70 prosenttia Afrikan tietotekniikkainfrastruktuurista, sekä kiinalaisten yritysten roolia ainakin14 arkaluonteisen Afrikan sisäisen televiestintäverkon rahoittamisessa, rakentamisessa, laajentamisessa ja kunnostamisessa; ilmaisee huolensa siitä, että kiinalainen toimintamalli houkuttelee selvästi monia maita, jotka eivät pysty tai ole halukkaita täyttämään EU:n vaatimuksia vastaavan rahoitustason saamiseksi, jolloin Kiinan vaikutusvalta kasvaa EU:n kumppanuuksien kustannuksella ja aiheuttaa näille maille kestämättömän velan riskin, mikä vahingoittaa niiden pitkän aikavälin kehitystä paikallisväestön kustannuksella; kehottaa komissiota, Euroopan ulkosuhdehallinta ja jäsenvaltioita tehostamaan toimia, myös houkuttelemalla investointeja yksityiseltä sektorilta, pannakseen täytäntöön 150 miljardin euron Global Gateway </w:t>
      </w:r>
      <w:r w:rsidRPr="00817AE6">
        <w:noBreakHyphen/>
        <w:t>investointipaketin, josta sovittiin EU:n ja Afrikan unionin kuudennessa huippukokouksessa helmikuussa 2022; kehottaa neuvostoa ja komissiota panemaan pikaisesti täytäntöön aloitteen mukaisia hankkeita, erityisesti majakkahankkeita;</w:t>
      </w:r>
    </w:p>
    <w:p w:rsidR="00366010" w:rsidRDefault="005A1FFA" w:rsidP="00366010">
      <w:pPr>
        <w:pStyle w:val="Normal12"/>
      </w:pPr>
      <w:r w:rsidRPr="00817AE6">
        <w:t>33.</w:t>
      </w:r>
      <w:r w:rsidRPr="00817AE6">
        <w:tab/>
        <w:t>painottaa olevansa huolestunut siitä, että Kiinan kansantasavallan strategiaa ”sinisen talouden yhteistyötukikohdan” rakentamiseksi Afrikan rannikolle, myös rakentamalla kalastusaluksia ja aluksille tarkoitettuja korjaamoja, voidaan käyttää myös sotilastarkoituksiin; painottaa, että näitä sopimuksia ja lupia, joista on sovittu Afrikan maiden kanssa, leimaa yleisesti ottaen yksityiskohtaisten tietojen ja avoimuuden puute; korostaa mahdollisia EU:lle aiheutuvia geopoliittisia seurauksia, etenkin niissä kolmansissa maissa, joissa EU toimii;</w:t>
      </w:r>
    </w:p>
    <w:p w:rsidR="00366010" w:rsidRDefault="00366010" w:rsidP="00366010">
      <w:pPr>
        <w:pStyle w:val="Normal12"/>
        <w:ind w:left="0" w:firstLine="0"/>
        <w:jc w:val="center"/>
      </w:pPr>
      <w:r>
        <w:t>°</w:t>
      </w:r>
    </w:p>
    <w:p w:rsidR="00366010" w:rsidRDefault="00366010" w:rsidP="00366010">
      <w:pPr>
        <w:pStyle w:val="Normal12"/>
        <w:ind w:left="0" w:firstLine="0"/>
        <w:jc w:val="center"/>
      </w:pPr>
      <w:r>
        <w:t>°     °</w:t>
      </w:r>
    </w:p>
    <w:p w:rsidR="00E365E1" w:rsidRPr="00817AE6" w:rsidRDefault="00366010" w:rsidP="00366010">
      <w:pPr>
        <w:pStyle w:val="Normal12"/>
      </w:pPr>
      <w:r>
        <w:t>3</w:t>
      </w:r>
      <w:r w:rsidR="005A1FFA" w:rsidRPr="00817AE6">
        <w:t>4.</w:t>
      </w:r>
      <w:r w:rsidR="005A1FFA" w:rsidRPr="00817AE6">
        <w:tab/>
        <w:t>kehottaa puhemiestä välittämään tämän päätöslauselman komission varapuheenjohtajalle / unionin ulkoasioiden ja turvallisuuspolitiikan korkealle edustajalle, neuvostolle ja komissiolle.</w:t>
      </w:r>
      <w:bookmarkStart w:id="9" w:name="TextBodyEnd"/>
      <w:bookmarkEnd w:id="9"/>
    </w:p>
    <w:sectPr w:rsidR="00E365E1" w:rsidRPr="00817AE6" w:rsidSect="00817AE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B25" w:rsidRPr="00817AE6" w:rsidRDefault="00BE6B25">
      <w:r w:rsidRPr="00817AE6">
        <w:separator/>
      </w:r>
    </w:p>
  </w:endnote>
  <w:endnote w:type="continuationSeparator" w:id="0">
    <w:p w:rsidR="00BE6B25" w:rsidRPr="00817AE6" w:rsidRDefault="00BE6B25">
      <w:r w:rsidRPr="00817A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B25" w:rsidRPr="00817AE6" w:rsidRDefault="00BE6B25">
      <w:r w:rsidRPr="00817AE6">
        <w:separator/>
      </w:r>
    </w:p>
  </w:footnote>
  <w:footnote w:type="continuationSeparator" w:id="0">
    <w:p w:rsidR="00BE6B25" w:rsidRPr="00817AE6" w:rsidRDefault="00BE6B25">
      <w:r w:rsidRPr="00817AE6">
        <w:continuationSeparator/>
      </w:r>
    </w:p>
  </w:footnote>
  <w:footnote w:id="1">
    <w:p w:rsidR="005A1FFA" w:rsidRPr="00886E35" w:rsidRDefault="005A1FFA" w:rsidP="00817AE6">
      <w:pPr>
        <w:pStyle w:val="FootnoteText"/>
        <w:ind w:left="567" w:hanging="567"/>
        <w:rPr>
          <w:sz w:val="24"/>
          <w:szCs w:val="24"/>
          <w:lang w:val="da-DK"/>
        </w:rPr>
      </w:pPr>
      <w:r w:rsidRPr="00366010">
        <w:rPr>
          <w:rStyle w:val="FootnoteReference"/>
          <w:sz w:val="24"/>
          <w:szCs w:val="24"/>
          <w:lang w:val="fi-FI"/>
        </w:rPr>
        <w:footnoteRef/>
      </w:r>
      <w:r w:rsidR="00817AE6" w:rsidRPr="00886E35">
        <w:rPr>
          <w:sz w:val="24"/>
          <w:szCs w:val="24"/>
          <w:lang w:val="da-DK"/>
        </w:rPr>
        <w:t xml:space="preserve"> </w:t>
      </w:r>
      <w:r w:rsidR="00817AE6" w:rsidRPr="00886E35">
        <w:rPr>
          <w:sz w:val="24"/>
          <w:szCs w:val="24"/>
          <w:lang w:val="da-DK"/>
        </w:rPr>
        <w:tab/>
      </w:r>
      <w:r w:rsidRPr="00886E35">
        <w:rPr>
          <w:sz w:val="24"/>
          <w:szCs w:val="24"/>
          <w:lang w:val="da-DK"/>
        </w:rPr>
        <w:t>EUVL L 330, 23.12.2022, s. 1.</w:t>
      </w:r>
    </w:p>
  </w:footnote>
  <w:footnote w:id="2">
    <w:p w:rsidR="005A1FFA" w:rsidRPr="00886E35" w:rsidRDefault="005A1FFA" w:rsidP="00817AE6">
      <w:pPr>
        <w:pStyle w:val="FootnoteText"/>
        <w:ind w:left="567" w:hanging="567"/>
        <w:rPr>
          <w:sz w:val="24"/>
          <w:szCs w:val="24"/>
          <w:lang w:val="da-DK"/>
        </w:rPr>
      </w:pPr>
      <w:r w:rsidRPr="00366010">
        <w:rPr>
          <w:rStyle w:val="FootnoteReference"/>
          <w:sz w:val="24"/>
          <w:szCs w:val="24"/>
          <w:lang w:val="fi-FI"/>
        </w:rPr>
        <w:footnoteRef/>
      </w:r>
      <w:r w:rsidR="00817AE6" w:rsidRPr="00886E35">
        <w:rPr>
          <w:sz w:val="24"/>
          <w:szCs w:val="24"/>
          <w:lang w:val="da-DK"/>
        </w:rPr>
        <w:t xml:space="preserve"> </w:t>
      </w:r>
      <w:r w:rsidR="00817AE6" w:rsidRPr="00886E35">
        <w:rPr>
          <w:sz w:val="24"/>
          <w:szCs w:val="24"/>
          <w:lang w:val="da-DK"/>
        </w:rPr>
        <w:tab/>
      </w:r>
      <w:r w:rsidRPr="00886E35">
        <w:rPr>
          <w:sz w:val="24"/>
          <w:szCs w:val="24"/>
          <w:lang w:val="da-DK"/>
        </w:rPr>
        <w:t>EUVL L 79</w:t>
      </w:r>
      <w:r w:rsidR="00366010" w:rsidRPr="00886E35">
        <w:rPr>
          <w:sz w:val="24"/>
          <w:szCs w:val="24"/>
          <w:lang w:val="da-DK"/>
        </w:rPr>
        <w:t xml:space="preserve"> </w:t>
      </w:r>
      <w:r w:rsidRPr="00886E35">
        <w:rPr>
          <w:sz w:val="24"/>
          <w:szCs w:val="24"/>
          <w:lang w:val="da-DK"/>
        </w:rPr>
        <w:t>I, 21.3.2019, s. 1.</w:t>
      </w:r>
    </w:p>
  </w:footnote>
  <w:footnote w:id="3">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EUVL L 333, 27.12.2022, s. 164.</w:t>
      </w:r>
    </w:p>
  </w:footnote>
  <w:footnote w:id="4">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EUVL L 333, 27.12.2022, s. 80.</w:t>
      </w:r>
    </w:p>
  </w:footnote>
  <w:footnote w:id="5">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EUVL L 229, 18.9.2023, s. 1.</w:t>
      </w:r>
    </w:p>
  </w:footnote>
  <w:footnote w:id="6">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 xml:space="preserve">Ehdotus asetukseksi puitteiden vahvistamisesta kriittisten raaka-aineiden turvatun ja kestävän tarjonnan varmistamiseksi sekä asetusten (EU) </w:t>
      </w:r>
      <w:proofErr w:type="gramStart"/>
      <w:r w:rsidRPr="00366010">
        <w:rPr>
          <w:sz w:val="24"/>
          <w:szCs w:val="24"/>
          <w:lang w:val="fi-FI"/>
        </w:rPr>
        <w:t>N:o</w:t>
      </w:r>
      <w:proofErr w:type="gramEnd"/>
      <w:r w:rsidRPr="00366010">
        <w:rPr>
          <w:sz w:val="24"/>
          <w:szCs w:val="24"/>
          <w:lang w:val="fi-FI"/>
        </w:rPr>
        <w:t xml:space="preserve"> 168/2013, (EU) 2018/</w:t>
      </w:r>
      <w:r w:rsidR="00761895">
        <w:rPr>
          <w:sz w:val="24"/>
          <w:szCs w:val="24"/>
          <w:lang w:val="fi-FI"/>
        </w:rPr>
        <w:t xml:space="preserve">858, (EU) 2018/1724 ja (EU) </w:t>
      </w:r>
      <w:r w:rsidRPr="00366010">
        <w:rPr>
          <w:sz w:val="24"/>
          <w:szCs w:val="24"/>
          <w:lang w:val="fi-FI"/>
        </w:rPr>
        <w:t>2019/1020 muuttamisesta (COM(2023)0160).</w:t>
      </w:r>
    </w:p>
  </w:footnote>
  <w:footnote w:id="7">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Ehdotus Euroopan parlamentin ja neuvoston asetukseksi unionin ja sen jäsenvaltioiden suojelemisesta kolmansien maiden käyttämältä taloudelliselta pakottamiselta (</w:t>
      </w:r>
      <w:proofErr w:type="gramStart"/>
      <w:r w:rsidRPr="00366010">
        <w:rPr>
          <w:sz w:val="24"/>
          <w:szCs w:val="24"/>
          <w:lang w:val="fi-FI"/>
        </w:rPr>
        <w:t>COM(</w:t>
      </w:r>
      <w:proofErr w:type="gramEnd"/>
      <w:r w:rsidRPr="00366010">
        <w:rPr>
          <w:sz w:val="24"/>
          <w:szCs w:val="24"/>
          <w:lang w:val="fi-FI"/>
        </w:rPr>
        <w:t>2021)0775)</w:t>
      </w:r>
      <w:r w:rsidR="00D74ABE">
        <w:rPr>
          <w:sz w:val="24"/>
          <w:szCs w:val="24"/>
          <w:lang w:val="fi-FI"/>
        </w:rPr>
        <w:t xml:space="preserve"> (EUVL L, 2023/2675, 7.12.2023)</w:t>
      </w:r>
      <w:r w:rsidR="00366010">
        <w:rPr>
          <w:sz w:val="24"/>
          <w:szCs w:val="24"/>
          <w:lang w:val="fi-FI"/>
        </w:rPr>
        <w:t>.</w:t>
      </w:r>
    </w:p>
  </w:footnote>
  <w:footnote w:id="8">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EUVL C 117, 11.3.2022, s. 40.</w:t>
      </w:r>
    </w:p>
  </w:footnote>
  <w:footnote w:id="9">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Hyväksytyt tekstit, P9_</w:t>
      </w:r>
      <w:proofErr w:type="gramStart"/>
      <w:r w:rsidRPr="00366010">
        <w:rPr>
          <w:sz w:val="24"/>
          <w:szCs w:val="24"/>
          <w:lang w:val="fi-FI"/>
        </w:rPr>
        <w:t>TA(</w:t>
      </w:r>
      <w:proofErr w:type="gramEnd"/>
      <w:r w:rsidRPr="00366010">
        <w:rPr>
          <w:sz w:val="24"/>
          <w:szCs w:val="24"/>
          <w:lang w:val="fi-FI"/>
        </w:rPr>
        <w:t>2023)0219.</w:t>
      </w:r>
    </w:p>
  </w:footnote>
  <w:footnote w:id="10">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Hyväksytyt tekstit, P9_</w:t>
      </w:r>
      <w:proofErr w:type="gramStart"/>
      <w:r w:rsidRPr="00366010">
        <w:rPr>
          <w:sz w:val="24"/>
          <w:szCs w:val="24"/>
          <w:lang w:val="fi-FI"/>
        </w:rPr>
        <w:t>TA(</w:t>
      </w:r>
      <w:proofErr w:type="gramEnd"/>
      <w:r w:rsidRPr="00366010">
        <w:rPr>
          <w:sz w:val="24"/>
          <w:szCs w:val="24"/>
          <w:lang w:val="fi-FI"/>
        </w:rPr>
        <w:t>2023)0219.</w:t>
      </w:r>
    </w:p>
  </w:footnote>
  <w:footnote w:id="11">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EUVL C 20, 20.1.2023, s. 1.</w:t>
      </w:r>
    </w:p>
  </w:footnote>
  <w:footnote w:id="12">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 xml:space="preserve">Euroopan parlamentin ja neuvoston direktiivi (EU) 2022/2557, annettu 14. joulukuuta 2022, kriittisten toimijoiden häiriönsietokyvystä ja direktiivin 2008/114/EY kumoamisesta </w:t>
      </w:r>
      <w:r w:rsidR="00366010">
        <w:rPr>
          <w:sz w:val="24"/>
          <w:szCs w:val="24"/>
          <w:lang w:val="fi-FI"/>
        </w:rPr>
        <w:t>(</w:t>
      </w:r>
      <w:hyperlink r:id="rId1" w:history="1">
        <w:r w:rsidRPr="00366010">
          <w:rPr>
            <w:sz w:val="24"/>
            <w:szCs w:val="24"/>
            <w:lang w:val="fi-FI"/>
          </w:rPr>
          <w:t>EUVL L 333, 27.12.2022, s. 164</w:t>
        </w:r>
      </w:hyperlink>
      <w:r w:rsidR="00366010">
        <w:rPr>
          <w:sz w:val="24"/>
          <w:szCs w:val="24"/>
          <w:lang w:val="fi-FI"/>
        </w:rPr>
        <w:t>)</w:t>
      </w:r>
      <w:r w:rsidRPr="00366010">
        <w:rPr>
          <w:sz w:val="24"/>
          <w:szCs w:val="24"/>
          <w:lang w:val="fi-FI"/>
        </w:rPr>
        <w:t>.</w:t>
      </w:r>
    </w:p>
  </w:footnote>
  <w:footnote w:id="13">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 xml:space="preserve">Euroopan parlamentin ja neuvoston direktiivi (EU) 2022/2555, annettu 14. joulukuuta 2022, toimenpiteistä kyberturvallisuuden yhteisen korkean tason varmistamiseksi kaikkialla unionissa, asetuksen (EU) </w:t>
      </w:r>
      <w:proofErr w:type="gramStart"/>
      <w:r w:rsidRPr="00366010">
        <w:rPr>
          <w:sz w:val="24"/>
          <w:szCs w:val="24"/>
          <w:lang w:val="fi-FI"/>
        </w:rPr>
        <w:t>N:o</w:t>
      </w:r>
      <w:proofErr w:type="gramEnd"/>
      <w:r w:rsidRPr="00366010">
        <w:rPr>
          <w:sz w:val="24"/>
          <w:szCs w:val="24"/>
          <w:lang w:val="fi-FI"/>
        </w:rPr>
        <w:t xml:space="preserve"> 910/2014 ja direktiivin (EU) 2018/1972 muuttamisesta sekä direktiivin (EU) 2016/1148 kumoamisesta (NIS 2 -direktiivi) </w:t>
      </w:r>
      <w:r w:rsidR="00366010">
        <w:rPr>
          <w:sz w:val="24"/>
          <w:szCs w:val="24"/>
          <w:lang w:val="fi-FI"/>
        </w:rPr>
        <w:t>(</w:t>
      </w:r>
      <w:r w:rsidRPr="00366010">
        <w:rPr>
          <w:sz w:val="24"/>
          <w:szCs w:val="24"/>
          <w:lang w:val="fi-FI"/>
        </w:rPr>
        <w:t>EUVL L 333, 27.12.2022, s. 80</w:t>
      </w:r>
      <w:r w:rsidR="00366010">
        <w:rPr>
          <w:sz w:val="24"/>
          <w:szCs w:val="24"/>
          <w:lang w:val="fi-FI"/>
        </w:rPr>
        <w:t>)</w:t>
      </w:r>
      <w:r w:rsidRPr="00366010">
        <w:rPr>
          <w:sz w:val="24"/>
          <w:szCs w:val="24"/>
          <w:lang w:val="fi-FI"/>
        </w:rPr>
        <w:t>.</w:t>
      </w:r>
    </w:p>
  </w:footnote>
  <w:footnote w:id="14">
    <w:p w:rsidR="005A1FFA" w:rsidRPr="00366010" w:rsidRDefault="005A1FFA" w:rsidP="00817AE6">
      <w:pPr>
        <w:pStyle w:val="FootnoteText"/>
        <w:ind w:left="567" w:hanging="567"/>
        <w:rPr>
          <w:sz w:val="24"/>
          <w:szCs w:val="24"/>
          <w:lang w:val="fi-FI"/>
        </w:rPr>
      </w:pPr>
      <w:r w:rsidRPr="00366010">
        <w:rPr>
          <w:rStyle w:val="FootnoteReference"/>
          <w:rFonts w:eastAsiaTheme="majorEastAsia"/>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 xml:space="preserve">Asetus (EU) 2019/452, annettu 19. maaliskuuta 2019, unioniin tulevien ulkomaisten suorien sijoitusten seurantaan tarkoitettujen puitteiden perustamisesta </w:t>
      </w:r>
      <w:r w:rsidR="00366010">
        <w:rPr>
          <w:sz w:val="24"/>
          <w:szCs w:val="24"/>
          <w:lang w:val="fi-FI"/>
        </w:rPr>
        <w:t>(</w:t>
      </w:r>
      <w:r w:rsidRPr="00366010">
        <w:rPr>
          <w:sz w:val="24"/>
          <w:szCs w:val="24"/>
          <w:lang w:val="fi-FI"/>
        </w:rPr>
        <w:t>EUVL L 79I, 21.3.2019, s. 1</w:t>
      </w:r>
      <w:r w:rsidR="00366010">
        <w:rPr>
          <w:sz w:val="24"/>
          <w:szCs w:val="24"/>
          <w:lang w:val="fi-FI"/>
        </w:rPr>
        <w:t>)</w:t>
      </w:r>
      <w:r w:rsidRPr="00366010">
        <w:rPr>
          <w:sz w:val="24"/>
          <w:szCs w:val="24"/>
          <w:lang w:val="fi-FI"/>
        </w:rPr>
        <w:t>.</w:t>
      </w:r>
    </w:p>
  </w:footnote>
  <w:footnote w:id="15">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Unionin ulkoasioiden pääosaston ulkoasioiden politiikkayksikkö, analyysi Kiinan omistaman kriittisen infrastruktuurin turvallisuusvaikutuksista Euroopan unionissa (”Security implications of China-owned critical infrastructure in the European Union”), kesäkuu 2023.</w:t>
      </w:r>
    </w:p>
  </w:footnote>
  <w:footnote w:id="16">
    <w:p w:rsidR="005A1FFA" w:rsidRPr="00366010" w:rsidRDefault="005A1FFA" w:rsidP="00817AE6">
      <w:pPr>
        <w:pStyle w:val="FootnoteText"/>
        <w:ind w:left="567" w:hanging="567"/>
        <w:rPr>
          <w:sz w:val="24"/>
          <w:szCs w:val="24"/>
          <w:lang w:val="fi-FI"/>
        </w:rPr>
      </w:pPr>
      <w:r w:rsidRPr="00366010">
        <w:rPr>
          <w:rStyle w:val="FootnoteReference"/>
          <w:sz w:val="24"/>
          <w:szCs w:val="24"/>
          <w:lang w:val="fi-FI"/>
        </w:rPr>
        <w:footnoteRef/>
      </w:r>
      <w:r w:rsidR="00817AE6" w:rsidRPr="00366010">
        <w:rPr>
          <w:sz w:val="24"/>
          <w:szCs w:val="24"/>
          <w:lang w:val="fi-FI"/>
        </w:rPr>
        <w:t xml:space="preserve"> </w:t>
      </w:r>
      <w:r w:rsidR="00817AE6" w:rsidRPr="00366010">
        <w:rPr>
          <w:sz w:val="24"/>
          <w:szCs w:val="24"/>
          <w:lang w:val="fi-FI"/>
        </w:rPr>
        <w:tab/>
      </w:r>
      <w:r w:rsidRPr="00366010">
        <w:rPr>
          <w:sz w:val="24"/>
          <w:szCs w:val="24"/>
          <w:lang w:val="fi-FI"/>
        </w:rPr>
        <w:t>Euroopan komissio, kriittisen infrastruktuurin häiriönsietokykyä käsittelevän EU:n ja Naton työryhmän lopullinen arviointiraportti, kesäkuu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FI"/>
    <w:docVar w:name="dvnumam" w:val="0"/>
    <w:docVar w:name="dvpe" w:val="750.176"/>
    <w:docVar w:name="dvrapporteur" w:val="Esittelijä: "/>
    <w:docVar w:name="dvtitre" w:val="Euroopan parlamentin päätöslauselma xx. tammikuuta 2024 Kiinan vaikuttamisesta Euroopan unionin kriittiseen infrastruktuuriin aiheutuvista vaikutuksista turvallisuuteen ja puolustukseen(2023/2072(INI))"/>
  </w:docVars>
  <w:rsids>
    <w:rsidRoot w:val="00BE6B25"/>
    <w:rsid w:val="00002272"/>
    <w:rsid w:val="00064002"/>
    <w:rsid w:val="000677B9"/>
    <w:rsid w:val="000831BA"/>
    <w:rsid w:val="000A42CC"/>
    <w:rsid w:val="000E7DD9"/>
    <w:rsid w:val="0010095E"/>
    <w:rsid w:val="00125B37"/>
    <w:rsid w:val="00187494"/>
    <w:rsid w:val="001F32AE"/>
    <w:rsid w:val="002767FF"/>
    <w:rsid w:val="002B18FE"/>
    <w:rsid w:val="002B5493"/>
    <w:rsid w:val="002F5321"/>
    <w:rsid w:val="00343214"/>
    <w:rsid w:val="00361C00"/>
    <w:rsid w:val="0036601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FFA"/>
    <w:rsid w:val="005C2568"/>
    <w:rsid w:val="006037C0"/>
    <w:rsid w:val="006631B6"/>
    <w:rsid w:val="00680577"/>
    <w:rsid w:val="006F74FA"/>
    <w:rsid w:val="00731ADD"/>
    <w:rsid w:val="00734777"/>
    <w:rsid w:val="00747932"/>
    <w:rsid w:val="00751A4A"/>
    <w:rsid w:val="00756632"/>
    <w:rsid w:val="00761895"/>
    <w:rsid w:val="00762C74"/>
    <w:rsid w:val="00786EC0"/>
    <w:rsid w:val="007D1690"/>
    <w:rsid w:val="007E22AD"/>
    <w:rsid w:val="008021C8"/>
    <w:rsid w:val="00817416"/>
    <w:rsid w:val="00817AE6"/>
    <w:rsid w:val="00842779"/>
    <w:rsid w:val="00865F67"/>
    <w:rsid w:val="00881A7B"/>
    <w:rsid w:val="008840E5"/>
    <w:rsid w:val="00886E35"/>
    <w:rsid w:val="00887B3E"/>
    <w:rsid w:val="008C2AC6"/>
    <w:rsid w:val="0090194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6B25"/>
    <w:rsid w:val="00C05BFE"/>
    <w:rsid w:val="00C23CD4"/>
    <w:rsid w:val="00C61C0C"/>
    <w:rsid w:val="00C941CB"/>
    <w:rsid w:val="00CC2357"/>
    <w:rsid w:val="00CF071A"/>
    <w:rsid w:val="00D058B8"/>
    <w:rsid w:val="00D463A7"/>
    <w:rsid w:val="00D56C11"/>
    <w:rsid w:val="00D74AB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087B0"/>
  <w15:chartTrackingRefBased/>
  <w15:docId w15:val="{F3C3C9A5-97CC-411E-88FD-64B5AFFDF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321"/>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A1FFA"/>
    <w:pPr>
      <w:spacing w:after="240"/>
      <w:ind w:left="567" w:hanging="567"/>
    </w:pPr>
  </w:style>
  <w:style w:type="character" w:styleId="Hyperlink">
    <w:name w:val="Hyperlink"/>
    <w:basedOn w:val="DefaultParagraphFont"/>
    <w:unhideWhenUsed/>
    <w:rsid w:val="005A1FFA"/>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5A1FFA"/>
    <w:rPr>
      <w:sz w:val="24"/>
      <w:lang w:val="fi-FI"/>
    </w:rPr>
  </w:style>
  <w:style w:type="paragraph" w:customStyle="1" w:styleId="NormalHanging">
    <w:name w:val="NormalHanging"/>
    <w:basedOn w:val="Normal"/>
    <w:rsid w:val="005A1FFA"/>
    <w:pPr>
      <w:widowControl/>
      <w:spacing w:after="240"/>
      <w:ind w:left="567" w:hanging="567"/>
    </w:pPr>
  </w:style>
  <w:style w:type="paragraph" w:customStyle="1" w:styleId="Normal12">
    <w:name w:val="Normal12"/>
    <w:basedOn w:val="Normal"/>
    <w:qFormat/>
    <w:rsid w:val="005A1FFA"/>
    <w:pPr>
      <w:widowControl/>
      <w:spacing w:after="240"/>
      <w:ind w:left="567" w:hanging="567"/>
    </w:pPr>
  </w:style>
  <w:style w:type="character" w:customStyle="1" w:styleId="Normalhanging12aChar0">
    <w:name w:val="Normalhanging12a Char"/>
    <w:basedOn w:val="DefaultParagraphFont"/>
    <w:link w:val="Normalhanging12a0"/>
    <w:locked/>
    <w:rsid w:val="005A1FFA"/>
    <w:rPr>
      <w:sz w:val="24"/>
    </w:rPr>
  </w:style>
  <w:style w:type="paragraph" w:customStyle="1" w:styleId="Normalhanging12a0">
    <w:name w:val="Normalhanging12a"/>
    <w:basedOn w:val="Normal"/>
    <w:link w:val="Normalhanging12aChar0"/>
    <w:qFormat/>
    <w:rsid w:val="005A1FFA"/>
    <w:pPr>
      <w:tabs>
        <w:tab w:val="left" w:pos="567"/>
      </w:tabs>
      <w:spacing w:after="240"/>
      <w:ind w:left="567" w:hanging="567"/>
    </w:pPr>
    <w:rPr>
      <w:lang w:val="en-GB"/>
    </w:rPr>
  </w:style>
  <w:style w:type="character" w:customStyle="1" w:styleId="BoldItalic">
    <w:name w:val="BoldItalic"/>
    <w:basedOn w:val="DefaultParagraphFont"/>
    <w:uiPriority w:val="1"/>
    <w:qFormat/>
    <w:rsid w:val="005A1FFA"/>
    <w:rPr>
      <w:rFonts w:ascii="Times New Roman" w:hAnsi="Times New Roman" w:cs="Times New Roman" w:hint="default"/>
      <w:b/>
      <w:bCs w:val="0"/>
      <w:i/>
      <w:iCs w:val="0"/>
      <w:sz w:val="24"/>
    </w:rPr>
  </w:style>
  <w:style w:type="paragraph" w:styleId="Footer">
    <w:name w:val="footer"/>
    <w:basedOn w:val="Normal"/>
    <w:link w:val="FooterChar"/>
    <w:rsid w:val="00366010"/>
    <w:pPr>
      <w:tabs>
        <w:tab w:val="center" w:pos="4513"/>
        <w:tab w:val="right" w:pos="9026"/>
      </w:tabs>
    </w:pPr>
  </w:style>
  <w:style w:type="character" w:customStyle="1" w:styleId="FooterChar">
    <w:name w:val="Footer Char"/>
    <w:basedOn w:val="DefaultParagraphFont"/>
    <w:link w:val="Footer"/>
    <w:rsid w:val="00366010"/>
    <w:rPr>
      <w:sz w:val="24"/>
      <w:lang w:val="fi-FI"/>
    </w:rPr>
  </w:style>
  <w:style w:type="paragraph" w:styleId="BalloonText">
    <w:name w:val="Balloon Text"/>
    <w:basedOn w:val="Normal"/>
    <w:link w:val="BalloonTextChar"/>
    <w:rsid w:val="008021C8"/>
    <w:rPr>
      <w:rFonts w:ascii="Segoe UI" w:hAnsi="Segoe UI" w:cs="Segoe UI"/>
      <w:sz w:val="18"/>
      <w:szCs w:val="18"/>
    </w:rPr>
  </w:style>
  <w:style w:type="character" w:customStyle="1" w:styleId="BalloonTextChar">
    <w:name w:val="Balloon Text Char"/>
    <w:basedOn w:val="DefaultParagraphFont"/>
    <w:link w:val="BalloonText"/>
    <w:rsid w:val="008021C8"/>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dir/2022/2557/oj?locale=f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4E21E-F0FB-46BE-AA5D-91A688FB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4389</Words>
  <Characters>38490</Characters>
  <Application>Microsoft Office Word</Application>
  <DocSecurity>0</DocSecurity>
  <Lines>320</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3</cp:revision>
  <cp:lastPrinted>2024-02-19T13:01:00Z</cp:lastPrinted>
  <dcterms:created xsi:type="dcterms:W3CDTF">2024-01-17T12:00:00Z</dcterms:created>
  <dcterms:modified xsi:type="dcterms:W3CDTF">2024-02-19T13:04:00Z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A9-0401/2023</vt:lpwstr>
  </property>
  <property fmtid="{D5CDD505-2E9C-101B-9397-08002B2CF9AE}" pid="4" name="&lt;Type&gt;">
    <vt:lpwstr>RR</vt:lpwstr>
  </property>
</Properties>
</file>