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70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7040" w:rsidRDefault="005D6B38" w:rsidP="0010095E">
            <w:pPr>
              <w:pStyle w:val="EPName"/>
            </w:pPr>
            <w:r w:rsidRPr="00677040">
              <w:t>Europski parlament</w:t>
            </w:r>
          </w:p>
          <w:p w:rsidR="00751A4A" w:rsidRPr="006770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70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77040" w:rsidRDefault="00187494" w:rsidP="0010095E">
            <w:pPr>
              <w:pStyle w:val="EPLogo"/>
            </w:pPr>
            <w:r w:rsidRPr="006770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7040" w:rsidRDefault="00D058B8" w:rsidP="004C5D52">
      <w:pPr>
        <w:pStyle w:val="LineTop"/>
      </w:pPr>
    </w:p>
    <w:p w:rsidR="00680577" w:rsidRPr="00677040" w:rsidRDefault="005D6B38" w:rsidP="00680577">
      <w:pPr>
        <w:pStyle w:val="EPBodyTA1"/>
      </w:pPr>
      <w:r w:rsidRPr="00677040">
        <w:t>USVOJENI TEKSTOVI</w:t>
      </w:r>
    </w:p>
    <w:p w:rsidR="00D058B8" w:rsidRPr="00677040" w:rsidRDefault="00D058B8" w:rsidP="00D058B8">
      <w:pPr>
        <w:pStyle w:val="LineBottom"/>
      </w:pPr>
    </w:p>
    <w:p w:rsidR="005D6B38" w:rsidRPr="00677040" w:rsidRDefault="005D6B38" w:rsidP="005D6B38">
      <w:pPr>
        <w:pStyle w:val="ATHeading1"/>
      </w:pPr>
      <w:bookmarkStart w:id="0" w:name="TANumber"/>
      <w:r w:rsidRPr="00677040">
        <w:t>P9_TA(2024)00</w:t>
      </w:r>
      <w:r w:rsidR="0066417B">
        <w:t>28</w:t>
      </w:r>
      <w:bookmarkEnd w:id="0"/>
    </w:p>
    <w:p w:rsidR="005D6B38" w:rsidRPr="00E9637C" w:rsidRDefault="00E9637C" w:rsidP="005D6B38">
      <w:pPr>
        <w:pStyle w:val="ATHeading2"/>
        <w:rPr>
          <w:szCs w:val="28"/>
        </w:rPr>
      </w:pPr>
      <w:bookmarkStart w:id="1" w:name="title"/>
      <w:r w:rsidRPr="0066417B">
        <w:rPr>
          <w:bCs/>
          <w:szCs w:val="28"/>
          <w:shd w:val="clear" w:color="auto" w:fill="FFFFFF"/>
        </w:rPr>
        <w:t>Sigurnosne i obrambene implikacije utjecaja Kine na kritične infrastrukture u Europskoj uniji</w:t>
      </w:r>
      <w:bookmarkEnd w:id="1"/>
    </w:p>
    <w:p w:rsidR="005D6B38" w:rsidRPr="00677040" w:rsidRDefault="005D6B38" w:rsidP="005D6B38">
      <w:pPr>
        <w:rPr>
          <w:i/>
          <w:vanish/>
        </w:rPr>
      </w:pPr>
      <w:r w:rsidRPr="00677040">
        <w:rPr>
          <w:i/>
        </w:rPr>
        <w:fldChar w:fldCharType="begin"/>
      </w:r>
      <w:r w:rsidRPr="00677040">
        <w:rPr>
          <w:i/>
        </w:rPr>
        <w:instrText xml:space="preserve"> TC"(</w:instrText>
      </w:r>
      <w:bookmarkStart w:id="2" w:name="DocNumber"/>
      <w:r w:rsidRPr="00677040">
        <w:rPr>
          <w:i/>
        </w:rPr>
        <w:instrText>A9-0401/2023</w:instrText>
      </w:r>
      <w:bookmarkEnd w:id="2"/>
      <w:r w:rsidRPr="00677040">
        <w:rPr>
          <w:i/>
        </w:rPr>
        <w:instrText xml:space="preserve"> - Izvjestitelj: </w:instrText>
      </w:r>
      <w:proofErr w:type="spellStart"/>
      <w:r w:rsidRPr="00677040">
        <w:rPr>
          <w:i/>
        </w:rPr>
        <w:instrText>Klemen</w:instrText>
      </w:r>
      <w:proofErr w:type="spellEnd"/>
      <w:r w:rsidRPr="00677040">
        <w:rPr>
          <w:i/>
        </w:rPr>
        <w:instrText xml:space="preserve"> </w:instrText>
      </w:r>
      <w:proofErr w:type="spellStart"/>
      <w:r w:rsidRPr="00677040">
        <w:rPr>
          <w:i/>
        </w:rPr>
        <w:instrText>Grošelj</w:instrText>
      </w:r>
      <w:proofErr w:type="spellEnd"/>
      <w:r w:rsidRPr="00677040">
        <w:rPr>
          <w:i/>
        </w:rPr>
        <w:instrText xml:space="preserve">)"\l3 \n&gt; \* MERGEFORMAT </w:instrText>
      </w:r>
      <w:r w:rsidRPr="00677040">
        <w:rPr>
          <w:i/>
        </w:rPr>
        <w:fldChar w:fldCharType="end"/>
      </w:r>
    </w:p>
    <w:p w:rsidR="005D6B38" w:rsidRPr="00677040" w:rsidRDefault="005D6B38" w:rsidP="005D6B38">
      <w:pPr>
        <w:rPr>
          <w:vanish/>
        </w:rPr>
      </w:pPr>
      <w:bookmarkStart w:id="3" w:name="Commission"/>
      <w:r w:rsidRPr="00677040">
        <w:rPr>
          <w:vanish/>
        </w:rPr>
        <w:t>Odbor za vanjske poslove</w:t>
      </w:r>
      <w:bookmarkEnd w:id="3"/>
    </w:p>
    <w:p w:rsidR="005D6B38" w:rsidRPr="00677040" w:rsidRDefault="005D6B38" w:rsidP="005D6B38">
      <w:pPr>
        <w:rPr>
          <w:vanish/>
        </w:rPr>
      </w:pPr>
      <w:bookmarkStart w:id="4" w:name="PE"/>
      <w:r w:rsidRPr="00677040">
        <w:rPr>
          <w:vanish/>
        </w:rPr>
        <w:t>PE750.176</w:t>
      </w:r>
      <w:bookmarkEnd w:id="4"/>
    </w:p>
    <w:p w:rsidR="005D6B38" w:rsidRPr="00677040" w:rsidRDefault="005D6B38" w:rsidP="005D6B38">
      <w:pPr>
        <w:pStyle w:val="ATHeading3"/>
      </w:pPr>
      <w:bookmarkStart w:id="5" w:name="Sujet"/>
      <w:r w:rsidRPr="00677040">
        <w:t>Rezolu</w:t>
      </w:r>
      <w:r w:rsidR="00677040">
        <w:t>cija Europskog parlamenta od 17</w:t>
      </w:r>
      <w:r w:rsidRPr="00677040">
        <w:t xml:space="preserve">. </w:t>
      </w:r>
      <w:r w:rsidR="00677040">
        <w:t xml:space="preserve">siječnja </w:t>
      </w:r>
      <w:r w:rsidRPr="00677040">
        <w:t>2024. o sigurnosnim i obrambenim implikacijama utjecaja Kine na kritične infrastrukture u Europskoj uniji</w:t>
      </w:r>
      <w:bookmarkEnd w:id="5"/>
      <w:r w:rsidRPr="00677040">
        <w:t xml:space="preserve"> </w:t>
      </w:r>
      <w:bookmarkStart w:id="6" w:name="References"/>
      <w:r w:rsidRPr="00677040">
        <w:t>(2023/2072(INI))</w:t>
      </w:r>
      <w:bookmarkEnd w:id="6"/>
    </w:p>
    <w:p w:rsidR="00C26E30" w:rsidRPr="00677040" w:rsidRDefault="00C26E30" w:rsidP="00C26E30">
      <w:pPr>
        <w:pStyle w:val="EPComma"/>
      </w:pPr>
      <w:bookmarkStart w:id="7" w:name="TextBodyBegin"/>
      <w:bookmarkEnd w:id="7"/>
      <w:r w:rsidRPr="00677040">
        <w:rPr>
          <w:i/>
        </w:rPr>
        <w:t>Europski parlament</w:t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Ugovor o funkcioniranju Europske unije,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glavu V. Ugovora o Europskoj uniji, a posebno drugo poglavlje, odjeljak 2. o odredbama o zajedničkoj sigurnosnoj i obrambenoj politici,</w:t>
      </w:r>
    </w:p>
    <w:p w:rsidR="00C26E30" w:rsidRPr="00677040" w:rsidRDefault="00C26E30" w:rsidP="00C26E30">
      <w:pPr>
        <w:pStyle w:val="NormalHanging12a"/>
      </w:pPr>
      <w:r w:rsidRPr="00677040">
        <w:t>–</w:t>
      </w:r>
      <w:r w:rsidRPr="00677040">
        <w:tab/>
        <w:t>uzimajući u obzir „Strateški kompas za sigurnost i obranu – Za Europsku uniju koja štiti svoje građane, vrijednosti i interese te doprinosi međunarodnom miru i sigurnosti”, koji je odobrilo Vijeće 21. ožujka 2022. i potvrdilo Europsko vijeće 25. ožujka 2022.,</w:t>
      </w:r>
    </w:p>
    <w:p w:rsidR="00C26E30" w:rsidRPr="00677040" w:rsidRDefault="00C26E30" w:rsidP="00C26E30">
      <w:pPr>
        <w:pStyle w:val="NormalHanging12a"/>
      </w:pPr>
      <w:r w:rsidRPr="00677040">
        <w:t>–</w:t>
      </w:r>
      <w:r w:rsidRPr="00677040">
        <w:tab/>
        <w:t xml:space="preserve">uzimajući u obzir Izjavu iz </w:t>
      </w:r>
      <w:proofErr w:type="spellStart"/>
      <w:r w:rsidRPr="00677040">
        <w:t>Versaillesa</w:t>
      </w:r>
      <w:proofErr w:type="spellEnd"/>
      <w:r w:rsidRPr="00677040">
        <w:t xml:space="preserve"> donesenu na neformalnom sastanku čelnika država i vlada 11. ožujka 2022.,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zajedničku komunikaciju Komisije i Visokog predstavnika Unije za vanjske poslove i sigurnosnu politiku od 20. lipnja 2023. o Europskoj strategiji gospodarske sigurnosti (JOIN(2023)0020),</w:t>
      </w:r>
    </w:p>
    <w:p w:rsidR="00C26E30" w:rsidRPr="00677040" w:rsidRDefault="00C26E30" w:rsidP="00C26E30">
      <w:pPr>
        <w:spacing w:after="240"/>
        <w:ind w:left="567" w:hanging="425"/>
      </w:pPr>
      <w:r w:rsidRPr="00677040">
        <w:t>–</w:t>
      </w:r>
      <w:r w:rsidRPr="00677040">
        <w:tab/>
        <w:t>uzimajući u obzir Uredbu (EU) 2022/2560 Europskog parlamenta i Vijeća od 14. prosinca 2022. o stranim subvencijama kojima se narušava unutarnje tržište</w:t>
      </w:r>
      <w:r w:rsidRPr="00677040">
        <w:rPr>
          <w:rStyle w:val="FootnoteReference"/>
        </w:rPr>
        <w:footnoteReference w:id="1"/>
      </w:r>
      <w:r w:rsidRPr="00677040">
        <w:t>,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>uzimajući u obzir Uredbu (EU) 2019/452 Europskog parlamenta i Vijeća od 19. ožujka 2019. o uspostavi okvira za provjeru izravnih stranih ulaganja u Uniji</w:t>
      </w:r>
      <w:r w:rsidRPr="00677040">
        <w:rPr>
          <w:rStyle w:val="FootnoteReference"/>
        </w:rPr>
        <w:footnoteReference w:id="2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lastRenderedPageBreak/>
        <w:t>–</w:t>
      </w:r>
      <w:r w:rsidRPr="00677040">
        <w:tab/>
        <w:t>uzimajući u obzir Direktivu (EU) 2022/2557 Europskog parlamenta i Vijeća od 14. prosinca 2022. o otpornosti kritičnih subjekata i o stavljanju izvan snage Direktive Vijeća 2008/114/EZ (Direktiva o otpornosti kritičnih subjekata)</w:t>
      </w:r>
      <w:r w:rsidRPr="00677040">
        <w:rPr>
          <w:rStyle w:val="FootnoteReference"/>
        </w:rPr>
        <w:footnoteReference w:id="3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 xml:space="preserve">uzimajući u obzir Direktivu (EU) 2022/2555 Europskog parlamenta i Vijeća od 14. prosinca 2022. o mjerama za visoku zajedničku razinu </w:t>
      </w:r>
      <w:proofErr w:type="spellStart"/>
      <w:r w:rsidRPr="00677040">
        <w:t>kibersigurnosti</w:t>
      </w:r>
      <w:proofErr w:type="spellEnd"/>
      <w:r w:rsidRPr="00677040">
        <w:t xml:space="preserve"> širom Unije, izmjeni Uredbe (EU) br. 910/2014 i Direktive (EU) 2018/1972 i stavljanju izvan snage Direktive (EU) 2016/1148 (Direktiva NIS 2)</w:t>
      </w:r>
      <w:r w:rsidRPr="00677040">
        <w:rPr>
          <w:rStyle w:val="FootnoteReference"/>
        </w:rPr>
        <w:footnoteReference w:id="4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 xml:space="preserve">uzimajući u obzir Komisijin Prijedlog uredbe Europskog parlamenta i Vijeća o horizontalnim </w:t>
      </w:r>
      <w:proofErr w:type="spellStart"/>
      <w:r w:rsidRPr="00677040">
        <w:t>kibersigurnosnim</w:t>
      </w:r>
      <w:proofErr w:type="spellEnd"/>
      <w:r w:rsidRPr="00677040">
        <w:t xml:space="preserve"> zahtjevima za proizvode s digitalnim elementima i o izmjeni Uredbe (EU) 2019/1020 od 15. rujna 2022. (COM(2022)0454),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Uredbu (EU) 2023/1781 od 13. rujna 2023. Europskog parlamenta i Vijeća o uspostavi okvira mjera za jačanje europskog ekosustava poluvodiča (Akt o čipovima)</w:t>
      </w:r>
      <w:r w:rsidRPr="00677040">
        <w:rPr>
          <w:rStyle w:val="FootnoteReference"/>
        </w:rPr>
        <w:footnoteReference w:id="5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 xml:space="preserve">uzimajući u obzir </w:t>
      </w:r>
      <w:r w:rsidR="00E9637C">
        <w:t>svoje stajalište u prvom čitanju o Prijedlogu u</w:t>
      </w:r>
      <w:r w:rsidRPr="00677040">
        <w:t>redb</w:t>
      </w:r>
      <w:r w:rsidR="00E9637C">
        <w:t>e</w:t>
      </w:r>
      <w:r w:rsidRPr="00677040">
        <w:t xml:space="preserve"> Europskog parlamenta i Vijeća o uspostavi okvira za sigurnu i održivu opskrbu kritičnim sirovinama (Europski akt o kritičnim sirovinama)</w:t>
      </w:r>
      <w:r w:rsidR="00BA4234">
        <w:t xml:space="preserve"> u usvojenom tekstu s verzijom koja nije konačna</w:t>
      </w:r>
      <w:r w:rsidRPr="00677040">
        <w:rPr>
          <w:rStyle w:val="FootnoteReference"/>
        </w:rPr>
        <w:footnoteReference w:id="6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Uredbu Europskog parlamenta i Vijeća (EU) 2023/</w:t>
      </w:r>
      <w:r w:rsidR="00E9637C">
        <w:t>2675</w:t>
      </w:r>
      <w:r w:rsidRPr="00677040">
        <w:t xml:space="preserve"> od </w:t>
      </w:r>
      <w:r w:rsidR="00E9637C">
        <w:t>22. studenoga 2023.</w:t>
      </w:r>
      <w:r w:rsidRPr="00677040">
        <w:t xml:space="preserve"> o zaštiti Unije i njezinih država članica od gospodarske prisile koju primjenjuju treće zemlje</w:t>
      </w:r>
      <w:r w:rsidRPr="00677040">
        <w:rPr>
          <w:rStyle w:val="FootnoteReference"/>
        </w:rPr>
        <w:footnoteReference w:id="7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svoju Rezoluciju od 16. rujna 2021. o novoj strategiji EU-a za Kinu (2021/2037(INI))</w:t>
      </w:r>
      <w:r w:rsidRPr="00677040">
        <w:rPr>
          <w:rStyle w:val="FootnoteReference"/>
        </w:rPr>
        <w:footnoteReference w:id="8"/>
      </w:r>
      <w:r w:rsidRPr="00677040">
        <w:t>, čiji je cilj, među ostalim, jačanje „paketa trgovinskih instrumenata EU-a” kako bi se ublažila trenutačna neravnoteža u bilateralnim gospodarskim i trgovinskim odnosima između Kine i EU-a,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rezolucije Parlamenta od 9. ožujka 2022.</w:t>
      </w:r>
      <w:r w:rsidRPr="00677040">
        <w:rPr>
          <w:rStyle w:val="FootnoteReference"/>
        </w:rPr>
        <w:footnoteReference w:id="9"/>
      </w:r>
      <w:r w:rsidRPr="00677040">
        <w:t xml:space="preserve"> i od 1. lipnja 2023. o vanjskom upletanju u sve demokratske procese u Europskoj uniji, uključujući dezinformiranje</w:t>
      </w:r>
      <w:r w:rsidRPr="00677040">
        <w:rPr>
          <w:rStyle w:val="FootnoteReference"/>
        </w:rPr>
        <w:footnoteReference w:id="10"/>
      </w:r>
      <w:r w:rsidRPr="00677040">
        <w:t>,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 xml:space="preserve">uzimajući u obzir Zajedničku komunikaciju Europskog parlamenta, Vijeća, Europskoga gospodarskog i socijalnog odbora, Odbora regija i Europske investicijske banke od 1. prosinca 2021. naslovljenu </w:t>
      </w:r>
      <w:r w:rsidRPr="00677040">
        <w:rPr>
          <w:i/>
          <w:iCs/>
        </w:rPr>
        <w:t xml:space="preserve">Global </w:t>
      </w:r>
      <w:proofErr w:type="spellStart"/>
      <w:r w:rsidRPr="00677040">
        <w:rPr>
          <w:i/>
          <w:iCs/>
        </w:rPr>
        <w:t>Gateway</w:t>
      </w:r>
      <w:proofErr w:type="spellEnd"/>
      <w:r w:rsidRPr="00677040">
        <w:t xml:space="preserve"> (JOIN(2021)0030),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 xml:space="preserve">uzimajući u obzir Preporuku Komisije od 3. listopada 2023. o područjima tehnologija </w:t>
      </w:r>
      <w:r w:rsidRPr="00677040">
        <w:lastRenderedPageBreak/>
        <w:t>kritičnih za gospodarsku sigurnost EU-a za daljnju procjenu rizika s državama članicama (C(2023)6689),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preporuku Vijeća od 8. prosinca 2022. o koordiniranom pristupu na razini Unije za jačanje otpornosti kritične infrastrukture</w:t>
      </w:r>
      <w:r w:rsidRPr="00677040">
        <w:rPr>
          <w:rStyle w:val="FootnoteReference"/>
        </w:rPr>
        <w:footnoteReference w:id="11"/>
      </w:r>
      <w:r w:rsidRPr="00677040">
        <w:t>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priopćenje sa sastanka na vrhu u Vilniusu koje su izdali čelnici država i vlada članica NATO-a koji su sudjelovali na sastanku Sjevernoatlantskog vijeća u Vilniusu 11. srpnja 2023.,</w:t>
      </w:r>
    </w:p>
    <w:p w:rsidR="00C26E30" w:rsidRPr="00677040" w:rsidRDefault="00C26E30" w:rsidP="00C26E30">
      <w:pPr>
        <w:tabs>
          <w:tab w:val="left" w:pos="567"/>
        </w:tabs>
        <w:spacing w:after="240"/>
        <w:ind w:left="567" w:hanging="567"/>
      </w:pPr>
      <w:r w:rsidRPr="00677040">
        <w:t>–</w:t>
      </w:r>
      <w:r w:rsidRPr="00677040">
        <w:tab/>
        <w:t>uzimajući u obzir završno izvješće o procjeni Radne skupine NATO-a i EU-a od 29. lipnja 2023. o otpornosti kritične infrastrukture,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 xml:space="preserve">uzimajući u obzir Zajedničku izjavu od 10. siječnja 2023. o suradnji EU-a i NATO-a, 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>uzimajući u obzir priopćenje čelnika skupine G7 iz Hirošime od 20. svibnja 2023.,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–</w:t>
      </w:r>
      <w:r w:rsidRPr="00677040">
        <w:tab/>
        <w:t>uzimajući u obzir zaključke Vijeća o revidiranoj strategiji pomorske sigurnosti EU-a (EUMSS) i povezani akcijski plan od 24. listopada 2023.,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članak 54. Poslovnika,</w:t>
      </w:r>
    </w:p>
    <w:p w:rsidR="00C26E30" w:rsidRPr="00677040" w:rsidRDefault="00C26E30" w:rsidP="00C26E30">
      <w:pPr>
        <w:pStyle w:val="NormalHanging"/>
      </w:pPr>
      <w:r w:rsidRPr="00677040">
        <w:t>–</w:t>
      </w:r>
      <w:r w:rsidRPr="00677040">
        <w:tab/>
        <w:t>uzimajući u obzir mišljenje Odbora za međunarodnu trgovinu,</w:t>
      </w:r>
    </w:p>
    <w:p w:rsidR="00C26E30" w:rsidRPr="00677040" w:rsidRDefault="00C26E30" w:rsidP="00C26E30">
      <w:pPr>
        <w:pStyle w:val="NormalHanging12a"/>
      </w:pPr>
      <w:r w:rsidRPr="00677040">
        <w:t>–</w:t>
      </w:r>
      <w:r w:rsidRPr="00677040">
        <w:tab/>
        <w:t>uzimajući u obzir izvješće Odbora za vanjske poslove (A9</w:t>
      </w:r>
      <w:r w:rsidRPr="00677040">
        <w:noBreakHyphen/>
        <w:t>0401/2023),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A.</w:t>
      </w:r>
      <w:r w:rsidRPr="00677040">
        <w:tab/>
        <w:t>budući da je nedavna zajednička komunikacija o europskoj strategiji gospodarske sigurnosti usmjerena na smanjenje i upravljanje rizicima koji proizlaze iz određenih gospodarskih tokova i ovisnosti EU-a o autoritarnim i totalitarnim režimima kao što je Narodna Republika Kina, u kontekstu povećanih geopolitičkih napetosti i ubrzanih tehnoloških promjena, uz istodobnu zaštitu načela slobodnog tržišta od narušavanja od strane takvih režima, a time i očuvanje najveće moguće gospodarske otvorenosti i dinamičnosti;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B.</w:t>
      </w:r>
      <w:r w:rsidRPr="00677040">
        <w:tab/>
        <w:t>budući da poremećaji u kritičnoj infrastrukturi mogu imati znatne negativne posljedice za ključne funkcije državnog sektora, osnovne usluge za stanovništvo, gospodarsku aktivnost, kao i za sigurnost i obranu EU-a; budući da je od presudne važnosti da države članice i Komisija budu oprezne kad je riječ o financijskim ulaganjima stranih zemalja u poslovanje kritičnih subjekata unutar EU-a i posljedicama koje bi takva ulaganja mogla imati na sposobnost sprečavanja znatnih poremećaja;</w:t>
      </w:r>
    </w:p>
    <w:p w:rsidR="00C26E30" w:rsidRPr="00677040" w:rsidRDefault="00C26E30" w:rsidP="00C26E30">
      <w:pPr>
        <w:spacing w:after="240"/>
        <w:ind w:left="567" w:hanging="567"/>
        <w:rPr>
          <w:szCs w:val="24"/>
        </w:rPr>
      </w:pPr>
      <w:r w:rsidRPr="00677040">
        <w:t>C.</w:t>
      </w:r>
      <w:r w:rsidRPr="00677040">
        <w:tab/>
        <w:t>budući da se Direktivom o otpornosti kritičnih subjekata</w:t>
      </w:r>
      <w:r w:rsidRPr="00677040">
        <w:rPr>
          <w:rStyle w:val="FootnoteReference"/>
          <w:szCs w:val="24"/>
        </w:rPr>
        <w:footnoteReference w:id="12"/>
      </w:r>
      <w:r w:rsidRPr="00677040">
        <w:t xml:space="preserve"> i Direktivom NIS 2</w:t>
      </w:r>
      <w:r w:rsidRPr="00677040">
        <w:rPr>
          <w:rStyle w:val="FootnoteReference"/>
          <w:szCs w:val="24"/>
        </w:rPr>
        <w:footnoteReference w:id="13"/>
      </w:r>
      <w:r w:rsidRPr="00677040">
        <w:t xml:space="preserve"> pruža sveobuhvatan pravni okvir za jačanje fizičke i digitalne otpornosti kritične infrastrukture, uključujući za energetiku, promet, zdravstvo, digitalnu infrastrukturu, </w:t>
      </w:r>
      <w:r w:rsidRPr="00677040">
        <w:lastRenderedPageBreak/>
        <w:t>vodoopskrbu i hranu;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D.</w:t>
      </w:r>
      <w:r w:rsidRPr="00677040">
        <w:tab/>
        <w:t>budući da se od izdavanja preporuke Vijeća od 8. prosinca 2022. već provode ciljane mjere kako bi se osigurao zajednički odgovor EU-a na incidente, među ostalim jačanjem koordinacije s NATO-om u okviru Radne skupine EU-a i NATO-a za otpornost kritične infrastrukture koja djeluje u okviru strukturiranog dijaloga NATO-a i EU-a o otpornosti;</w:t>
      </w:r>
    </w:p>
    <w:p w:rsidR="00C26E30" w:rsidRPr="00677040" w:rsidRDefault="00C26E30" w:rsidP="00C26E30">
      <w:pPr>
        <w:spacing w:after="240"/>
        <w:ind w:left="567" w:hanging="567"/>
        <w:rPr>
          <w:szCs w:val="24"/>
        </w:rPr>
      </w:pPr>
      <w:r w:rsidRPr="00677040">
        <w:t>E.</w:t>
      </w:r>
      <w:r w:rsidRPr="00677040">
        <w:tab/>
        <w:t>budući da europske luke u kojima kineska poduzeća u državnom vlasništvu imaju udjele čine više od 10 % ukupnih kontejnerskih kapaciteta Europe; budući da tri najveća kineska dioničara u europskim lukama imaju imovinu u gotovo polovini luka (14 od 29) koje se nalaze u blizini pomorskih baza ili pružaju logističku potporu snagama NATO-a, čime se znatno povećava rizik od špijunaže;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F.</w:t>
      </w:r>
      <w:r w:rsidRPr="00677040">
        <w:tab/>
        <w:t xml:space="preserve">budući da su prisilne politike i sve veća asertivnost Narodne Republike Kine, uključujući njezin sve agresivniji stav prema Tajvanu i sve agresivnije postupanje u Južnokineskom moru, kao i socijalne i gospodarske posljedice </w:t>
      </w:r>
      <w:proofErr w:type="spellStart"/>
      <w:r w:rsidRPr="00677040">
        <w:t>pandemije</w:t>
      </w:r>
      <w:proofErr w:type="spellEnd"/>
      <w:r w:rsidRPr="00677040">
        <w:t xml:space="preserve"> bolesti COVID-19 i ruske ratne agresije na Ukrajinu razotkrili slabosti EU-a i ponovno potvrdili potrebu za „uklanjanjem rizika” u odnosima s Narodnom Republikom Kinom i drugim nedemokratskim trećim zemljama;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G.</w:t>
      </w:r>
      <w:r w:rsidRPr="00677040">
        <w:tab/>
        <w:t>budući da je kineska vlada pokazala da je spremna iskoristiti svoju golemu kontrolu nad globalnim zalihama metala rijetkih zemalja u političke svrhe i radi dobivanja nepoštenih gospodarskih ustupaka i prednosti;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H.</w:t>
      </w:r>
      <w:r w:rsidRPr="00677040">
        <w:tab/>
        <w:t xml:space="preserve">budući da Kina ograničava </w:t>
      </w:r>
      <w:proofErr w:type="spellStart"/>
      <w:r w:rsidRPr="00677040">
        <w:t>nekineska</w:t>
      </w:r>
      <w:proofErr w:type="spellEnd"/>
      <w:r w:rsidRPr="00677040">
        <w:t xml:space="preserve"> poduzeća u sudjelovanju u infrastrukturnim projektima zbog sigurnosnih rizika te da priprema zakonodavstvo o kritičnoj infrastrukturi, kao što je uredba o zaštiti sigurnosti kritične informacijske infrastrukture; budući da je Kina uključena u izgradnju infrastrukture koju EU financira u više država članica EU-a; budući da u skladu s međunarodnim obvezama EU i države članice mogu donijeti restriktivne mjere koje se odnose na izravna strana ulaganja iz razloga sigurnosti ili javnog poretka, podložno određenim uvjetima; budući da je Kina 2021./2022. pokrenula gospodarsku blokadu protiv Litve kao odgovor na odluku Litve da se povuče iz inicijative „Jedan pojas, jedan put” i da otvori tajvansko predstavništvo u Litvi, što je dovelo do zahtjeva Komisije za osnivanje povjerenstva u Svjetskoj trgovinskoj organizaciji radi ispitivanja zakonitosti trgovinskih ograničenja Kine na proizvode iz Litve i proizvode iz EU-a povezane s Litvom te budući da to pokazuje spremnost Kine da ciljano djeluje na određene zemlje EU-a, ne samo izravnom gospodarskom prisilom, nego i prijetnjom sekundarnim sankcijama;</w:t>
      </w:r>
    </w:p>
    <w:p w:rsidR="00C26E30" w:rsidRPr="00677040" w:rsidRDefault="00C26E30" w:rsidP="00C26E30">
      <w:pPr>
        <w:pStyle w:val="Normal12"/>
        <w:rPr>
          <w:szCs w:val="24"/>
        </w:rPr>
      </w:pPr>
      <w:r w:rsidRPr="00677040">
        <w:t>I.</w:t>
      </w:r>
      <w:r w:rsidRPr="00677040">
        <w:tab/>
        <w:t xml:space="preserve">budući da se kineski digitalni autoritarizam i masovni nadzor i dalje pojačavaju, kako unutar Kine tako i izvan nje, te da su usmjereni na demokratske institucije i društva, što predstavlja rizik od uspostave novog međunarodnog poretka koji bi ugrozio slobodu i demokraciju diljem svijeta; budući da velik broj kineskih studenata studira na sveučilištima država članica, posebno u području tehnologija s dvojnom namjenom, što bi u nekim slučajevima moglo dovesti do visokog rizika od špijunaže; budući da je kineska vojska angažirala bivše europske vojne pilote i da takvo regrutiranje predstavlja značajan rizik od prijenosa ključnih informacija, čime se ugrožavaju vojno-strateški interesi dotičnih zemalja; budući da kineske ambicije rastu u strateškim područjima kao što su umjetna inteligencija, računalstvo u oblaku, poluvodiči i hardver; budući da bi se </w:t>
      </w:r>
      <w:r w:rsidRPr="00677040">
        <w:lastRenderedPageBreak/>
        <w:t>ti instrumenti, posebno umjetna inteligencija, mogli razviti u vojne svrhe, što bi dovelo do sljedeće revolucije u vojnim pitanjima;</w:t>
      </w:r>
    </w:p>
    <w:p w:rsidR="00C26E30" w:rsidRPr="00677040" w:rsidRDefault="00C26E30" w:rsidP="00C26E30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677040">
        <w:t>J.</w:t>
      </w:r>
      <w:r w:rsidRPr="00677040">
        <w:tab/>
        <w:t>budući da kineske akvizicije kritične infrastrukture, posebno unutar EU-a i u njegovu susjedstvu, uključujući zapadni Balkan i Afriku, predstavljaju sve veći višedimenzionalni rizik za sigurnost EU-a;</w:t>
      </w:r>
    </w:p>
    <w:p w:rsidR="00C26E30" w:rsidRPr="00677040" w:rsidRDefault="00C26E30" w:rsidP="00C26E30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677040">
        <w:t>K.</w:t>
      </w:r>
      <w:r w:rsidRPr="00677040">
        <w:tab/>
        <w:t>budući da se kineskim zakonodavstvom u području nacionalne sigurnosti, kao što je Zakon Narodne Republike Kine o nacionalnoj sigurnosti iz 2015., od građana i organizacija zahtijeva da pruže potporu i pomoć sustavima javne i državne sigurnosti te vojnim tijelima Narodne Republike Kine;</w:t>
      </w:r>
    </w:p>
    <w:p w:rsidR="00C26E30" w:rsidRPr="00677040" w:rsidRDefault="00C26E30" w:rsidP="00C26E30">
      <w:pPr>
        <w:pStyle w:val="Normal12"/>
        <w:rPr>
          <w:rFonts w:cs="Myriad Pro"/>
          <w:szCs w:val="22"/>
        </w:rPr>
      </w:pPr>
      <w:r w:rsidRPr="00677040">
        <w:t>L.</w:t>
      </w:r>
      <w:r w:rsidRPr="00677040">
        <w:tab/>
        <w:t>budući da strateško partnerstvo između Kine i Rusije, koje je formalizirano zajedničkom izjavom o međunarodnim odnosima u novom dobu i globalnom održivom razvoju od 4. veljače 2022., i dalje jača, među ostalim u područjima prijenosa tehnologije i vojnog znanja i kapaciteta, što predstavlja sve veću prijetnju europskoj sigurnosti;</w:t>
      </w:r>
    </w:p>
    <w:p w:rsidR="00C26E30" w:rsidRPr="00677040" w:rsidRDefault="00C26E30" w:rsidP="00C26E30">
      <w:pPr>
        <w:pStyle w:val="Normal12"/>
        <w:rPr>
          <w:rStyle w:val="BoldItalic"/>
        </w:rPr>
      </w:pPr>
      <w:r w:rsidRPr="00677040">
        <w:rPr>
          <w:rStyle w:val="BoldItalic"/>
        </w:rPr>
        <w:t>Srž problema: razumijevanje kineske strategije vojno-civilne fuzije</w:t>
      </w:r>
    </w:p>
    <w:p w:rsidR="00C26E30" w:rsidRPr="00677040" w:rsidRDefault="00C26E30" w:rsidP="00C26E30">
      <w:pPr>
        <w:pStyle w:val="Normal12"/>
      </w:pPr>
      <w:r w:rsidRPr="00677040">
        <w:t>1.</w:t>
      </w:r>
      <w:r w:rsidRPr="00677040">
        <w:tab/>
        <w:t>ističe da je kineska strategija vojno-civilne fuzije program koji vodi i kojim upravlja država u cilju korištenja svih poluga državne vlasti i komercijalne moći kako bi se ojačala i podržala Komunistička partija Kine i njezino oružano krilo, Narodnooslobodilačka vojska Kine, i to posebno stjecanjem i preusmjeravanjem najsuvremenijih svjetskih tehnologija, s ciljem jačanja totalitarnog režima i postizanja vojne dominacije;</w:t>
      </w:r>
    </w:p>
    <w:p w:rsidR="00C26E30" w:rsidRPr="00677040" w:rsidRDefault="00C26E30" w:rsidP="00C26E30">
      <w:pPr>
        <w:pStyle w:val="Normal12"/>
      </w:pPr>
      <w:r w:rsidRPr="00677040">
        <w:t>2.</w:t>
      </w:r>
      <w:r w:rsidRPr="00677040">
        <w:tab/>
        <w:t>smatra da politički sustav i gospodarstvo Kine pod kontrolom Partije često podrazumijeva da privatna poduzeća moraju uskladiti svoje komercijalne interese s Komunističkom partijom Kine, uključujući s njezinim vojnim aktivnostima, represijom i utjecajem, kao i s njezinim političkim upletanjima; napominje da se ćelije Komunističke partije Kine unutar privatnih poduzeća obično upotrebljavaju kao sredstva izravne stranačke kontrole; stoga ističe da se međunarodnim aktivnostima kineskih poduzeća pomaže Komunističkoj partiji Kine da ostvari ciljeve širenja svojeg utjecaja na treće zemlje, podrivanja geopolitičkih suparnika i povećanja utjecaja Kine;</w:t>
      </w:r>
    </w:p>
    <w:p w:rsidR="00C26E30" w:rsidRPr="00677040" w:rsidRDefault="00C26E30" w:rsidP="00C26E30">
      <w:pPr>
        <w:pStyle w:val="Normal12"/>
      </w:pPr>
      <w:r w:rsidRPr="00677040">
        <w:t>3.</w:t>
      </w:r>
      <w:r w:rsidRPr="00677040">
        <w:tab/>
        <w:t>smatra da vojno-civilnu fuziju treba razmatrati u širem geopolitičkom, gospodarskom i strateškom kontekstu, uzimajući u obzir međusobnu povezanost te strategije s drugim inicijativama, primjerice s inicijativama „Jedan pojas, jedan put” i „Digitalni put svile” ( što uključuje i „Proizvedeno u Kini 2025.” i „Kineski standardi 2035.”), Inicijativom za globalnu sigurnost i Strategijom dvostrukog optjecaja te sve veću kinesku asertivnost i agresivnost u inozemstvu; smatra da je krajnji cilj vojno-civilne fuzije ostvariti dugoročni strateški cilj partijske države da postane vodeća svjetska sila u smislu političkog utjecaja, gospodarskih kapaciteta, tehnološke dominacije i vojne moći i da potkopa međunarodni poredak utemeljen na pravilima;</w:t>
      </w:r>
    </w:p>
    <w:p w:rsidR="00C26E30" w:rsidRPr="00677040" w:rsidRDefault="00C26E30" w:rsidP="00C26E30">
      <w:pPr>
        <w:pStyle w:val="Normal12"/>
      </w:pPr>
      <w:r w:rsidRPr="00677040">
        <w:t>4.</w:t>
      </w:r>
      <w:r w:rsidRPr="00677040">
        <w:tab/>
        <w:t xml:space="preserve">podsjeća da je stjecanje primata u znanosti i tehnologiji posljednjih godina jedan od glavnih prioriteta Komunističke partije Kine te da njezina strategija vojno-civilne fuzije potiče dijeljenje rezultata istraživanja i razvoja između tržišno orijentirane i kineske obrambene industrije; naglašava opetovana upozorenja obavještajnih agencija na rizik od gospodarske ovisnosti, špijunaže i sabotaže uzrokovane gospodarskom prisutnošću </w:t>
      </w:r>
      <w:r w:rsidRPr="00677040">
        <w:lastRenderedPageBreak/>
        <w:t>subjekata iz određenih trećih zemalja, posebno iz Kine, u kritičnoj infrastrukturi i strateškim sektorima diljem EU-a; u tom smislu izražava zabrinutost zbog izvršenog političkog pritiska pri odobrenju posebnih kineskih ulaganja u kritičnu infrastrukturu, kao u slučaju odluke njemačke vlade da pristane na kupnju udjela u luci Hamburg od strane COSCO-a, suprotno savjetu nadležnih institucija;</w:t>
      </w:r>
    </w:p>
    <w:p w:rsidR="00C26E30" w:rsidRPr="00677040" w:rsidRDefault="00C26E30" w:rsidP="00C26E30">
      <w:pPr>
        <w:pStyle w:val="Normal12"/>
        <w:ind w:left="0" w:firstLine="0"/>
        <w:rPr>
          <w:i/>
        </w:rPr>
      </w:pPr>
      <w:r w:rsidRPr="00677040">
        <w:rPr>
          <w:b/>
          <w:i/>
        </w:rPr>
        <w:t>Posljedice strategije vojno-civilne fuzije Narodne Republike Kine</w:t>
      </w:r>
    </w:p>
    <w:p w:rsidR="00C26E30" w:rsidRPr="00677040" w:rsidRDefault="00C26E30" w:rsidP="00C26E30">
      <w:pPr>
        <w:pStyle w:val="Normal12"/>
      </w:pPr>
      <w:r w:rsidRPr="00677040">
        <w:t>5.</w:t>
      </w:r>
      <w:r w:rsidRPr="00677040">
        <w:tab/>
        <w:t>upozorava da ulazak kineskih poduzeća, posebno onih koja su izravno ili neizravno povezana s kineskim političko-vojnim ili obavještajnim sustavom, u stratešku imovinu EU-a predstavlja rizik; u tom pogledu ističe svoju zabrinutost zbog nastavka prijenosa tehnologije i tehnološke stručnosti koja se koristi u civilnim aktivnostima, osobito u ekonomskoj sferi, kineskoj vojsci, čime će se povećati njezina sposobnost da razvije sljedeću generaciju vojne tehnologije, koja se može upotrijebiti za agresivno djelovanje prema partnerima u Aziji i diljem svijeta; potiče države članice EU-a da povećaju regulatorni nadzor i uvedu posebne provjere pojedinaca i pravnih subjekata koji su izravno povezani s kineskom vladom;</w:t>
      </w:r>
    </w:p>
    <w:p w:rsidR="00C26E30" w:rsidRPr="00677040" w:rsidRDefault="00C26E30" w:rsidP="00C26E30">
      <w:pPr>
        <w:pStyle w:val="Normal12"/>
      </w:pPr>
      <w:r w:rsidRPr="00677040">
        <w:t>6.</w:t>
      </w:r>
      <w:r w:rsidRPr="00677040">
        <w:tab/>
        <w:t xml:space="preserve">zabrinut je zbog toga što Narodna Republika Kina zadovoljava 98 % potražnje EU-a za elementima rijetkih zemalja; naglašava da Kina proizvodi 70 % svjetskih baterija (tri od pet najvećih proizvođača baterija nalazi se u Kini), da ima udio od 60 % u svjetskoj proizvodnji aluminija i 75 % u proizvodnji silicija, kao i 94 % u svjetskoj proizvodnji galija i otprilike 60 % u proizvodnji </w:t>
      </w:r>
      <w:proofErr w:type="spellStart"/>
      <w:r w:rsidRPr="00677040">
        <w:t>germanija</w:t>
      </w:r>
      <w:proofErr w:type="spellEnd"/>
      <w:r w:rsidRPr="00677040">
        <w:t xml:space="preserve">, da se u njoj rafinira 60 % litija i prerađuje 70 % bakra te da proizvodi 84 % nikla i 85 % kobalta u svijetu; ističe da su kineska rudarska poduzeća aktivna u Srbiji (bakar i zlato), Demokratskoj Republici Kongu (kobalt), Indoneziji (nikal), Čileu i Australiji (litij) te da </w:t>
      </w:r>
      <w:proofErr w:type="spellStart"/>
      <w:r w:rsidRPr="00677040">
        <w:t>kvazimonopol</w:t>
      </w:r>
      <w:proofErr w:type="spellEnd"/>
      <w:r w:rsidRPr="00677040">
        <w:t xml:space="preserve"> te zemlje u proizvodnji i preradi tih ključnih sirovina rezultira kritičnom ovisnošću i stoga predstavlja ne samo akutni geopolitički izazov za EU, već i golem rizik za obrambeni sektor i druge ključne industrijske sektore u Europi, kao i za njezinu otvorenu stratešku autonomiju i Europsku strategiju gospodarske sigurnosti;</w:t>
      </w:r>
    </w:p>
    <w:p w:rsidR="00C26E30" w:rsidRPr="00677040" w:rsidRDefault="00C26E30" w:rsidP="00C26E30">
      <w:pPr>
        <w:pStyle w:val="Normal12"/>
      </w:pPr>
      <w:r w:rsidRPr="00677040">
        <w:t>7.</w:t>
      </w:r>
      <w:r w:rsidRPr="00677040">
        <w:tab/>
        <w:t>u tom pogledu pozdravlja prijedlog Komisije za Akt o kritičnim sirovinama i poziva na brzu provedbu njegovih ciljeva kako bi se ojačala otpornost lanaca opskrbe EU-a; podsjeća da su kritične sirovine ključne za sigurnosni i obrambeni sektor, kao i za uspjeh digitalne i zelene tranzicije EU-a; poziva Komisiju i države članice da u suradnji s dionicima iz industrije provedu odluku o postupnom smanjenju ovisnosti o Kini diversifikacijom izvora kritičnih sirovina i elemenata rijetkih zemalja i uspostave strateška partnerstva s pouzdanim trećim zemljama kako bi se osigurala sigurna i pouzdana opskrba kritičnim sirovinama; potiče EU da pomogne državama članicama u razvoju projekata kojima će se nastojati postići veća neovisnost o kineskoj proizvodnji;</w:t>
      </w:r>
    </w:p>
    <w:p w:rsidR="00C26E30" w:rsidRPr="00677040" w:rsidRDefault="00C26E30" w:rsidP="00C26E30">
      <w:pPr>
        <w:pStyle w:val="Normal12"/>
      </w:pPr>
      <w:r w:rsidRPr="00677040">
        <w:t>8.</w:t>
      </w:r>
      <w:r w:rsidRPr="00677040">
        <w:tab/>
        <w:t>snažno se zalaže za diversifikaciju dobavljača i partnera u inicijativama za kritičnu infrastrukturu kako bi se smanjila osjetljivost na vanjske utjecaje, pri čemu treba osigurati da se što je više moguće smanji razina oslanjanja na jedan pojedinačni izvor;</w:t>
      </w:r>
    </w:p>
    <w:p w:rsidR="00C26E30" w:rsidRPr="00677040" w:rsidRDefault="00C26E30" w:rsidP="00C26E30">
      <w:pPr>
        <w:pStyle w:val="Normal12"/>
      </w:pPr>
      <w:r w:rsidRPr="00677040">
        <w:t>9.</w:t>
      </w:r>
      <w:r w:rsidRPr="00677040">
        <w:tab/>
        <w:t xml:space="preserve">zabrinut je zbog toga što se podmorski kabeli u privatnom vlasništvu kineskih poduzeća kao što je HMN Technologies, subjekta povezanog s </w:t>
      </w:r>
      <w:proofErr w:type="spellStart"/>
      <w:r w:rsidRPr="00677040">
        <w:t>kibernetičkim</w:t>
      </w:r>
      <w:proofErr w:type="spellEnd"/>
      <w:r w:rsidRPr="00677040">
        <w:t xml:space="preserve"> obavještajnim jedinicama Narodnooslobodilačke vojske Kine, koriste za diplomatsku i vojnu komunikaciju EU-a i država članica; izražava ozbiljnu zabrinutost zbog sustava podmorskih podatkovnih kabela kojima upravlja kinesko poduzeće HMN Technologies, a koji povezuju teritorije država članica EU-a i </w:t>
      </w:r>
      <w:proofErr w:type="spellStart"/>
      <w:r w:rsidRPr="00677040">
        <w:t>indopacifičku</w:t>
      </w:r>
      <w:proofErr w:type="spellEnd"/>
      <w:r w:rsidRPr="00677040">
        <w:t xml:space="preserve"> regiju, uključujući vojne </w:t>
      </w:r>
      <w:r w:rsidRPr="00677040">
        <w:lastRenderedPageBreak/>
        <w:t xml:space="preserve">baze država članica i NATO-a, čime se stvaraju sigurnosne ranjivosti u pogledu </w:t>
      </w:r>
      <w:proofErr w:type="spellStart"/>
      <w:r w:rsidRPr="00677040">
        <w:t>kibernetičke</w:t>
      </w:r>
      <w:proofErr w:type="spellEnd"/>
      <w:r w:rsidRPr="00677040">
        <w:t xml:space="preserve"> sigurnosti, podvodnog nadzora, prikupljanja podataka, među ostalim obavještajnih podataka; u tom pogledu također izražava zabrinutost zbog prodaje jednog nizozemskog poduzeća, koje je okosnica estonske internetske infrastrukture, kineskom poduzeću povezanom s Narodnooslobodilačkom vojskom Kine; ističe potrebu za zajedničkim naporima država članica kako bi se spriječili slični slučajevi;</w:t>
      </w:r>
    </w:p>
    <w:p w:rsidR="00C26E30" w:rsidRPr="00677040" w:rsidRDefault="00C26E30" w:rsidP="00C26E30">
      <w:pPr>
        <w:pStyle w:val="NormalHanging12a"/>
        <w:rPr>
          <w:szCs w:val="24"/>
        </w:rPr>
      </w:pPr>
      <w:r w:rsidRPr="00677040">
        <w:t>10.</w:t>
      </w:r>
      <w:r w:rsidRPr="00677040">
        <w:tab/>
        <w:t>podsjeća da je potrebno provesti temeljitu procjenu infrastrukture i usluga u području informacijske sigurnosti institucija EU-a, posebno u pogledu povjerljive komunikacije između institucija i misija i operacija u inozemstvu; podsjeća da bi trebalo uzeti u obzir cijeli lanac opskrbe kako bi se osiguralo da poduzeća nemaju nikakve izravne ili neizravne veze s Narodnom Republikom Kinom; poziva na donošenje posebnih odredbi u postupcima javne nabave institucija EU-a kako bi se ograničio rizik od uplitanja, uključujući nabavu, održavanje ili provjeru treće strane;</w:t>
      </w:r>
    </w:p>
    <w:p w:rsidR="00C26E30" w:rsidRPr="00677040" w:rsidRDefault="00C26E30" w:rsidP="00C26E30">
      <w:pPr>
        <w:pStyle w:val="NormalHanging12a"/>
        <w:rPr>
          <w:szCs w:val="24"/>
        </w:rPr>
      </w:pPr>
      <w:r w:rsidRPr="00677040">
        <w:t>11.</w:t>
      </w:r>
      <w:r w:rsidRPr="00677040">
        <w:tab/>
        <w:t>upozorava da velika ulaganja u morske, željezničke i zračne luke Pekingu pružaju priliku za praćenje i kontrolu aktivnosti u ključnim logističkim čvorovima s temeljnom strateškom dimenzijom;</w:t>
      </w:r>
    </w:p>
    <w:p w:rsidR="00C26E30" w:rsidRPr="00677040" w:rsidRDefault="00C26E30" w:rsidP="00C26E30">
      <w:pPr>
        <w:pStyle w:val="NormalHanging12a"/>
        <w:rPr>
          <w:szCs w:val="24"/>
        </w:rPr>
      </w:pPr>
      <w:r w:rsidRPr="00677040">
        <w:t>12.</w:t>
      </w:r>
      <w:r w:rsidRPr="00677040">
        <w:tab/>
        <w:t>ističe činjenicu da je 2022. Kina bila drugi najveći partner EU-a u robnoj razmjeni; izražava zabrinutost zbog sve neuravnoteženijih trgovinskih i ulagačkih odnosa između EU-a i Kine, što je također naglašeno rekordnim trgovinskim deficitom EU-a od 396 milijardi EUR zabilježenim 2022. i ovisnosti o uvozu iz Kine i kineskim ulaganjima u određenim ključnim sektorima; ističe neuravnoteženu međunarodnu trgovinsku politiku Kine u kontekstu njezine strategije dvostrukog optjecaja; traži od Komisije da u ime EU-a Kini izrazi svoju zabrinutost u pogledu trgovinskih praksi kojima upravlja;</w:t>
      </w:r>
    </w:p>
    <w:p w:rsidR="00C26E30" w:rsidRPr="00677040" w:rsidRDefault="00C26E30" w:rsidP="00C26E30">
      <w:pPr>
        <w:pStyle w:val="Normal12"/>
        <w:ind w:left="0" w:firstLine="0"/>
        <w:rPr>
          <w:b/>
          <w:i/>
        </w:rPr>
      </w:pPr>
      <w:r w:rsidRPr="00677040">
        <w:rPr>
          <w:b/>
          <w:i/>
        </w:rPr>
        <w:t>Kako odgovoriti: proširenje skupa alata kako bi se odgovorilo na sigurnosne i obrambene zabrinutosti</w:t>
      </w:r>
    </w:p>
    <w:p w:rsidR="00C26E30" w:rsidRPr="00677040" w:rsidRDefault="00C26E30" w:rsidP="00C26E30">
      <w:pPr>
        <w:pStyle w:val="NormalHanging12a"/>
      </w:pPr>
      <w:r w:rsidRPr="00677040">
        <w:t>13.</w:t>
      </w:r>
      <w:r w:rsidRPr="00677040">
        <w:tab/>
        <w:t>tvrdi da je ključno područje kritične infrastrukture EU-a upravo njegova mreža istraživačkih zavoda i drugih ustanova za istraživanje i razvoj, koji imaju važnu ulogu u sposobnosti EU-a da ostvari preuzete obveze u području zelene i digitalne tranzicije, uz druga ključna područja kao što je obrana svemirske imovine; podsjeća na sigurnosne nedostatke povezane s prisilnim prijenosom tehnologije, krađom intelektualnog vlasništva i odljevom znanja, kako u EU-u tako i u inozemstvu; poziva na povećani oprez pri uzimanju u obzir takvih opasnosti koje ugrožavaju sposobnost EU-a da uvodi inovacije i potiče rast;</w:t>
      </w:r>
    </w:p>
    <w:p w:rsidR="00C26E30" w:rsidRPr="00677040" w:rsidRDefault="00C26E30" w:rsidP="00C26E30">
      <w:pPr>
        <w:pStyle w:val="NormalHanging12a"/>
        <w:rPr>
          <w:szCs w:val="24"/>
        </w:rPr>
      </w:pPr>
      <w:r w:rsidRPr="00677040">
        <w:t>14.</w:t>
      </w:r>
      <w:r w:rsidRPr="00677040">
        <w:tab/>
        <w:t xml:space="preserve">napominje da su kineska poduzeća već predvodnici u ključnim tehnologijama koje se upotrebljavaju u sektorima kao što su 5G bežična infrastruktura, bespilotne letjelice, baterije, </w:t>
      </w:r>
      <w:proofErr w:type="spellStart"/>
      <w:r w:rsidRPr="00677040">
        <w:t>hipersonični</w:t>
      </w:r>
      <w:proofErr w:type="spellEnd"/>
      <w:r w:rsidRPr="00677040">
        <w:t xml:space="preserve"> projektili, solarna energija i energija vjetra te </w:t>
      </w:r>
      <w:proofErr w:type="spellStart"/>
      <w:r w:rsidRPr="00677040">
        <w:t>kriptovalute</w:t>
      </w:r>
      <w:proofErr w:type="spellEnd"/>
      <w:r w:rsidRPr="00677040">
        <w:t xml:space="preserve">; izražava zabrinutost zbog primjena tih tehnologija i ovisnosti koje one stvaraju; u tom pogledu napominje da se 100 % 5G mreže RAN na Cipru temelji na kineskoj opremi, dok je u slučaju Njemačke riječ o 59 % opreme; naglašava da je to u suprotnosti sa smjernicama EU-a pod nazivom „Paket instrumenata EU-a za sigurnost 5G tehnologije”, čiji je cilj ublažavanje sigurnosnih rizika u mrežama te poziva Vijeće i Komisiju da isključe mogućnost korištenja opreme i softvera proizvođača sa sjedištem u Kini za funkcije </w:t>
      </w:r>
      <w:proofErr w:type="spellStart"/>
      <w:r w:rsidRPr="00677040">
        <w:t>jezgrene</w:t>
      </w:r>
      <w:proofErr w:type="spellEnd"/>
      <w:r w:rsidRPr="00677040">
        <w:t xml:space="preserve"> mreže; podsjeća da je </w:t>
      </w:r>
      <w:proofErr w:type="spellStart"/>
      <w:r w:rsidRPr="00677040">
        <w:t>Huawei</w:t>
      </w:r>
      <w:proofErr w:type="spellEnd"/>
      <w:r w:rsidRPr="00677040">
        <w:t xml:space="preserve"> do lipnja 2023. sudjelovao u 11 projekata u okviru programa Obzor Europa, na temelju čega je primio sredstava u </w:t>
      </w:r>
      <w:r w:rsidRPr="00677040">
        <w:lastRenderedPageBreak/>
        <w:t>ukupnom iznosu od 3,89 milijuna EUR; stoga potiče EU i europske institucije da provode sustavne provjere kineskih poduzeća koja imaju izravnu ili neizravnu korist od europskih programa od strateške važnosti za EU i da, kada je to nužno, okončaju njihovo sudjelovanje; nadalje, poziva Komisiju da predloži dodatne sigurnosne standarde za kineske dobavljače 5G mreže i 6G mreže sljedeće generacije;</w:t>
      </w:r>
    </w:p>
    <w:p w:rsidR="00C26E30" w:rsidRPr="00677040" w:rsidRDefault="00C26E30" w:rsidP="00C26E30">
      <w:pPr>
        <w:pStyle w:val="NormalHanging12a"/>
        <w:rPr>
          <w:szCs w:val="24"/>
        </w:rPr>
      </w:pPr>
      <w:r w:rsidRPr="00677040">
        <w:t>15.</w:t>
      </w:r>
      <w:r w:rsidRPr="00677040">
        <w:tab/>
        <w:t xml:space="preserve">smatra da aplikacija </w:t>
      </w:r>
      <w:proofErr w:type="spellStart"/>
      <w:r w:rsidRPr="00677040">
        <w:t>TikTok</w:t>
      </w:r>
      <w:proofErr w:type="spellEnd"/>
      <w:r w:rsidRPr="00677040">
        <w:t xml:space="preserve">, koja je u vlasništvu kineskog konglomerata </w:t>
      </w:r>
      <w:proofErr w:type="spellStart"/>
      <w:r w:rsidRPr="00677040">
        <w:t>ByteDance</w:t>
      </w:r>
      <w:proofErr w:type="spellEnd"/>
      <w:r w:rsidRPr="00677040">
        <w:t xml:space="preserve">, krši europski okvir o privatnosti podataka, predstavlja potencijalan rizik i izvor je dezinformacija koje podržava Kina; pozdravlja odluku institucija EU-a i više država članica da obustave korištenje aplikacije </w:t>
      </w:r>
      <w:proofErr w:type="spellStart"/>
      <w:r w:rsidRPr="00677040">
        <w:t>TikTok</w:t>
      </w:r>
      <w:proofErr w:type="spellEnd"/>
      <w:r w:rsidRPr="00677040">
        <w:t xml:space="preserve"> na korporativnim uređajima, kao i na osobnim uređajima integriranima u usluge mobilnih uređaja institucija;</w:t>
      </w:r>
    </w:p>
    <w:p w:rsidR="00C26E30" w:rsidRPr="00677040" w:rsidRDefault="00C26E30" w:rsidP="00C26E30">
      <w:pPr>
        <w:pStyle w:val="Normal12"/>
      </w:pPr>
      <w:r w:rsidRPr="00677040">
        <w:t>16.</w:t>
      </w:r>
      <w:r w:rsidRPr="00677040">
        <w:tab/>
        <w:t>upozorava da pogoršanje sigurnosnog okruženja u Europi, njezinu susjedstvu i diljem svijeta zahtijeva hitno promišljanje o tome kako ojačati otvorenu stratešku autonomiju EU-a i smanjiti njegovu ovisnost o zemljama kao što je Narodna Republika Kina i sistemskim suparnicima koji predstavljaju sigurnosni rizik za EU; naglašava da je potrebno spriječiti prijenos osjetljivih novih tehnologija i ključne robe s dvojnom namjenom, posebno onih tehnologija i robe koji su ključni za sigurnost i obranu Unije, prema problematičnim odredištima koja djeluju ili surađuju u okviru strategije vojno-civilne fuzije; smatra da je uspostava elektroničkog carinskog sustava i sustava za izdavanje izvoznih dozvola na razini EU-a ključan korak prema djelotvornim zajedničkim europskim kontrolama izvoza te potiče sve države članice da te sustave učine operativnima do kraja 2024.; nadalje poziva institucije EU-a i države članice da ojačaju suradnju s transatlantskim partnerima i drugim partnerima sličnih stavova u zaštiti kritične infrastrukture te da brane demokraciju i očuvaju naše zajedničke vrijednosti, sigurnost i blagostanje;</w:t>
      </w:r>
    </w:p>
    <w:p w:rsidR="00C26E30" w:rsidRPr="00677040" w:rsidRDefault="00C26E30" w:rsidP="00C26E30">
      <w:pPr>
        <w:pStyle w:val="Normal12"/>
      </w:pPr>
      <w:r w:rsidRPr="00677040">
        <w:t>17.</w:t>
      </w:r>
      <w:r w:rsidRPr="00677040">
        <w:tab/>
        <w:t xml:space="preserve">i dalje je zabrinut zbog toga što europska kritična infrastruktura, od telekomunikacijskih mreža do lučkih objekata, postaje sve osjetljivija na vanjske utjecaje; u tom pogledu pohvaljuje nedavne zakonodavne korake za jačanje otpornosti kritičnih subjekata u EU-u; međutim, sa zabrinutošću primjećuje da su te inicijative u velikoj mjeri ograničene na postupke provjere izravnih stranih ulaganja, čime se Komunističkoj partiji Kine ostavljaju otvorene druge opcije za stjecanja pristupa strateškoj imovini i utjecaj na nju, među ostalim putem vrbovanja elita, prijenosa tehnologije i intelektualnog vlasništva, kao i ovisnostima o lancu opskrbe i prodajnom tržištu; napominje da je uspostava temeljitog okvira za procjenu i </w:t>
      </w:r>
      <w:proofErr w:type="spellStart"/>
      <w:r w:rsidRPr="00677040">
        <w:t>mapiranje</w:t>
      </w:r>
      <w:proofErr w:type="spellEnd"/>
      <w:r w:rsidRPr="00677040">
        <w:t xml:space="preserve"> rizika ključna za utvrđivanje kritične infrastrukturne imovine i njezinih slabih točaka; smatra nužnim da se </w:t>
      </w:r>
      <w:proofErr w:type="spellStart"/>
      <w:r w:rsidRPr="00677040">
        <w:t>mapira</w:t>
      </w:r>
      <w:proofErr w:type="spellEnd"/>
      <w:r w:rsidRPr="00677040">
        <w:t>, prati i procjenjuje pristup Kine i ostalih trećih zemalja kritičnoj infrastrukturi u EU-u te da se prema potrebi zajednički poduzmu mjere ublažavanja; u tom pogledu poziva Komisiju da uz potporu država članica sastavi iscrpan popis kritične imovine i da sustavno ocjenjuje njezinu osjetljivost na vanjske utjecaje; stoga poziva na jačanje zakonodavnih inicijativa za rješavanje takvih rizika;</w:t>
      </w:r>
    </w:p>
    <w:p w:rsidR="00C26E30" w:rsidRPr="00677040" w:rsidRDefault="00C26E30" w:rsidP="00C26E30">
      <w:pPr>
        <w:pStyle w:val="NormalHanging12a"/>
      </w:pPr>
      <w:r w:rsidRPr="00677040">
        <w:t>18.</w:t>
      </w:r>
      <w:r w:rsidRPr="00677040">
        <w:tab/>
        <w:t>poziva Komisiju da prije kraja ovog parlamentarnog saziva Parlamentu dostavi detaljnu analizu trgovinskih rizika povezanih s tehnologijama, kao što su poluvodiči, kvantno računalstvo, lanci blokova, svemir, umjetna inteligencija i biotehnologije, te moguće potrebe za djelovanjem EU-a u tim područjima;</w:t>
      </w:r>
    </w:p>
    <w:p w:rsidR="00C26E30" w:rsidRPr="00677040" w:rsidRDefault="00C26E30" w:rsidP="00C26E30">
      <w:pPr>
        <w:pStyle w:val="Normal12"/>
      </w:pPr>
      <w:r w:rsidRPr="00677040">
        <w:lastRenderedPageBreak/>
        <w:t>19.</w:t>
      </w:r>
      <w:r w:rsidRPr="00677040">
        <w:tab/>
        <w:t>podsjeća da se Uredba o provjeri izravnih stranih ulaganja</w:t>
      </w:r>
      <w:r w:rsidRPr="00677040">
        <w:rPr>
          <w:vertAlign w:val="superscript"/>
        </w:rPr>
        <w:footnoteReference w:id="14"/>
      </w:r>
      <w:r w:rsidRPr="00677040">
        <w:t xml:space="preserve"> bavi pitanjem rizika za sigurnost i javni poredak koji proizlaze iz ulaganja koja potječu izvan EU-a; primjećuje ključnu dodanu vrijednost mehanizma za provjeru kao relevantnog alata koji EU-u i državama članicama pruža bolji strateški pregled i informiranost o trendovima, ciljevima, sredstvima i metodama kojima se strani akteri služe kako bi povećali svoj gospodarski i politički utjecaj; poziva da se područje primjene instrumenata koji se trenutačno odnose na izravna strana ulaganja i strane subvencije proširi na način da postupci obuhvate općenite provjere svih dionika uključenih u projekte kritične infrastrukture EU-a koji obuhvaćaju sve načine sudjelovanja u radu kritične infrastrukture, uključujući suradničke pothvate, partnerstva i prijenos tehnologije; također ističe da su rutinske evaluacije projekata kritične infrastrukture u koje su uključeni dionici izvan EU-a ključne i smatra da bi taj proces trebao obuhvaćati nadzor nad vlasničkim strukturama, ovisnostima unutar lanaca opskrbe i prijenosom tehnologija povezanima s tim projektima; također smatra da je potrebno uspostaviti standarde dužne pažnje kako bi se utvrdio utjecaj Kine na ulagače u kritičnu infrastrukturu EU-a te naglašava da bi se taj pristup također trebao primjenjivati na zemlje kandidatkinje i potencijalne kandidatkinje; naglašava da su države članice u konačnici odgovorne za zaštitu infrastrukture, ali da one nisu dosljedno provodile postojeće smjernice o izravnim stranim ulaganjima; duboko je zabrinut zbog činjenice da sve države članice nisu uspostavile mehanizme za provjeru stranih ulaganja u kritičnu infrastrukturu ili da ih ne upotrebljavaju; upućuje hitan poziv državama članicama da dosljedno provedu postojeće zakonodavstvo koje se odnosi na izravna strana ulaganja i otpornost kritičnih subjekata;</w:t>
      </w:r>
    </w:p>
    <w:p w:rsidR="00C26E30" w:rsidRPr="00677040" w:rsidRDefault="00C26E30" w:rsidP="00C26E30">
      <w:pPr>
        <w:pStyle w:val="Normal12"/>
      </w:pPr>
      <w:r w:rsidRPr="00677040">
        <w:t>20.</w:t>
      </w:r>
      <w:r w:rsidRPr="00677040">
        <w:tab/>
        <w:t xml:space="preserve">u tom pogledu izražava žaljenje zbog nedostatka odgovarajuće kontrole rizika od uplitanja u javnu nabavu u vezi sa sigurnosnom opremom, kao što je slučaj ugovora koji je Zračna luka Strasbourg potpisala u vezi s postavljanjem sigurnosnih skenera i prolaza, koje isporučuje europsko društvo kći kineskog poduzeća </w:t>
      </w:r>
      <w:proofErr w:type="spellStart"/>
      <w:r w:rsidRPr="00677040">
        <w:t>Nuctech</w:t>
      </w:r>
      <w:proofErr w:type="spellEnd"/>
      <w:r w:rsidRPr="00677040">
        <w:t xml:space="preserve">, koje je djelomično u vlasništvu kineske vlade i obvezano politikom „Ujedinjene fronte”; upozorava da bi svaka takva tehnologija mogla uključivati ugrađene sigurnosne nedostatke ili bi joj se moglo pristupiti tijekom održavanja; s druge strane, pozdravlja odluku rumunjske vlade da prekine pregovore s društvom </w:t>
      </w:r>
      <w:r w:rsidRPr="00677040">
        <w:rPr>
          <w:i/>
          <w:iCs/>
        </w:rPr>
        <w:t xml:space="preserve">China General </w:t>
      </w:r>
      <w:proofErr w:type="spellStart"/>
      <w:r w:rsidRPr="00677040">
        <w:rPr>
          <w:i/>
          <w:iCs/>
        </w:rPr>
        <w:t>Nuclear</w:t>
      </w:r>
      <w:proofErr w:type="spellEnd"/>
      <w:r w:rsidRPr="00677040">
        <w:rPr>
          <w:i/>
          <w:iCs/>
        </w:rPr>
        <w:t xml:space="preserve"> Power Corporation</w:t>
      </w:r>
      <w:r w:rsidRPr="00677040">
        <w:t xml:space="preserve">, CGNPC, o izgradnji nuklearnih reaktora 3 i 4 u </w:t>
      </w:r>
      <w:proofErr w:type="spellStart"/>
      <w:r w:rsidRPr="00677040">
        <w:t>Cernavodi</w:t>
      </w:r>
      <w:proofErr w:type="spellEnd"/>
      <w:r w:rsidRPr="00677040">
        <w:t>;</w:t>
      </w:r>
    </w:p>
    <w:p w:rsidR="00C26E30" w:rsidRPr="00677040" w:rsidRDefault="00C26E30" w:rsidP="00C26E30">
      <w:pPr>
        <w:pStyle w:val="Normal12"/>
      </w:pPr>
      <w:r w:rsidRPr="00677040">
        <w:t>21.</w:t>
      </w:r>
      <w:r w:rsidRPr="00677040">
        <w:tab/>
        <w:t>ističe, međutim, da je potrebno uspostaviti stratešku ravnotežu između otvorenosti jedinstvenog tržišta EU-a i njegove privlačnosti za ulaganja, s jedne strane, te obrane kritične infrastrukture i autonomije EU-a s druge strane, uzimajući u obzir sigurnosne slabosti EU-a, posebno u pogledu gospodarske prisile ili prijetnji integritetu kritične infrastrukture EU-a;</w:t>
      </w:r>
    </w:p>
    <w:p w:rsidR="00C26E30" w:rsidRPr="00677040" w:rsidRDefault="00C26E30" w:rsidP="00C26E30">
      <w:pPr>
        <w:pStyle w:val="Normal12"/>
      </w:pPr>
      <w:r w:rsidRPr="00677040">
        <w:t>22.</w:t>
      </w:r>
      <w:r w:rsidRPr="00677040">
        <w:tab/>
        <w:t xml:space="preserve">poziva Komisiju da razmotri na koji bi način njezina mišljenja o provjeri izravnih stranih ulaganja mogla dodatno dobiti na težini, kako bi se izbjegli poremećaji na jedinstvenom tržištu i natjecanje u snižavanju standarda među državama članicama; poziva Komisiju i države članice da povećaju usklađenost, među ostalim prikupljanjem odgovarajućeg stručnog znanja, te da u potpunosti provedu Uredbu za provjeru izravnih stranih ulaganja; smatra da postoji mogućnost i potreba za jačanjem te uredbe u okviru njezine revizije planirane za kraj godine; potiče Komisiju da predstavi ambiciozan zakonodavni prijedlog izmijenjene Uredbe kojim bi se uklonili svi nedostaci koji su </w:t>
      </w:r>
      <w:r w:rsidRPr="00677040">
        <w:lastRenderedPageBreak/>
        <w:t>uočeni tijekom njezine provedbe te da brzo ocijeni mogućnost podnošenja zakonodavnog prijedloga o mehanizmu za provjeru ulaganja prema inozemstvu; preporučuje da se svaki predloženi mehanizam za provjeru ulaganja prema inozemstvu temelji na procjenama učinka koje uključuju odgovarajuće savjetovanje s poduzećima kako bi se moguće negativne posljedice na europsku konkurentnost svele na najmanju moguću razinu;</w:t>
      </w:r>
    </w:p>
    <w:p w:rsidR="00C26E30" w:rsidRPr="00677040" w:rsidRDefault="00C26E30" w:rsidP="00C26E30">
      <w:pPr>
        <w:pStyle w:val="Normal12"/>
      </w:pPr>
      <w:r w:rsidRPr="00677040">
        <w:t>23.</w:t>
      </w:r>
      <w:r w:rsidRPr="00677040">
        <w:tab/>
        <w:t>pozdravlja novi pristup uklanjanja rizika iz predložene europske strategije za gospodarsku sigurnost od 20. lipnja 2023., čiji je cilj u najvećoj mogućoj mjeri povećati koristi od gospodarske otvorenosti EU-a i štititi, promicati i jačati otvorenu stratešku autonomiju EU-a, pri čemu treba na najmanju moguću razinu svesti rizike koji proizlaze iz gospodarskih ovisnosti i njihove moguće zlouporabe, što se odnosi i na ulaganja i istraživačku suradnju u pogledu ključnih razvojnih tehnologija s vojnim primjenama, među ostalim u području kvantnog računalstva, naprednih poluvodiča i umjetne inteligencije; poziva na brzo donošenje prijedloga Komisije i Visokog predstavnika i poziva države članice da u potpunosti provedu prošireni regulatorni okvir EU-a kako bi se isključili subjekti koji bi mogli doprinijeti vojno-civilnoj fuziji i iznašle alternative za projekte koje Kina financira u EU-u razvojem sveobuhvatnog pristupa zajedničkom utvrđivanju, procjeni i upravljanju rizicima za europsku gospodarsku sigurnost;</w:t>
      </w:r>
    </w:p>
    <w:p w:rsidR="00C26E30" w:rsidRPr="00677040" w:rsidRDefault="00C26E30" w:rsidP="00C26E30">
      <w:pPr>
        <w:pStyle w:val="Normal12"/>
      </w:pPr>
      <w:r w:rsidRPr="00677040">
        <w:t>24.</w:t>
      </w:r>
      <w:r w:rsidRPr="00677040">
        <w:tab/>
        <w:t xml:space="preserve">nadalje pozdravlja prijedlog Visokog predstavnika i Komisije da se spriječi curenje osjetljivih tehnologija u nastajanju uspostavom popisa tehnologija s dvojnom namjenom, na temelju usko definiranih kriterija usmjerenih na budućnost, kao što su potencijalna razvojna i </w:t>
      </w:r>
      <w:proofErr w:type="spellStart"/>
      <w:r w:rsidRPr="00677040">
        <w:t>transformativna</w:t>
      </w:r>
      <w:proofErr w:type="spellEnd"/>
      <w:r w:rsidRPr="00677040">
        <w:t xml:space="preserve"> priroda tehnologije, rizik od vojno-civilne fuzije i rizik od zlouporabe tehnologije za kršenje ljudskih prava; poziva Komisiju i države članice da što prije utvrde i provedu relevantne zaštitne mjere za te tehnologije s dvojnom namjenom;</w:t>
      </w:r>
    </w:p>
    <w:p w:rsidR="00C26E30" w:rsidRPr="00677040" w:rsidRDefault="00C26E30" w:rsidP="00C26E30">
      <w:pPr>
        <w:spacing w:after="240"/>
        <w:ind w:left="567" w:hanging="567"/>
      </w:pPr>
      <w:r w:rsidRPr="00677040">
        <w:t>25.</w:t>
      </w:r>
      <w:r w:rsidRPr="00677040">
        <w:tab/>
        <w:t>u tom pogledu poziva Komisiju da u suradnji s državama članicama osmisli mehanizam brzog odgovora za otkrivanje dvojne namjene ili zlouporabe infrastrukture u EU-u koja je u kineskom vlasništvu, suvlasništvu ili za koje Kina ima koncesiju, koji bi se mogao iskoristiti za ukidanje prava na koncesiju i/ili privremenog ukidanja prava na uporabu u slučajevima vlasništva i suvlasništva; poziva Komisiju da na godišnjoj razini izvješćuju Parlament o sljedećim pitanjima:</w:t>
      </w:r>
    </w:p>
    <w:p w:rsidR="00C26E30" w:rsidRPr="00677040" w:rsidRDefault="00C26E30" w:rsidP="00C26E30">
      <w:pPr>
        <w:spacing w:after="240"/>
        <w:ind w:left="1134" w:hanging="567"/>
      </w:pPr>
      <w:r w:rsidRPr="00677040">
        <w:t>(a)</w:t>
      </w:r>
      <w:r w:rsidRPr="00677040">
        <w:tab/>
        <w:t>otkrivanju moguće dvojne namjene strateške infrastrukture koja Kini pruža logističku i obavještajnu potporu;</w:t>
      </w:r>
    </w:p>
    <w:p w:rsidR="00C26E30" w:rsidRPr="00677040" w:rsidRDefault="00C26E30" w:rsidP="00C26E30">
      <w:pPr>
        <w:pStyle w:val="Normal12"/>
        <w:ind w:left="1134"/>
      </w:pPr>
      <w:r w:rsidRPr="00677040">
        <w:t>(b)</w:t>
      </w:r>
      <w:r w:rsidRPr="00677040">
        <w:tab/>
        <w:t>potpunom poštovanju trgovinskog zakonodavstva EU-a, posebno u pogledu dužne pažnje, borbe protiv prisile i robe proizvedene prisilnim radom koja ulazi na tržište EU-a;</w:t>
      </w:r>
    </w:p>
    <w:p w:rsidR="00C26E30" w:rsidRPr="00677040" w:rsidRDefault="00C26E30" w:rsidP="00C26E30">
      <w:pPr>
        <w:pStyle w:val="Normal12"/>
      </w:pPr>
      <w:r w:rsidRPr="00677040">
        <w:t>26.</w:t>
      </w:r>
      <w:r w:rsidRPr="00677040">
        <w:tab/>
        <w:t xml:space="preserve">pozdravlja donošenje europskog akta o čipovima, kojim će se povećati sposobnost EU-a za proizvodnju poluvodiča i izraditi strateška mapa, među ostalim, nedostataka u sposobnostima u lancu vrijednosti poluvodiča u EU-u, čime će se ograničiti ovisnost EU-a o trećim zemljama kao što je Kina; poziva na podnošenje daljnjih prijedloga kako bi se osigurali lanci opskrbe za kritičnu infrastrukturu i materijale unutar EU-a; nadalje, poziva Komisiju i države članice da razviju dodatne inicijative usmjerene na omogućivanje bolje koordinacije i suradnje s partnerima istomišljenicima i saveznicima te da prate i dodatno razviju, ako je to moguće i u skladu s ciljem EU-a da se smanje daljnje ovisnosti, globalne proizvodne kapacitete i lance opskrbe kritičnom </w:t>
      </w:r>
      <w:r w:rsidRPr="00677040">
        <w:lastRenderedPageBreak/>
        <w:t>infrastrukturom i materijalima koji su ključni za sigurnost i obranu Unije; skreće posebnu pozornost na Tajvan, koji ima važnu ulogu u globalnim lancima opskrbe i međunarodnom poretku utemeljenom na pravilima; ponovno ističe svoju dugotrajnu potporu bilateralnom sporazumu o ulaganjima između EU-a i Tajvana te svim aranžmanima koji su uzajamno korisni za bilateralnu trgovinu i ulaganja;</w:t>
      </w:r>
    </w:p>
    <w:p w:rsidR="00C26E30" w:rsidRPr="00677040" w:rsidRDefault="00C26E30" w:rsidP="00C26E30">
      <w:pPr>
        <w:pStyle w:val="Normal12"/>
      </w:pPr>
      <w:r w:rsidRPr="00677040">
        <w:t>27.</w:t>
      </w:r>
      <w:r w:rsidRPr="00677040">
        <w:tab/>
        <w:t xml:space="preserve">poziva Komisiju da predloži novi zakonodavni okvir za ublažavanje sigurnosnih rizika u pogledu dobavljača sustava podmorskih kabela, koji bi uključivao, među ostalim, strože praćenje i čestu provjeru vlasničkih struktura tih dobavljača, njihovih prethodnih ulaganja u sustave podmorskih kabela te blizine sustava podmorskih kabela europskim i savezničkim vojnim bazama; naglašava da je dobavljače kabelskih sustava, primjerice kineska poduzeća, potrebno spriječiti da razmjenjuju podatke s obavještajnim službama, osim kada je riječ o zaštiti infrastrukture od vanjskih neovlaštenih upada ili zlonamjernih napada; u tom se pogledu zalaže za inicijative usmjerene na daljnji razvoj poduzeća u području sustava podmorskih kabela koja su u europskom vlasništvu ili imaju poslovni </w:t>
      </w:r>
      <w:proofErr w:type="spellStart"/>
      <w:r w:rsidRPr="00677040">
        <w:t>nastan</w:t>
      </w:r>
      <w:proofErr w:type="spellEnd"/>
      <w:r w:rsidRPr="00677040">
        <w:t xml:space="preserve"> u Europi;</w:t>
      </w:r>
    </w:p>
    <w:p w:rsidR="00C26E30" w:rsidRPr="00677040" w:rsidRDefault="00C26E30" w:rsidP="00C26E30">
      <w:pPr>
        <w:pStyle w:val="NormalHanging12a"/>
      </w:pPr>
      <w:r w:rsidRPr="00677040">
        <w:t>28.</w:t>
      </w:r>
      <w:r w:rsidRPr="00677040">
        <w:tab/>
        <w:t>naglašava da se odgovori EU-a moraju temeljiti na boljem razumijevanju relevantne strateške slike, s naglaskom na međusektorskim i transnacionalnim procjenama prijetnji i studijama osjetljivosti kritične infrastrukture; smatra da bi decentralizirano ili nemarno sagledavanje stanja, bez jasne vidljivosti i nadzora nad projektima od strateške važnosti za europsku obranu i sigurnost, moglo uvelike štetiti geopolitičkim interesima Unije</w:t>
      </w:r>
      <w:r w:rsidRPr="00677040">
        <w:rPr>
          <w:vertAlign w:val="superscript"/>
        </w:rPr>
        <w:footnoteReference w:id="15"/>
      </w:r>
      <w:r w:rsidRPr="00677040">
        <w:t>; podsjeća na slabosti povezane sa stranim upletanjem, posebno u informacijski prostor, i na međusobnu povezanost projekata izravnih stranih ulaganja i manipuliranja informacijama koje provode zlonamjerni strani akteri;</w:t>
      </w:r>
    </w:p>
    <w:p w:rsidR="00C26E30" w:rsidRPr="00677040" w:rsidRDefault="00C26E30" w:rsidP="00C26E30">
      <w:pPr>
        <w:pStyle w:val="Normal12"/>
        <w:ind w:left="0" w:firstLine="0"/>
        <w:rPr>
          <w:rStyle w:val="BoldItalic"/>
          <w:b w:val="0"/>
          <w:i w:val="0"/>
        </w:rPr>
      </w:pPr>
      <w:r w:rsidRPr="00677040">
        <w:rPr>
          <w:rStyle w:val="BoldItalic"/>
        </w:rPr>
        <w:t>Poveznica između unutarnje i vanjske sigurnosti: jačanje otpornosti najbližih partnera EU-a</w:t>
      </w:r>
    </w:p>
    <w:p w:rsidR="00C26E30" w:rsidRPr="00677040" w:rsidRDefault="00C26E30" w:rsidP="00C26E30">
      <w:pPr>
        <w:pStyle w:val="Normal12"/>
      </w:pPr>
      <w:r w:rsidRPr="00677040">
        <w:t>29.</w:t>
      </w:r>
      <w:r w:rsidRPr="00677040">
        <w:tab/>
        <w:t>izražava zabrinutost zbog prodora Narodne Republike Kine na tržište EU-a i u šire susjedstvo; poziva Komisiju i Europsku službu za vanjsko djelovanje (ESVD) da osiguraju da se mjere poduzete za jačanje otpornosti EU-a na kineski utjecaj, među kojima su uklanjanje rizika, diversifikacija i smanjenje kritičnih ovisnosti, prošire i na najbliže partnere EU-a, posebno na zemlje pristupnice i one koje su dio politike susjedstva EU-a;</w:t>
      </w:r>
    </w:p>
    <w:p w:rsidR="00C26E30" w:rsidRPr="00677040" w:rsidRDefault="00C26E30" w:rsidP="00C26E30">
      <w:pPr>
        <w:pStyle w:val="Normal12"/>
      </w:pPr>
      <w:r w:rsidRPr="00677040">
        <w:t>30.</w:t>
      </w:r>
      <w:r w:rsidRPr="00677040">
        <w:tab/>
        <w:t xml:space="preserve">podsjeća da pomorske snage Narodne Republike Kine imaju na raspolaganju sredstva i pravne alate koji im osiguravaju da kineske civilne brodove i infrastrukturu mogu koristiti u vojne i sigurnosne svrhe; smatra da Kina svoju civilnu komercijalnu infrastrukturu može iskoristiti kako bi poduprla prisutnost Narodnooslobodilačke vojske Kine u trećim zemljama; upozorava da se takvom vojno-civilnom fuzijom kineskoj vojsci omogućuje pristup stranim lukama, čime joj se omogućuje da unaprijed pripremi logističku potporu za razmještanje pomorskih snaga na udaljenim lokacijama poput Indijskog oceana, Sredozemnog mora i Atlantskog oceana; ističe da je rizik od špijunaže najveći kada se kineska civilna komercijalna imovina nalazi u logističkim čvorištima u blizini pomorskih baza EU-a i NATO-a ili u lučkim poduzećima koja su potpisala sporazume o pružanju logističke potpore europskim poduzećima; poziva </w:t>
      </w:r>
      <w:r w:rsidRPr="00677040">
        <w:lastRenderedPageBreak/>
        <w:t>države članice da hitno riješe pitanje potrebe za smanjenjem rizika od špijunaže i sabotaže u kritičnoj infrastrukturi, osobito onoj s vojnom funkcijom, kao što su luke kojima se koristi NATO; u tom pogledu naglašava da EU i NATO moraju surađivati u razvoju dugoročnog plana za suzbijanje kineske strategije vojno-civilne fuzije u Europi te poziva na potpunu provedbu završnog izvješća o procjeni radne skupine EU-a i NATO-a</w:t>
      </w:r>
      <w:r w:rsidRPr="00677040">
        <w:rPr>
          <w:rStyle w:val="FootnoteReference"/>
        </w:rPr>
        <w:footnoteReference w:id="16"/>
      </w:r>
      <w:r w:rsidRPr="00677040">
        <w:t>;</w:t>
      </w:r>
    </w:p>
    <w:p w:rsidR="00C26E30" w:rsidRPr="00677040" w:rsidRDefault="00C26E30" w:rsidP="00C26E30">
      <w:pPr>
        <w:pStyle w:val="Normal12"/>
      </w:pPr>
      <w:r w:rsidRPr="00677040">
        <w:t>31.</w:t>
      </w:r>
      <w:r w:rsidRPr="00677040">
        <w:tab/>
        <w:t>napominje da su luke točke pristupa prema svijetu i kao takve imaju ključnu ulogu u gospodarstvu EU-a; sa zabrinutošću primjećuje da su subjekti u kineskom vlasništvu ili pod kineskom kontrolom strateški povećali svoje udjele u europskim lukama i lučkoj infrastrukturi; poziva Komisiju da predstavi strateški politički okvir EU-a za smanjenje i ograničavanje utjecaja i operativne kontrole Kine i drugih režima; također podsjeća da Narodna Republika Kina projicira moć u inozemstvu korištenjem mreže komercijalnih luka i objekata s dvojnom namjenom koji pružaju logističku i obavještajnu potporu kineskoj mornarici; napominje da su 2022. kineska poduzeća upravljala ili bila u vlasništvu terminala u 96 luka u 53 zemlje; nadalje, napominje da su u najmanje devet luka, od kojih su dvije u Europi, izvršeni opsežni popravci ili radovi na održavanju ratnih brodova i opreme mornarice Narodnooslobodilačke armije Kine (PLAN); ističe da se pomorskim posjetima otkrivaju područja utjecaja, prioritetne operativne zone, ciljevi prikupljanja obavještajnih podataka i prioriteti suradnje;</w:t>
      </w:r>
    </w:p>
    <w:p w:rsidR="00C26E30" w:rsidRPr="00677040" w:rsidRDefault="00C26E30" w:rsidP="00C26E30">
      <w:pPr>
        <w:pStyle w:val="Normal12"/>
        <w:rPr>
          <w:rStyle w:val="BoldItalic"/>
          <w:b w:val="0"/>
          <w:i w:val="0"/>
        </w:rPr>
      </w:pPr>
      <w:r w:rsidRPr="00677040">
        <w:rPr>
          <w:rStyle w:val="BoldItalic"/>
          <w:b w:val="0"/>
          <w:i w:val="0"/>
        </w:rPr>
        <w:t>32.</w:t>
      </w:r>
      <w:r w:rsidRPr="00677040">
        <w:rPr>
          <w:rStyle w:val="BoldItalic"/>
          <w:b w:val="0"/>
          <w:i w:val="0"/>
        </w:rPr>
        <w:tab/>
      </w:r>
      <w:r w:rsidRPr="00677040">
        <w:t xml:space="preserve">naglašava potrebu za geopolitičkim pristupom globalnoj suradnji u području kritične infrastrukture kako bi se EU uspješno suočio s novim sigurnosnim izazovima; primjećuje da trećinu ukupne afričke infrastrukture izgrađene od 2010., uključujući oko 50 % afričkih 3G mreža i 70 % 4G mreža na tom kontinentu, financiraju i grade kineska poduzeća u državnom vlasništvu; ističe da je Kina u posljednjih 20 godina povećala svoj angažman u pogledu trgovine, ulaganja i zajmova s afričkim vladama i njihovim poduzećima u državnom vlasništvu za 160 milijardi USD, pri čemu je ugovornih obveza malo ili su netransparentne, i to uglavnom u području prometa, proizvodnje energije, rudarstva i telekomunikacija; posebno ističe činjenicu da je samo jedno kinesko telekomunikacijsko poduzeće izgradilo do 70 % afričke infrastrukture informacijske tehnologije, kao i ulogu kineskih poduzeća u financiranju, izgradnji, širenju i obnovi najmanje 14 osjetljivih afričkih telekomunikacijskih mreža; izražava zabrinutost zbog toga što je kineski model očito privlačan mnogim zemljama koje ne mogu ili nisu voljne ispuniti zahtjeve EU-a za pristup jednakovrijednim razinama financiranja, čime se širi kineski utjecaj na štetu partnerstava s EU-om i povećava rizik od neodrživog duga za te zemlje, čime se šteti njihovu dugoročnom razvoju na štetu lokalnog stanovništva; poziva Komisiju, ESVD i države članice da pojačaju napore, uključujući privlačenjem ulaganja iz privatnog sektora, kako bi se u okviru strategije </w:t>
      </w:r>
      <w:r w:rsidRPr="00677040">
        <w:rPr>
          <w:i/>
          <w:iCs/>
        </w:rPr>
        <w:t xml:space="preserve">Global </w:t>
      </w:r>
      <w:proofErr w:type="spellStart"/>
      <w:r w:rsidRPr="00677040">
        <w:rPr>
          <w:i/>
          <w:iCs/>
        </w:rPr>
        <w:t>Gateway</w:t>
      </w:r>
      <w:proofErr w:type="spellEnd"/>
      <w:r w:rsidRPr="00677040">
        <w:t xml:space="preserve"> proveo paket ulaganja u iznosu od 150 milijardi EUR, kako je dogovoreno na 6. sastanku na vrhu EU-a i AU-a u veljači 2022.; potiče Vijeće i Komisiju da u okviru te inicijative brzo provedu projekte, posebno ogledne projekte;</w:t>
      </w:r>
    </w:p>
    <w:p w:rsidR="00C26E30" w:rsidRPr="00677040" w:rsidRDefault="00C26E30" w:rsidP="00C26E30">
      <w:pPr>
        <w:pStyle w:val="Normal12"/>
      </w:pPr>
      <w:r w:rsidRPr="00677040">
        <w:t>33.</w:t>
      </w:r>
      <w:r w:rsidRPr="00677040">
        <w:tab/>
        <w:t xml:space="preserve">sa zabrinutošću ističe da bi se strategija Narodne Republike Kine za izgradnju „baza za suradnju plavoga gospodarstva” duž obale Afrike, među ostalim izgradnjom ribarskih plovila i postrojenja za popravak plovila, mogla koristiti i u vojne svrhe; naglašava da postoji opći manjak podataka i transparentnosti u pogledu tih sporazuma s afričkim </w:t>
      </w:r>
      <w:r w:rsidRPr="00677040">
        <w:lastRenderedPageBreak/>
        <w:t>zemljama i pratećih dozvola; ističe moguće geopolitičke posljedice za EU, posebno u trećim zemljama u kojima je EU angažiran;</w:t>
      </w:r>
    </w:p>
    <w:p w:rsidR="00C26E30" w:rsidRPr="00677040" w:rsidRDefault="00C26E30" w:rsidP="00C26E30">
      <w:pPr>
        <w:pStyle w:val="Normalhanging12a0"/>
        <w:jc w:val="center"/>
        <w:rPr>
          <w:lang w:val="hr-HR"/>
        </w:rPr>
      </w:pPr>
      <w:r w:rsidRPr="00677040">
        <w:rPr>
          <w:lang w:val="hr-HR"/>
        </w:rPr>
        <w:t>°</w:t>
      </w:r>
    </w:p>
    <w:p w:rsidR="00C26E30" w:rsidRPr="00677040" w:rsidRDefault="00C26E30" w:rsidP="00C26E30">
      <w:pPr>
        <w:pStyle w:val="Normalhanging12a0"/>
        <w:jc w:val="center"/>
        <w:rPr>
          <w:lang w:val="hr-HR"/>
        </w:rPr>
      </w:pPr>
      <w:r w:rsidRPr="00677040">
        <w:rPr>
          <w:lang w:val="hr-HR"/>
        </w:rPr>
        <w:t>°</w:t>
      </w:r>
      <w:r w:rsidRPr="00677040">
        <w:rPr>
          <w:lang w:val="hr-HR"/>
        </w:rPr>
        <w:tab/>
        <w:t>°</w:t>
      </w:r>
    </w:p>
    <w:p w:rsidR="00C26E30" w:rsidRPr="00677040" w:rsidRDefault="00C26E30" w:rsidP="00C26E30">
      <w:pPr>
        <w:pStyle w:val="Normal12"/>
        <w:ind w:left="560" w:hanging="560"/>
      </w:pPr>
      <w:r w:rsidRPr="00677040">
        <w:t>34.</w:t>
      </w:r>
      <w:r w:rsidRPr="00677040">
        <w:tab/>
        <w:t>nalaže svojoj predsjednici da ovu Rezoluciju proslijedi potpredsjedniku Komisije / Visokom predstavniku Unije za vanjske poslove i sigurnosnu politiku, Vijeću i Komisiji.</w:t>
      </w:r>
    </w:p>
    <w:p w:rsidR="00C26E30" w:rsidRPr="00677040" w:rsidRDefault="00C26E30" w:rsidP="00C26E30"/>
    <w:sectPr w:rsidR="00C26E30" w:rsidRPr="00677040" w:rsidSect="00711B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B38" w:rsidRPr="00711B99" w:rsidRDefault="005D6B38">
      <w:r w:rsidRPr="00711B99">
        <w:separator/>
      </w:r>
    </w:p>
  </w:endnote>
  <w:endnote w:type="continuationSeparator" w:id="0">
    <w:p w:rsidR="005D6B38" w:rsidRPr="00711B99" w:rsidRDefault="005D6B38">
      <w:r w:rsidRPr="00711B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B38" w:rsidRPr="00711B99" w:rsidRDefault="005D6B38">
      <w:r w:rsidRPr="00711B99">
        <w:separator/>
      </w:r>
    </w:p>
  </w:footnote>
  <w:footnote w:type="continuationSeparator" w:id="0">
    <w:p w:rsidR="005D6B38" w:rsidRPr="00711B99" w:rsidRDefault="005D6B38">
      <w:r w:rsidRPr="00711B99">
        <w:continuationSeparator/>
      </w:r>
    </w:p>
  </w:footnote>
  <w:footnote w:id="1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 L 330, 23.12.2022., str. 1.</w:t>
      </w:r>
    </w:p>
  </w:footnote>
  <w:footnote w:id="2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 L 79</w:t>
      </w:r>
      <w:r w:rsidR="00BA4234">
        <w:rPr>
          <w:sz w:val="24"/>
          <w:lang w:val="hr-HR"/>
        </w:rPr>
        <w:t xml:space="preserve"> </w:t>
      </w:r>
      <w:r w:rsidRPr="00D12F33">
        <w:rPr>
          <w:sz w:val="24"/>
          <w:lang w:val="hr-HR"/>
        </w:rPr>
        <w:t>I, 21.3.2019., str. 1.</w:t>
      </w:r>
    </w:p>
  </w:footnote>
  <w:footnote w:id="3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 L 333, 27.12.2022., str. 164.</w:t>
      </w:r>
    </w:p>
  </w:footnote>
  <w:footnote w:id="4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 L 333, 27.12.2022., str. 80.</w:t>
      </w:r>
    </w:p>
  </w:footnote>
  <w:footnote w:id="5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 L 229, 18.9.2023., str. 1.</w:t>
      </w:r>
    </w:p>
  </w:footnote>
  <w:footnote w:id="6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Prijedlog uredbe o uspostavi okvira za sigurnu i održivu opskrbu kritičnim sirovin</w:t>
      </w:r>
      <w:r w:rsidR="00DC0CBB">
        <w:rPr>
          <w:sz w:val="24"/>
          <w:lang w:val="hr-HR"/>
        </w:rPr>
        <w:t xml:space="preserve">ama i o izmjeni uredbi (EU) 168/2013, (EU) 2018/858, </w:t>
      </w:r>
      <w:r w:rsidRPr="00711B99">
        <w:rPr>
          <w:sz w:val="24"/>
          <w:lang w:val="hr-HR"/>
        </w:rPr>
        <w:t>2018/1724 i (EU) 2019/1020 (COM(2023)0160).</w:t>
      </w:r>
    </w:p>
  </w:footnote>
  <w:footnote w:id="7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Prijedlog uredbe o zaštiti Unije i njezinih država članica od gospodarske prisile koj</w:t>
      </w:r>
      <w:r w:rsidR="00DC0CBB">
        <w:rPr>
          <w:sz w:val="24"/>
          <w:lang w:val="hr-HR"/>
        </w:rPr>
        <w:t>u primjenjuju treće zemlje (COM(2021)</w:t>
      </w:r>
      <w:r w:rsidRPr="00711B99">
        <w:rPr>
          <w:sz w:val="24"/>
          <w:lang w:val="hr-HR"/>
        </w:rPr>
        <w:t>0775)</w:t>
      </w:r>
      <w:r w:rsidR="00E9637C">
        <w:rPr>
          <w:sz w:val="24"/>
          <w:lang w:val="hr-HR"/>
        </w:rPr>
        <w:t xml:space="preserve"> (SL L, 2023/2675, 7.12.2023.)</w:t>
      </w:r>
      <w:r w:rsidRPr="00711B99">
        <w:rPr>
          <w:sz w:val="24"/>
          <w:lang w:val="hr-HR"/>
        </w:rPr>
        <w:t>.</w:t>
      </w:r>
    </w:p>
  </w:footnote>
  <w:footnote w:id="8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D12F33">
        <w:rPr>
          <w:sz w:val="24"/>
          <w:lang w:val="hr-HR"/>
        </w:rPr>
        <w:t>SL C 117, 11.3.2022., str. 40.</w:t>
      </w:r>
    </w:p>
  </w:footnote>
  <w:footnote w:id="9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Usvojeni tekstovi, P9_TA(2023)0219.</w:t>
      </w:r>
      <w:bookmarkStart w:id="8" w:name="_GoBack"/>
      <w:bookmarkEnd w:id="8"/>
    </w:p>
  </w:footnote>
  <w:footnote w:id="10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Usvojeni tekstovi, P9_TA(2023)0219.</w:t>
      </w:r>
    </w:p>
  </w:footnote>
  <w:footnote w:id="11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SL C 20, 20.1.2023., str. 1.</w:t>
      </w:r>
    </w:p>
  </w:footnote>
  <w:footnote w:id="12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 xml:space="preserve">Direktiva (EU) 2022/2557 od 14. prosinca 2022. o otpornosti kritičnih subjekata i o stavljanju izvan snage Direktive Vijeća 2008/114/EZ </w:t>
      </w:r>
      <w:r w:rsidR="00D12F33">
        <w:rPr>
          <w:sz w:val="24"/>
          <w:lang w:val="hr-HR"/>
        </w:rPr>
        <w:t>(</w:t>
      </w:r>
      <w:r w:rsidRPr="00D12F33">
        <w:rPr>
          <w:sz w:val="24"/>
          <w:lang w:val="hr-HR"/>
        </w:rPr>
        <w:t>SL L 333, 27.12.2022., str. 164</w:t>
      </w:r>
      <w:r w:rsidRPr="00711B99">
        <w:rPr>
          <w:sz w:val="24"/>
          <w:lang w:val="hr-HR"/>
        </w:rPr>
        <w:t>.</w:t>
      </w:r>
      <w:r w:rsidR="00D12F33">
        <w:rPr>
          <w:sz w:val="24"/>
          <w:lang w:val="hr-HR"/>
        </w:rPr>
        <w:t>).</w:t>
      </w:r>
    </w:p>
  </w:footnote>
  <w:footnote w:id="13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 xml:space="preserve">Direktiva (EU) 2022/2555 od 14. prosinca 2022. o mjerama za visoku zajedničku razinu </w:t>
      </w:r>
      <w:proofErr w:type="spellStart"/>
      <w:r w:rsidRPr="00711B99">
        <w:rPr>
          <w:sz w:val="24"/>
          <w:lang w:val="hr-HR"/>
        </w:rPr>
        <w:t>kibersigurnosti</w:t>
      </w:r>
      <w:proofErr w:type="spellEnd"/>
      <w:r w:rsidRPr="00711B99">
        <w:rPr>
          <w:sz w:val="24"/>
          <w:lang w:val="hr-HR"/>
        </w:rPr>
        <w:t xml:space="preserve"> širom Unije, izmjeni Uredbe (EU) br. 910/2014 i Direktive (EU) 2018/1972 i stavljanju izvan snage Direktive (EU) 2016/1148 (Direktiva NIS 2) </w:t>
      </w:r>
      <w:r w:rsidR="00D12F33">
        <w:rPr>
          <w:sz w:val="24"/>
          <w:lang w:val="hr-HR"/>
        </w:rPr>
        <w:t>(</w:t>
      </w:r>
      <w:r w:rsidRPr="00D12F33">
        <w:rPr>
          <w:sz w:val="24"/>
          <w:lang w:val="hr-HR"/>
        </w:rPr>
        <w:t>SL L 333, 27.12.2022., str. 80</w:t>
      </w:r>
      <w:r w:rsidRPr="00711B99">
        <w:rPr>
          <w:sz w:val="24"/>
          <w:lang w:val="hr-HR"/>
        </w:rPr>
        <w:t>.</w:t>
      </w:r>
      <w:r w:rsidR="00D12F33">
        <w:rPr>
          <w:sz w:val="24"/>
          <w:lang w:val="hr-HR"/>
        </w:rPr>
        <w:t>).</w:t>
      </w:r>
    </w:p>
  </w:footnote>
  <w:footnote w:id="14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rFonts w:eastAsiaTheme="majorEastAsia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 xml:space="preserve">Uredba (EU) 2019/452 od 19. ožujka 2019. o uspostavi okvira za provjeru izravnih stranih ulaganja u Uniji </w:t>
      </w:r>
      <w:r w:rsidR="00D12F33">
        <w:rPr>
          <w:sz w:val="24"/>
          <w:lang w:val="hr-HR"/>
        </w:rPr>
        <w:t>(</w:t>
      </w:r>
      <w:r w:rsidRPr="00D12F33">
        <w:rPr>
          <w:sz w:val="24"/>
          <w:lang w:val="hr-HR"/>
        </w:rPr>
        <w:t>SL L 79 I, 21.3.2019., str. 1.</w:t>
      </w:r>
      <w:r w:rsidR="00D12F33">
        <w:rPr>
          <w:sz w:val="24"/>
          <w:lang w:val="hr-HR"/>
        </w:rPr>
        <w:t>).</w:t>
      </w:r>
    </w:p>
  </w:footnote>
  <w:footnote w:id="15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>Resorni odjel za vanjske odnose Glavne uprave za vanjsku politiku Unije, „</w:t>
      </w:r>
      <w:proofErr w:type="spellStart"/>
      <w:r w:rsidRPr="00711B99">
        <w:rPr>
          <w:sz w:val="24"/>
          <w:lang w:val="hr-HR"/>
        </w:rPr>
        <w:t>Security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implications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of</w:t>
      </w:r>
      <w:proofErr w:type="spellEnd"/>
      <w:r w:rsidRPr="00711B99">
        <w:rPr>
          <w:sz w:val="24"/>
          <w:lang w:val="hr-HR"/>
        </w:rPr>
        <w:t xml:space="preserve"> China-</w:t>
      </w:r>
      <w:proofErr w:type="spellStart"/>
      <w:r w:rsidRPr="00711B99">
        <w:rPr>
          <w:sz w:val="24"/>
          <w:lang w:val="hr-HR"/>
        </w:rPr>
        <w:t>owned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critical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infrastructure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in</w:t>
      </w:r>
      <w:proofErr w:type="spellEnd"/>
      <w:r w:rsidRPr="00711B99">
        <w:rPr>
          <w:sz w:val="24"/>
          <w:lang w:val="hr-HR"/>
        </w:rPr>
        <w:t xml:space="preserve"> </w:t>
      </w:r>
      <w:proofErr w:type="spellStart"/>
      <w:r w:rsidRPr="00711B99">
        <w:rPr>
          <w:sz w:val="24"/>
          <w:lang w:val="hr-HR"/>
        </w:rPr>
        <w:t>the</w:t>
      </w:r>
      <w:proofErr w:type="spellEnd"/>
      <w:r w:rsidRPr="00711B99">
        <w:rPr>
          <w:sz w:val="24"/>
          <w:lang w:val="hr-HR"/>
        </w:rPr>
        <w:t xml:space="preserve"> European Union” (Utjecaj kritične infrastrukture u vlasništvu Kine u Europskoj uniji na sigurnost), lipanj 2023.</w:t>
      </w:r>
    </w:p>
  </w:footnote>
  <w:footnote w:id="16">
    <w:p w:rsidR="00C26E30" w:rsidRPr="00711B99" w:rsidRDefault="00C26E30" w:rsidP="00711B99">
      <w:pPr>
        <w:pStyle w:val="FootnoteText"/>
        <w:ind w:left="567" w:hanging="567"/>
        <w:rPr>
          <w:sz w:val="24"/>
          <w:lang w:val="hr-HR"/>
        </w:rPr>
      </w:pPr>
      <w:r w:rsidRPr="00711B99">
        <w:rPr>
          <w:rStyle w:val="FootnoteReference"/>
          <w:sz w:val="24"/>
          <w:lang w:val="hr-HR"/>
        </w:rPr>
        <w:footnoteRef/>
      </w:r>
      <w:r w:rsidR="00711B99" w:rsidRPr="00711B99">
        <w:rPr>
          <w:sz w:val="24"/>
          <w:lang w:val="hr-HR"/>
        </w:rPr>
        <w:t xml:space="preserve"> </w:t>
      </w:r>
      <w:r w:rsidR="00711B99" w:rsidRPr="00711B99">
        <w:rPr>
          <w:sz w:val="24"/>
          <w:lang w:val="hr-HR"/>
        </w:rPr>
        <w:tab/>
      </w:r>
      <w:r w:rsidRPr="00711B99">
        <w:rPr>
          <w:sz w:val="24"/>
          <w:lang w:val="hr-HR"/>
        </w:rPr>
        <w:t xml:space="preserve">Europska komisija, </w:t>
      </w:r>
      <w:hyperlink r:id="rId1" w:history="1">
        <w:r w:rsidRPr="00711B99">
          <w:rPr>
            <w:rStyle w:val="Hyperlink"/>
            <w:sz w:val="24"/>
            <w:lang w:val="hr-HR"/>
          </w:rPr>
          <w:t xml:space="preserve">Radna skupina EU-a i NATO-a za otpornost kritične </w:t>
        </w:r>
        <w:proofErr w:type="spellStart"/>
        <w:r w:rsidRPr="00711B99">
          <w:rPr>
            <w:rStyle w:val="Hyperlink"/>
            <w:sz w:val="24"/>
            <w:lang w:val="hr-HR"/>
          </w:rPr>
          <w:t>infrastrukture</w:t>
        </w:r>
      </w:hyperlink>
      <w:r w:rsidRPr="00711B99">
        <w:rPr>
          <w:sz w:val="24"/>
          <w:lang w:val="hr-HR"/>
        </w:rPr>
        <w:t>:</w:t>
      </w:r>
      <w:hyperlink r:id="rId2" w:history="1">
        <w:r w:rsidRPr="00711B99">
          <w:rPr>
            <w:rStyle w:val="Hyperlink"/>
            <w:sz w:val="24"/>
            <w:lang w:val="hr-HR"/>
          </w:rPr>
          <w:t>Završno</w:t>
        </w:r>
        <w:proofErr w:type="spellEnd"/>
        <w:r w:rsidRPr="00711B99">
          <w:rPr>
            <w:rStyle w:val="Hyperlink"/>
            <w:sz w:val="24"/>
            <w:lang w:val="hr-HR"/>
          </w:rPr>
          <w:t xml:space="preserve"> izvješće o procjeni</w:t>
        </w:r>
      </w:hyperlink>
      <w:r w:rsidRPr="00711B99">
        <w:rPr>
          <w:sz w:val="24"/>
          <w:lang w:val="hr-HR"/>
        </w:rPr>
        <w:t>, lipanj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B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1/2023"/>
    <w:docVar w:name="dvlangue" w:val="HR"/>
    <w:docVar w:name="dvnumam" w:val="0"/>
    <w:docVar w:name="dvpe" w:val="750.176"/>
    <w:docVar w:name="dvrapporteur" w:val="Izvjestitelj: "/>
    <w:docVar w:name="dvtitre" w:val="Rezolucija Europskog parlamenta od .... 2024. o sigurnosnim i obrambenim implikacijama utjecaja Kine na kritične infrastrukture u Europskoj uniji(2023/2072(INI))"/>
  </w:docVars>
  <w:rsids>
    <w:rsidRoot w:val="005D6B38"/>
    <w:rsid w:val="00002272"/>
    <w:rsid w:val="00064002"/>
    <w:rsid w:val="000677B9"/>
    <w:rsid w:val="000831BA"/>
    <w:rsid w:val="000A42CC"/>
    <w:rsid w:val="000E3D9D"/>
    <w:rsid w:val="000E7DD9"/>
    <w:rsid w:val="0010095E"/>
    <w:rsid w:val="00125B37"/>
    <w:rsid w:val="00187494"/>
    <w:rsid w:val="001F32AE"/>
    <w:rsid w:val="002767FF"/>
    <w:rsid w:val="002B160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B38"/>
    <w:rsid w:val="006037C0"/>
    <w:rsid w:val="006631B6"/>
    <w:rsid w:val="0066417B"/>
    <w:rsid w:val="00677040"/>
    <w:rsid w:val="00680577"/>
    <w:rsid w:val="006F74FA"/>
    <w:rsid w:val="00711B9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234"/>
    <w:rsid w:val="00BD48FE"/>
    <w:rsid w:val="00BD7BD8"/>
    <w:rsid w:val="00BE6ADC"/>
    <w:rsid w:val="00C05BFE"/>
    <w:rsid w:val="00C23CD4"/>
    <w:rsid w:val="00C26E30"/>
    <w:rsid w:val="00C61C0C"/>
    <w:rsid w:val="00C941CB"/>
    <w:rsid w:val="00CC2357"/>
    <w:rsid w:val="00CF071A"/>
    <w:rsid w:val="00D058B8"/>
    <w:rsid w:val="00D12F33"/>
    <w:rsid w:val="00D56C11"/>
    <w:rsid w:val="00D834A0"/>
    <w:rsid w:val="00D872DF"/>
    <w:rsid w:val="00D91E21"/>
    <w:rsid w:val="00DA7FCD"/>
    <w:rsid w:val="00DC0CBB"/>
    <w:rsid w:val="00E365E1"/>
    <w:rsid w:val="00E820A4"/>
    <w:rsid w:val="00E9637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1243D"/>
  <w15:chartTrackingRefBased/>
  <w15:docId w15:val="{FA11B706-6025-43C4-AC05-5214DDA0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26E30"/>
    <w:pPr>
      <w:spacing w:after="240"/>
      <w:ind w:left="567" w:hanging="567"/>
    </w:pPr>
  </w:style>
  <w:style w:type="paragraph" w:customStyle="1" w:styleId="EPComma">
    <w:name w:val="EPComma"/>
    <w:basedOn w:val="Normal"/>
    <w:rsid w:val="00C26E3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26E30"/>
    <w:rPr>
      <w:sz w:val="24"/>
      <w:lang w:val="hr-HR"/>
    </w:rPr>
  </w:style>
  <w:style w:type="paragraph" w:customStyle="1" w:styleId="NormalHanging">
    <w:name w:val="NormalHanging"/>
    <w:basedOn w:val="Normal"/>
    <w:rsid w:val="00C26E30"/>
    <w:pPr>
      <w:widowControl/>
      <w:spacing w:after="240"/>
      <w:ind w:left="567" w:hanging="567"/>
    </w:pPr>
  </w:style>
  <w:style w:type="paragraph" w:customStyle="1" w:styleId="Normal12">
    <w:name w:val="Normal12"/>
    <w:basedOn w:val="Normal"/>
    <w:qFormat/>
    <w:rsid w:val="00C26E30"/>
    <w:pPr>
      <w:widowControl/>
      <w:spacing w:after="240"/>
      <w:ind w:left="567" w:hanging="567"/>
    </w:pPr>
  </w:style>
  <w:style w:type="character" w:customStyle="1" w:styleId="Normalhanging12aChar0">
    <w:name w:val="Normalhanging12a Char"/>
    <w:basedOn w:val="DefaultParagraphFont"/>
    <w:link w:val="Normalhanging12a0"/>
    <w:locked/>
    <w:rsid w:val="00C26E30"/>
    <w:rPr>
      <w:sz w:val="24"/>
    </w:rPr>
  </w:style>
  <w:style w:type="paragraph" w:customStyle="1" w:styleId="Normalhanging12a0">
    <w:name w:val="Normalhanging12a"/>
    <w:basedOn w:val="Normal"/>
    <w:link w:val="Normalhanging12aChar0"/>
    <w:qFormat/>
    <w:rsid w:val="00C26E30"/>
    <w:pPr>
      <w:tabs>
        <w:tab w:val="left" w:pos="567"/>
      </w:tabs>
      <w:spacing w:after="240"/>
      <w:ind w:left="567" w:hanging="567"/>
    </w:pPr>
    <w:rPr>
      <w:lang w:val="en-GB"/>
    </w:rPr>
  </w:style>
  <w:style w:type="character" w:customStyle="1" w:styleId="BoldItalic">
    <w:name w:val="BoldItalic"/>
    <w:basedOn w:val="DefaultParagraphFont"/>
    <w:uiPriority w:val="1"/>
    <w:qFormat/>
    <w:rsid w:val="00C26E30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styleId="Hyperlink">
    <w:name w:val="Hyperlink"/>
    <w:basedOn w:val="DefaultParagraphFont"/>
    <w:unhideWhenUsed/>
    <w:rsid w:val="00C26E30"/>
    <w:rPr>
      <w:rFonts w:ascii="Times New Roman" w:hAnsi="Times New Roman" w:cs="Times New Roman" w:hint="default"/>
      <w:color w:val="0563C1"/>
      <w:u w:val="single"/>
    </w:rPr>
  </w:style>
  <w:style w:type="paragraph" w:styleId="BalloonText">
    <w:name w:val="Balloon Text"/>
    <w:basedOn w:val="Normal"/>
    <w:link w:val="BalloonTextChar"/>
    <w:rsid w:val="00E963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637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ommission.europa.eu/document/34209534-3c59-4b01-b4f0-b2c6ee2df736_en" TargetMode="External"/><Relationship Id="rId1" Type="http://schemas.openxmlformats.org/officeDocument/2006/relationships/hyperlink" Target="https://commission.europa.eu/document/34209534-3c59-4b01-b4f0-b2c6ee2df736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C7C8C-9414-42C6-8C20-828360F8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5320</Words>
  <Characters>32480</Characters>
  <Application>Microsoft Office Word</Application>
  <DocSecurity>0</DocSecurity>
  <Lines>270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RAONIĆ Ena</cp:lastModifiedBy>
  <cp:revision>2</cp:revision>
  <cp:lastPrinted>2004-11-19T15:42:00Z</cp:lastPrinted>
  <dcterms:created xsi:type="dcterms:W3CDTF">2024-02-19T09:38:00Z</dcterms:created>
  <dcterms:modified xsi:type="dcterms:W3CDTF">2024-02-19T09:38:00Z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A9-0401/2023</vt:lpwstr>
  </property>
  <property fmtid="{D5CDD505-2E9C-101B-9397-08002B2CF9AE}" pid="4" name="&lt;Type&gt;">
    <vt:lpwstr>RR</vt:lpwstr>
  </property>
</Properties>
</file>