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66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66B4" w:rsidRDefault="00A766F3" w:rsidP="0010095E">
            <w:pPr>
              <w:pStyle w:val="EPName"/>
            </w:pPr>
            <w:r w:rsidRPr="004366B4">
              <w:t>Európsky parlament</w:t>
            </w:r>
          </w:p>
          <w:p w:rsidR="00751A4A" w:rsidRPr="004366B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66B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366B4" w:rsidRDefault="00187494" w:rsidP="0010095E">
            <w:pPr>
              <w:pStyle w:val="EPLogo"/>
            </w:pPr>
            <w:r w:rsidRPr="004366B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66B4" w:rsidRDefault="00D058B8" w:rsidP="004C5D52">
      <w:pPr>
        <w:pStyle w:val="LineTop"/>
      </w:pPr>
    </w:p>
    <w:p w:rsidR="00680577" w:rsidRPr="004366B4" w:rsidRDefault="00A766F3" w:rsidP="00680577">
      <w:pPr>
        <w:pStyle w:val="EPBodyTA1"/>
      </w:pPr>
      <w:r w:rsidRPr="004366B4">
        <w:t>PRIJATÉ TEXTY</w:t>
      </w:r>
    </w:p>
    <w:p w:rsidR="00D058B8" w:rsidRPr="004366B4" w:rsidRDefault="00D058B8" w:rsidP="00D058B8">
      <w:pPr>
        <w:pStyle w:val="LineBottom"/>
      </w:pPr>
    </w:p>
    <w:p w:rsidR="00A766F3" w:rsidRPr="004366B4" w:rsidRDefault="00A766F3" w:rsidP="00A766F3">
      <w:pPr>
        <w:pStyle w:val="ATHeading1"/>
      </w:pPr>
      <w:bookmarkStart w:id="0" w:name="TANumber"/>
      <w:r w:rsidRPr="004366B4">
        <w:t>P9_TA(2024)00</w:t>
      </w:r>
      <w:r w:rsidR="004366B4" w:rsidRPr="004366B4">
        <w:t>28</w:t>
      </w:r>
      <w:bookmarkEnd w:id="0"/>
    </w:p>
    <w:p w:rsidR="00A766F3" w:rsidRPr="004366B4" w:rsidRDefault="00A766F3" w:rsidP="00A766F3">
      <w:pPr>
        <w:pStyle w:val="ATHeading2"/>
      </w:pPr>
      <w:bookmarkStart w:id="1" w:name="title"/>
      <w:r w:rsidRPr="004366B4">
        <w:t>Bezpečnostné a obranné dôsledky vplyvu Číny na kritickú infraštruktúru v Európskej únii</w:t>
      </w:r>
      <w:bookmarkEnd w:id="1"/>
    </w:p>
    <w:p w:rsidR="00A766F3" w:rsidRPr="004366B4" w:rsidRDefault="00A766F3" w:rsidP="00A766F3">
      <w:pPr>
        <w:rPr>
          <w:i/>
          <w:vanish/>
        </w:rPr>
      </w:pPr>
      <w:r w:rsidRPr="004366B4">
        <w:rPr>
          <w:i/>
        </w:rPr>
        <w:fldChar w:fldCharType="begin"/>
      </w:r>
      <w:r w:rsidRPr="004366B4">
        <w:rPr>
          <w:i/>
        </w:rPr>
        <w:instrText xml:space="preserve"> TC"(</w:instrText>
      </w:r>
      <w:bookmarkStart w:id="2" w:name="DocNumber"/>
      <w:r w:rsidRPr="004366B4">
        <w:rPr>
          <w:i/>
        </w:rPr>
        <w:instrText>A9-0401/2023</w:instrText>
      </w:r>
      <w:bookmarkEnd w:id="2"/>
      <w:r w:rsidRPr="004366B4">
        <w:rPr>
          <w:i/>
        </w:rPr>
        <w:instrText xml:space="preserve"> - Spravodajca: Klemen Grošelj)"\l3 \n&gt; \* MERGEFORMAT </w:instrText>
      </w:r>
      <w:r w:rsidRPr="004366B4">
        <w:rPr>
          <w:i/>
        </w:rPr>
        <w:fldChar w:fldCharType="end"/>
      </w:r>
    </w:p>
    <w:p w:rsidR="00A766F3" w:rsidRPr="004366B4" w:rsidRDefault="00A766F3" w:rsidP="00A766F3">
      <w:pPr>
        <w:rPr>
          <w:vanish/>
        </w:rPr>
      </w:pPr>
      <w:bookmarkStart w:id="3" w:name="Commission"/>
      <w:r w:rsidRPr="004366B4">
        <w:rPr>
          <w:vanish/>
        </w:rPr>
        <w:t>Výbor pre zahraničné veci</w:t>
      </w:r>
      <w:bookmarkEnd w:id="3"/>
    </w:p>
    <w:p w:rsidR="00A766F3" w:rsidRPr="004366B4" w:rsidRDefault="00A766F3" w:rsidP="00A766F3">
      <w:pPr>
        <w:rPr>
          <w:vanish/>
        </w:rPr>
      </w:pPr>
      <w:bookmarkStart w:id="4" w:name="PE"/>
      <w:r w:rsidRPr="004366B4">
        <w:rPr>
          <w:vanish/>
        </w:rPr>
        <w:t>PE750.176</w:t>
      </w:r>
      <w:bookmarkEnd w:id="4"/>
    </w:p>
    <w:p w:rsidR="00A766F3" w:rsidRPr="004366B4" w:rsidRDefault="00A766F3" w:rsidP="00A766F3">
      <w:pPr>
        <w:pStyle w:val="ATHeading3"/>
      </w:pPr>
      <w:bookmarkStart w:id="5" w:name="Sujet"/>
      <w:r w:rsidRPr="004366B4">
        <w:t>Uznesenie Európskeho parlamentu z</w:t>
      </w:r>
      <w:r w:rsidR="004366B4" w:rsidRPr="004366B4">
        <w:t>o</w:t>
      </w:r>
      <w:r w:rsidRPr="004366B4">
        <w:t xml:space="preserve"> </w:t>
      </w:r>
      <w:r w:rsidR="004366B4" w:rsidRPr="004366B4">
        <w:t>17</w:t>
      </w:r>
      <w:r w:rsidRPr="004366B4">
        <w:t>. januára 2024 o bezpečnostných a obranných dôsledkoch vplyvu Číny na kritickú infraštruktúru v Európskej únii</w:t>
      </w:r>
      <w:bookmarkEnd w:id="5"/>
      <w:r w:rsidRPr="004366B4">
        <w:t xml:space="preserve"> </w:t>
      </w:r>
      <w:bookmarkStart w:id="6" w:name="References"/>
      <w:r w:rsidRPr="004366B4">
        <w:t>(2023/2072(INI))</w:t>
      </w:r>
      <w:bookmarkEnd w:id="6"/>
    </w:p>
    <w:p w:rsidR="00A766F3" w:rsidRPr="004366B4" w:rsidRDefault="00A766F3" w:rsidP="00A766F3"/>
    <w:p w:rsidR="00784585" w:rsidRPr="004366B4" w:rsidRDefault="00784585" w:rsidP="00784585">
      <w:pPr>
        <w:pStyle w:val="Normal12"/>
      </w:pPr>
      <w:bookmarkStart w:id="7" w:name="TextBodyBegin"/>
      <w:bookmarkEnd w:id="7"/>
      <w:r w:rsidRPr="004366B4">
        <w:rPr>
          <w:rStyle w:val="Italic"/>
        </w:rPr>
        <w:t>Európsky parlament</w:t>
      </w:r>
      <w:r w:rsidRPr="004366B4">
        <w:t>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Zmluvu o fungovaní Európskej únie,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hlavu V Zmluvy o Európskej únii, a najmä na jej kapitolu 2 oddiel 2 o ustanoveniach o spoločnej bezpečnostnej a obrannej politike,</w:t>
      </w:r>
    </w:p>
    <w:p w:rsidR="00784585" w:rsidRPr="004366B4" w:rsidRDefault="00784585" w:rsidP="00784585">
      <w:pPr>
        <w:pStyle w:val="NormalHanging12a"/>
      </w:pPr>
      <w:r w:rsidRPr="004366B4">
        <w:t>–</w:t>
      </w:r>
      <w:r w:rsidRPr="004366B4">
        <w:tab/>
        <w:t>so zreteľom na Strategický kompas pre bezpečnosť a obranu – za Európsku úniu, ktorá chráni svojich občanov, hodnoty a záujmy a prispieva k medzinárodnému mieru a bezpečnosti, ktorý schválila Rada 21. marca 2022 a potvrdila Európska rada 25. marca 2022,</w:t>
      </w:r>
    </w:p>
    <w:p w:rsidR="00784585" w:rsidRPr="004366B4" w:rsidRDefault="00784585" w:rsidP="00784585">
      <w:pPr>
        <w:pStyle w:val="NormalHanging12a"/>
      </w:pPr>
      <w:r w:rsidRPr="004366B4">
        <w:t>–</w:t>
      </w:r>
      <w:r w:rsidRPr="004366B4">
        <w:tab/>
        <w:t>so zreteľom na vyhlásenie z Versailles prijaté na neformálnom stretnutí hláv štátov alebo predsedov vlád 11. marca 2022,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spoločné oznámenie Komisie a vysokého predstaviteľa Únie pre zahraničné veci a bezpečnostnú politiku z 20. júna 2023 o európskej stratégii hospodárskej bezpečnosti (JOIN(2023)0020),</w:t>
      </w:r>
    </w:p>
    <w:p w:rsidR="00784585" w:rsidRPr="004366B4" w:rsidRDefault="00784585" w:rsidP="00784585">
      <w:pPr>
        <w:spacing w:after="240"/>
        <w:ind w:left="567" w:hanging="425"/>
      </w:pPr>
      <w:r w:rsidRPr="004366B4">
        <w:t>–</w:t>
      </w:r>
      <w:r w:rsidRPr="004366B4">
        <w:tab/>
        <w:t>so zreteľom na nariadenie Európskeho parlamentu a Rady (EÚ) 2022/2560 zo 14. decembra 2022 o zahraničných subvenciách narúšajúcich vnútorný trh</w:t>
      </w:r>
      <w:r w:rsidRPr="004366B4">
        <w:rPr>
          <w:rStyle w:val="FootnoteReference"/>
        </w:rPr>
        <w:footnoteReference w:id="1"/>
      </w:r>
      <w:r w:rsidRPr="004366B4">
        <w:t>,</w:t>
      </w:r>
    </w:p>
    <w:p w:rsidR="00784585" w:rsidRPr="004366B4" w:rsidRDefault="00784585" w:rsidP="00784585">
      <w:pPr>
        <w:spacing w:after="240"/>
        <w:ind w:left="567" w:hanging="567"/>
      </w:pPr>
      <w:r w:rsidRPr="004366B4">
        <w:t>–</w:t>
      </w:r>
      <w:r w:rsidRPr="004366B4">
        <w:tab/>
        <w:t>so zreteľom na nariadenie Európskeho parlamentu a Rady (EÚ) 2019/452 z 19. marca 2019, ktorým sa ustanovuje rámec na preverovanie priamych zahraničných investícií do Únie</w:t>
      </w:r>
      <w:r w:rsidRPr="004366B4">
        <w:rPr>
          <w:rStyle w:val="FootnoteReference"/>
        </w:rPr>
        <w:footnoteReference w:id="2"/>
      </w:r>
      <w:r w:rsidRPr="004366B4">
        <w:t>,</w:t>
      </w:r>
    </w:p>
    <w:p w:rsidR="00784585" w:rsidRPr="004366B4" w:rsidRDefault="00784585" w:rsidP="00784585">
      <w:pPr>
        <w:pStyle w:val="NormalHanging"/>
      </w:pPr>
      <w:r w:rsidRPr="004366B4">
        <w:lastRenderedPageBreak/>
        <w:t>–</w:t>
      </w:r>
      <w:r w:rsidRPr="004366B4">
        <w:tab/>
        <w:t>so zreteľom na smernicu Európskeho parlamentu a Rady (EÚ) 2022/2557 zo 14. decembra 2022 o odolnosti kritických subjektov a o zrušení smernice Rady 2008/114/ES (smernica o odolnosti kritických subjektov)</w:t>
      </w:r>
      <w:r w:rsidRPr="004366B4">
        <w:rPr>
          <w:rStyle w:val="FootnoteReference"/>
        </w:rPr>
        <w:footnoteReference w:id="3"/>
      </w:r>
      <w:r w:rsidRPr="004366B4">
        <w:t>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smernicu Európskeho parlamentu a Rady (EÚ) 2022/2555 zo 14. decembra 2022 o opatreniach na zabezpečenie vysokej spoločnej úrovne kybernetickej bezpečnosti v Únii, ktorou sa mení nariadenie (EÚ) č. 910/2014 a smernica (EÚ) 2018/1972 a zrušuje smernica (EÚ) 2016/1148 (smernica NIS 2)</w:t>
      </w:r>
      <w:r w:rsidRPr="004366B4">
        <w:rPr>
          <w:rStyle w:val="FootnoteReference"/>
        </w:rPr>
        <w:footnoteReference w:id="4"/>
      </w:r>
      <w:r w:rsidRPr="004366B4">
        <w:t>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návrh Komisie z 15. septembra 2022 na nariadenie Európskeho parlamentu a Rady o horizontálnych požiadavkách kybernetickej bezpečnosti pre produkty s digitálnymi prvkami a o zmene nariadenia (EÚ) 2019/1020 (COM(2022)0454),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nariadenie Európskeho parlamentu a Rady (EÚ) 2023/1781 z</w:t>
      </w:r>
      <w:r w:rsidRPr="004366B4">
        <w:rPr>
          <w:rFonts w:ascii="Segoe UI" w:hAnsi="Segoe UI"/>
          <w:b/>
          <w:sz w:val="21"/>
          <w:shd w:val="clear" w:color="auto" w:fill="FFFFFF"/>
        </w:rPr>
        <w:t xml:space="preserve"> </w:t>
      </w:r>
      <w:r w:rsidRPr="004366B4">
        <w:t>13. septembra 2023, ktorým sa zriaďuje rámec opatrení na posilnenie európskeho ekosystému polovodičov v Európe (akt o čipoch)</w:t>
      </w:r>
      <w:r w:rsidRPr="004366B4">
        <w:rPr>
          <w:rStyle w:val="FootnoteReference"/>
        </w:rPr>
        <w:footnoteReference w:id="5"/>
      </w:r>
      <w:r w:rsidRPr="004366B4">
        <w:t>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 xml:space="preserve">so zreteľom na </w:t>
      </w:r>
      <w:r w:rsidR="00CD68EE" w:rsidRPr="004366B4">
        <w:t xml:space="preserve">svoju pozíciu v prvom čítaní o návrhu </w:t>
      </w:r>
      <w:r w:rsidR="00063570">
        <w:t>nariadenia</w:t>
      </w:r>
      <w:r w:rsidRPr="004366B4">
        <w:t xml:space="preserve"> Európskeho parlamentu a Rady, ktorým sa stanovuje rámec na zaistenie bezpečných a udržateľných dodávok kritických surovín (európsky akt o kritických surovinách)</w:t>
      </w:r>
      <w:r w:rsidR="007255C7" w:rsidRPr="004366B4">
        <w:t xml:space="preserve"> v prijatom texte prijatom v nefinalizovanej verzii</w:t>
      </w:r>
      <w:r w:rsidRPr="004366B4">
        <w:rPr>
          <w:rStyle w:val="FootnoteReference"/>
        </w:rPr>
        <w:footnoteReference w:id="6"/>
      </w:r>
      <w:r w:rsidRPr="004366B4">
        <w:t>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nariadenie Európskeho parlamentu a Rady (EÚ) 2023/</w:t>
      </w:r>
      <w:r w:rsidR="00CD68EE" w:rsidRPr="004366B4">
        <w:t>2675</w:t>
      </w:r>
      <w:r w:rsidRPr="004366B4">
        <w:t xml:space="preserve"> z </w:t>
      </w:r>
      <w:r w:rsidR="00CD68EE" w:rsidRPr="004366B4">
        <w:t>22. novembra 2023</w:t>
      </w:r>
      <w:r w:rsidRPr="004366B4">
        <w:t xml:space="preserve"> o ochrane Únie a jej členských štátov pred hospodárskym nátlakom tretích krajín</w:t>
      </w:r>
      <w:r w:rsidRPr="004366B4">
        <w:rPr>
          <w:rStyle w:val="FootnoteReference"/>
        </w:rPr>
        <w:footnoteReference w:id="7"/>
      </w:r>
      <w:r w:rsidRPr="004366B4">
        <w:t>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svoje uznesenie zo 16. septembra 2021 o novej stratégii EÚ – Čína (2021/2037(INI))</w:t>
      </w:r>
      <w:r w:rsidRPr="004366B4">
        <w:rPr>
          <w:rStyle w:val="FootnoteReference"/>
        </w:rPr>
        <w:footnoteReference w:id="8"/>
      </w:r>
      <w:r w:rsidRPr="004366B4">
        <w:t>zameranej okrem iného na posilnenie súboru obchodných nástrojov EÚ s cieľom pomôcť zmierniť súčasnú nerovnováhu v dvojstranných hospodárskych a obchodných vzťahoch medzi Čínou a EÚ,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 xml:space="preserve">so zreteľom na uznesenia </w:t>
      </w:r>
      <w:r w:rsidR="00654FEF" w:rsidRPr="004366B4">
        <w:t>Európskeho p</w:t>
      </w:r>
      <w:r w:rsidRPr="004366B4">
        <w:t>arlamentu z 9. marca 2022</w:t>
      </w:r>
      <w:r w:rsidRPr="004366B4">
        <w:rPr>
          <w:rStyle w:val="FootnoteReference"/>
        </w:rPr>
        <w:footnoteReference w:id="9"/>
      </w:r>
      <w:r w:rsidRPr="004366B4">
        <w:t xml:space="preserve"> a 1. júna 2023 o zahraničnom zasahovaní do všetkých demokratických procesov v Európskej únii vrátane dezinformácií</w:t>
      </w:r>
      <w:r w:rsidRPr="004366B4">
        <w:rPr>
          <w:rStyle w:val="FootnoteReference"/>
        </w:rPr>
        <w:footnoteReference w:id="10"/>
      </w:r>
      <w:r w:rsidRPr="004366B4">
        <w:t>,</w:t>
      </w:r>
    </w:p>
    <w:p w:rsidR="00784585" w:rsidRPr="004366B4" w:rsidRDefault="00784585" w:rsidP="00784585">
      <w:pPr>
        <w:spacing w:after="240"/>
        <w:ind w:left="567" w:hanging="567"/>
      </w:pPr>
      <w:r w:rsidRPr="004366B4">
        <w:t>–</w:t>
      </w:r>
      <w:r w:rsidRPr="004366B4">
        <w:tab/>
        <w:t>so zreteľom na spoločné oznámenie Európskemu parlamentu, Rade, Európskemu hospodárskemu a sociálnemu výboru, Výboru regiónov a Európskej investičnej banke z 1. decembra 2021 s ná</w:t>
      </w:r>
      <w:r w:rsidR="00063570">
        <w:t xml:space="preserve">zvom </w:t>
      </w:r>
      <w:proofErr w:type="spellStart"/>
      <w:r w:rsidR="00063570">
        <w:t>Global</w:t>
      </w:r>
      <w:proofErr w:type="spellEnd"/>
      <w:r w:rsidR="00063570">
        <w:t xml:space="preserve"> </w:t>
      </w:r>
      <w:proofErr w:type="spellStart"/>
      <w:r w:rsidR="00063570">
        <w:t>Gateway</w:t>
      </w:r>
      <w:proofErr w:type="spellEnd"/>
      <w:r w:rsidR="00063570">
        <w:t xml:space="preserve"> (JOIN(2021)</w:t>
      </w:r>
      <w:r w:rsidRPr="004366B4">
        <w:t>0030),</w:t>
      </w:r>
    </w:p>
    <w:p w:rsidR="00784585" w:rsidRPr="004366B4" w:rsidRDefault="00784585" w:rsidP="00784585">
      <w:pPr>
        <w:spacing w:after="240"/>
        <w:ind w:left="567" w:hanging="567"/>
      </w:pPr>
      <w:r w:rsidRPr="004366B4">
        <w:lastRenderedPageBreak/>
        <w:t>–</w:t>
      </w:r>
      <w:r w:rsidRPr="004366B4">
        <w:tab/>
        <w:t>so zreteľom na odporúčanie Komisie z 3. októbra 2023 o kritických technologických oblastiach pre hospodársku bezpečnosť EÚ na účely ďalšieho hodnotenia rizík s členskými štátmi (C(2023)6689),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odporúčanie Rady z 8. decembra 2022 o </w:t>
      </w:r>
      <w:proofErr w:type="spellStart"/>
      <w:r w:rsidRPr="004366B4">
        <w:t>celoúnijnom</w:t>
      </w:r>
      <w:proofErr w:type="spellEnd"/>
      <w:r w:rsidRPr="004366B4">
        <w:t xml:space="preserve"> koordinovanom prístupe k posilneniu odolnosti kritickej infraštruktúry</w:t>
      </w:r>
      <w:r w:rsidRPr="004366B4">
        <w:rPr>
          <w:rStyle w:val="FootnoteReference"/>
        </w:rPr>
        <w:footnoteReference w:id="11"/>
      </w:r>
      <w:r w:rsidRPr="004366B4">
        <w:t>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komuniké zo samitu vo Vilniuse vydané hlavami štátov a predsedami vlád členských krajín NATO, ktorí sa zúčastnili na stretnutí Severoatlantickej rady vo Vilniuse 11. júla 2023,</w:t>
      </w:r>
    </w:p>
    <w:p w:rsidR="00784585" w:rsidRPr="004366B4" w:rsidRDefault="00784585" w:rsidP="00784585">
      <w:pPr>
        <w:tabs>
          <w:tab w:val="left" w:pos="567"/>
        </w:tabs>
        <w:spacing w:after="240"/>
        <w:ind w:left="567" w:hanging="567"/>
      </w:pPr>
      <w:r w:rsidRPr="004366B4">
        <w:t>–</w:t>
      </w:r>
      <w:r w:rsidRPr="004366B4">
        <w:tab/>
        <w:t>so zreteľom na záverečnú hodnotiacu správu osobitnej skupiny EÚ – NATO pre odolnosť kritickej infraštruktúry z 29. júna 2023,</w:t>
      </w:r>
    </w:p>
    <w:p w:rsidR="00784585" w:rsidRPr="004366B4" w:rsidRDefault="00784585" w:rsidP="00784585">
      <w:pPr>
        <w:spacing w:after="240"/>
        <w:ind w:left="567" w:hanging="567"/>
      </w:pPr>
      <w:r w:rsidRPr="004366B4">
        <w:t>–</w:t>
      </w:r>
      <w:r w:rsidRPr="004366B4">
        <w:tab/>
        <w:t xml:space="preserve">so zreteľom na spoločné vyhlásenie z 10. januára 2023 o spolupráci medzi EÚ a NATO, </w:t>
      </w:r>
    </w:p>
    <w:p w:rsidR="00784585" w:rsidRPr="004366B4" w:rsidRDefault="00784585" w:rsidP="00784585">
      <w:pPr>
        <w:spacing w:after="240"/>
        <w:ind w:left="567" w:hanging="567"/>
      </w:pPr>
      <w:r w:rsidRPr="004366B4">
        <w:t>–</w:t>
      </w:r>
      <w:r w:rsidRPr="004366B4">
        <w:tab/>
        <w:t>so zreteľom na komuniké vedúcich predstaviteľov skupiny G7 z Hirošimy z 20. mája 2023,</w:t>
      </w:r>
    </w:p>
    <w:p w:rsidR="00784585" w:rsidRPr="004366B4" w:rsidRDefault="00784585" w:rsidP="00784585">
      <w:pPr>
        <w:spacing w:after="240"/>
        <w:ind w:left="567" w:hanging="567"/>
      </w:pPr>
      <w:r w:rsidRPr="004366B4">
        <w:t>–</w:t>
      </w:r>
      <w:r w:rsidRPr="004366B4">
        <w:tab/>
        <w:t>so zreteľom na závery Rady o revidovanej stratégii námornej bezpečnosti EÚ (EUMSS) a jej akčnom pláne z 24. októbra 2023,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 zreteľom na článok 54 rokovacieho poriadku,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stanovisko Výboru pre medzinárodný obchod,</w:t>
      </w:r>
    </w:p>
    <w:p w:rsidR="00784585" w:rsidRPr="004366B4" w:rsidRDefault="00784585" w:rsidP="00784585">
      <w:pPr>
        <w:pStyle w:val="NormalHanging"/>
      </w:pPr>
      <w:r w:rsidRPr="004366B4">
        <w:t>–</w:t>
      </w:r>
      <w:r w:rsidRPr="004366B4">
        <w:tab/>
        <w:t>so zreteľom na správu Výboru pre zahraničné veci (A9-0401/2023),</w:t>
      </w:r>
    </w:p>
    <w:p w:rsidR="00784585" w:rsidRPr="004366B4" w:rsidRDefault="00784585" w:rsidP="00784585">
      <w:pPr>
        <w:pStyle w:val="Normal12"/>
        <w:rPr>
          <w:szCs w:val="24"/>
        </w:rPr>
      </w:pPr>
      <w:r w:rsidRPr="004366B4">
        <w:t>A.</w:t>
      </w:r>
      <w:r w:rsidRPr="004366B4">
        <w:tab/>
        <w:t>keďže nedávne spoločné oznámenie o európskej stratégii hospodárskej bezpečnosti sa zameriava na minimalizáciu a zvládanie rizík vyplývajúcich z určitých hospodárskych tokov a závislosti EÚ od autoritárskych a totalitných režimov, ako je Čínska ľudová republika (ČĽR), v situácii zvýšeného geopolitického napätia a zrýchľujúcich sa technologických zmien, a zároveň na ochranu zásad voľného trhu pred narušením takýmito režimami, a tým na zachovanie maximálnej hospodárskej otvorenosti a dynamiky;</w:t>
      </w:r>
    </w:p>
    <w:p w:rsidR="00784585" w:rsidRPr="004366B4" w:rsidRDefault="00784585" w:rsidP="00784585">
      <w:pPr>
        <w:pStyle w:val="Normal12"/>
        <w:rPr>
          <w:szCs w:val="24"/>
        </w:rPr>
      </w:pPr>
      <w:r w:rsidRPr="004366B4">
        <w:t>B.</w:t>
      </w:r>
      <w:r w:rsidRPr="004366B4">
        <w:tab/>
        <w:t>keďže narušenia kritickej infraštruktúry môžu mimoriadne negatívne vplývať na kľúčové vládne funkcie, základné služby pre obyvateľstvo, hospodársku činnosť, ako aj bezpečnosť a obranu EÚ; keďže je nevyhnutné, aby boli členské štáty a Komisia obozretné, pokiaľ ide o finančné investície cudzích krajín do prevádzky kritických subjektov v EÚ a prípadné dôsledky takýchto investícií na schopnosť predchádzať závažným narušeniam;</w:t>
      </w:r>
    </w:p>
    <w:p w:rsidR="00784585" w:rsidRPr="004366B4" w:rsidRDefault="00784585" w:rsidP="00784585">
      <w:pPr>
        <w:spacing w:after="240"/>
        <w:ind w:left="567" w:hanging="567"/>
        <w:rPr>
          <w:szCs w:val="24"/>
        </w:rPr>
      </w:pPr>
      <w:r w:rsidRPr="004366B4">
        <w:t>C.</w:t>
      </w:r>
      <w:r w:rsidRPr="004366B4">
        <w:tab/>
        <w:t>keďže smernica o odolnosti kritických subjektov</w:t>
      </w:r>
      <w:r w:rsidRPr="004366B4">
        <w:rPr>
          <w:rStyle w:val="FootnoteReference"/>
          <w:szCs w:val="24"/>
        </w:rPr>
        <w:footnoteReference w:id="12"/>
      </w:r>
      <w:r w:rsidRPr="004366B4">
        <w:t xml:space="preserve"> a smernica NIS 2</w:t>
      </w:r>
      <w:r w:rsidRPr="004366B4">
        <w:rPr>
          <w:rStyle w:val="FootnoteReference"/>
          <w:szCs w:val="24"/>
        </w:rPr>
        <w:footnoteReference w:id="13"/>
      </w:r>
      <w:r w:rsidRPr="004366B4">
        <w:t xml:space="preserve"> poskytujú </w:t>
      </w:r>
      <w:r w:rsidRPr="004366B4">
        <w:lastRenderedPageBreak/>
        <w:t>komplexný právny rámec na posilnenie fyzickej aj digitálnej odolnosti kritickej infraštruktúry vrátane infraštruktúry, ktorá súvisí s energetikou, dopravou, zdravím, digitálnou infraštruktúrou, vodou a potravinami;</w:t>
      </w:r>
    </w:p>
    <w:p w:rsidR="00784585" w:rsidRPr="004366B4" w:rsidRDefault="00784585" w:rsidP="00784585">
      <w:pPr>
        <w:pStyle w:val="Normal12"/>
        <w:rPr>
          <w:szCs w:val="24"/>
        </w:rPr>
      </w:pPr>
      <w:r w:rsidRPr="004366B4">
        <w:t>D.</w:t>
      </w:r>
      <w:r w:rsidRPr="004366B4">
        <w:tab/>
        <w:t>keďže od vydania odporúčania Rady 8. decembra 2022 boli už vykonané cielené opatrenia s cieľom zabezpečiť spoločnú reakciu EÚ na incidenty, a to aj posilnením koordinácie s NATO prostredníctvom osobitnej skupiny EÚ – NATO pre odolnosť kritickej infraštruktúry v rámci štruktúrovaného dialógu medzi EÚ a NATO o odolnosti;</w:t>
      </w:r>
    </w:p>
    <w:p w:rsidR="00784585" w:rsidRPr="004366B4" w:rsidRDefault="00784585" w:rsidP="00784585">
      <w:pPr>
        <w:spacing w:after="240"/>
        <w:ind w:left="567" w:hanging="567"/>
        <w:rPr>
          <w:szCs w:val="24"/>
        </w:rPr>
      </w:pPr>
      <w:r w:rsidRPr="004366B4">
        <w:t>E.</w:t>
      </w:r>
      <w:r w:rsidRPr="004366B4">
        <w:tab/>
        <w:t>keďže európske prístavy, v ktorých majú čínske štátne spoločnosti podiely, vybavujú viac než 10 % celkovej kapacity prepravných kontajnerov v Európe; keďže traja najväčší čínski akcionári v európskych prístavoch majú aktíva v takmer polovici prístavov (14 z 29), ktoré sa nachádzajú buď v blízkosti námorných základní, alebo poskytujú logistickú podporu ozbrojeným silám NATO, čím sa výrazne zvyšuje riziko špionáže;</w:t>
      </w:r>
    </w:p>
    <w:p w:rsidR="00784585" w:rsidRPr="004366B4" w:rsidRDefault="00784585" w:rsidP="00784585">
      <w:pPr>
        <w:pStyle w:val="Normal12"/>
        <w:rPr>
          <w:szCs w:val="24"/>
        </w:rPr>
      </w:pPr>
      <w:r w:rsidRPr="004366B4">
        <w:t>F.</w:t>
      </w:r>
      <w:r w:rsidRPr="004366B4">
        <w:tab/>
        <w:t>keďže nátlakové politiky a rastúca asertivita Čínskej ľudovej republiky vrátane jej stále agresívnejšieho postoja voči Taiwanu a agresívnych prejavov v Juhočínskom mori, ako aj sociálne a hospodárske dôsledky pandémie COVID-19 a ruskej útočnej vojny proti Ukrajine odhalili zraniteľnosť EÚ a opätovne potvrdili potrebu znížiť riziko v jej vzťahoch s Čínou a ďalšími nedemokratickými tretími krajinami;</w:t>
      </w:r>
    </w:p>
    <w:p w:rsidR="00784585" w:rsidRPr="004366B4" w:rsidRDefault="00784585" w:rsidP="00784585">
      <w:pPr>
        <w:pStyle w:val="Normal12"/>
        <w:rPr>
          <w:szCs w:val="24"/>
        </w:rPr>
      </w:pPr>
      <w:r w:rsidRPr="004366B4">
        <w:t>G.</w:t>
      </w:r>
      <w:r w:rsidRPr="004366B4">
        <w:tab/>
        <w:t>keďže čínska vláda preukázala, že je pripravená zneužiť svoju obrovskú kontrolu nad globálnymi zásobami prvkov vzácnych zemín na politické účely a tiež na získanie neférových hospodárskych ústupkov a výhod;</w:t>
      </w:r>
    </w:p>
    <w:p w:rsidR="00784585" w:rsidRPr="004366B4" w:rsidRDefault="00784585" w:rsidP="00784585">
      <w:pPr>
        <w:pStyle w:val="Normal12"/>
        <w:rPr>
          <w:szCs w:val="24"/>
        </w:rPr>
      </w:pPr>
      <w:r w:rsidRPr="004366B4">
        <w:t>H.</w:t>
      </w:r>
      <w:r w:rsidRPr="004366B4">
        <w:tab/>
        <w:t>keďže Čína obmedzuje účasť nečínskych spoločností na projektoch infraštruktúry z dôvodu bezpečnostných rizík a predkladá právne predpisy týkajúce sa kritickej infraštruktúry, ako sú predpisy o ochrane bezpečnosti kritickej informačnej infraštruktúry; keďže Čína sa v rôznych členských štátoch podieľa na výstavbe infraštruktúry financovanej EÚ; keďže medzinárodné záväzky umožňujú, aby EÚ a členské štáty za určitých podmienok prijali reštriktívne opatrenia týkajúce sa priamych zahraničných investícií (PZI) z dôvodu bezpečnosti alebo verejného poriadku; keďže Čína v rokoch 2021 – 2022 uskutočnila hospodársku blokádu Litvy v reakcii na rozhodnutie krajiny odstúpiť od iniciatívy Jedno pásmo, jedna cesta a otvoriť v Litve zastupiteľský úrad Taiwanu, v dôsledku čoho Komisia požiadala o zriadenie panelu Svetovej obchodnej organizácie na preskúmanie zákonnosti čínskych obchodných obmedzení voči litovskému vývozu a vývozu z EÚ s litovským obsahom, a keďže to svedčí o tom, že Čína dokáže dôrazne postupovať proti určitým členským štátom EÚ, a to nielen vyvíjaním priameho hospodárskeho nátlaku, ale aj vyhrážaním sa sekundárnymi sankciami;</w:t>
      </w:r>
    </w:p>
    <w:p w:rsidR="00784585" w:rsidRPr="004366B4" w:rsidRDefault="00784585" w:rsidP="00784585">
      <w:pPr>
        <w:pStyle w:val="Normal12"/>
        <w:rPr>
          <w:szCs w:val="24"/>
        </w:rPr>
      </w:pPr>
      <w:r w:rsidRPr="004366B4">
        <w:t>I.</w:t>
      </w:r>
      <w:r w:rsidRPr="004366B4">
        <w:tab/>
        <w:t xml:space="preserve">keďže šírenie čínskeho digitálneho </w:t>
      </w:r>
      <w:proofErr w:type="spellStart"/>
      <w:r w:rsidRPr="004366B4">
        <w:t>autoritárstva</w:t>
      </w:r>
      <w:proofErr w:type="spellEnd"/>
      <w:r w:rsidRPr="004366B4">
        <w:t xml:space="preserve"> a masového sledovania sa naďalej zintenzívňuje v Číne aj mimo nej, zameriava sa na demokratické inštitúcie a spoločnosti a hrozí, že sa vytvorí nový medzinárodný poriadok, ktorý by ohrozil slobodu a demokraciu na celom svete; keďže veľký počet čínskych študentov študuje na univerzitách členských štátov, najmä v oblasti technológií dvojakého použitia, čo môže v niektorých prípadoch viesť k vysokému riziku špionáže; keďže čínska armáda zamestnáva bývalých európskych stíhacích pilotov a takýto nábor prináša vážne riziko prenosu kritických informácií, čo ohrozuje vojensko-strategické záujmy dotknutých krajín; keďže Čína má stále väčšie ambície v strategických oblastiach ako umelá </w:t>
      </w:r>
      <w:r w:rsidRPr="004366B4">
        <w:lastRenderedPageBreak/>
        <w:t xml:space="preserve">inteligencia, </w:t>
      </w:r>
      <w:proofErr w:type="spellStart"/>
      <w:r w:rsidRPr="004366B4">
        <w:t>cloud</w:t>
      </w:r>
      <w:proofErr w:type="spellEnd"/>
      <w:r w:rsidRPr="004366B4">
        <w:t xml:space="preserve"> </w:t>
      </w:r>
      <w:proofErr w:type="spellStart"/>
      <w:r w:rsidRPr="004366B4">
        <w:t>computing</w:t>
      </w:r>
      <w:proofErr w:type="spellEnd"/>
      <w:r w:rsidRPr="004366B4">
        <w:t>, polovodiče alebo hardvér; keďže tieto nástroje, najmä umelá inteligencia, by sa mohli vyvíjať na vojenské účely, čo by viedlo k ďalšej revolúcii vo vojenskej oblasti;</w:t>
      </w:r>
    </w:p>
    <w:p w:rsidR="00784585" w:rsidRPr="004366B4" w:rsidRDefault="00784585" w:rsidP="00784585">
      <w:pPr>
        <w:tabs>
          <w:tab w:val="left" w:pos="567"/>
        </w:tabs>
        <w:spacing w:after="240"/>
        <w:ind w:left="567" w:hanging="567"/>
        <w:rPr>
          <w:szCs w:val="24"/>
        </w:rPr>
      </w:pPr>
      <w:r w:rsidRPr="004366B4">
        <w:t>J.</w:t>
      </w:r>
      <w:r w:rsidRPr="004366B4">
        <w:tab/>
        <w:t xml:space="preserve">keďže získavaním kritickej infraštruktúry Čínou, najmä v EÚ a jej susedstve vrátane západného Balkánu a Afriky, sa zvyšuje </w:t>
      </w:r>
      <w:proofErr w:type="spellStart"/>
      <w:r w:rsidRPr="004366B4">
        <w:t>multidimenzionálne</w:t>
      </w:r>
      <w:proofErr w:type="spellEnd"/>
      <w:r w:rsidRPr="004366B4">
        <w:t xml:space="preserve"> riziko pre bezpečnosť EÚ;</w:t>
      </w:r>
    </w:p>
    <w:p w:rsidR="00784585" w:rsidRPr="004366B4" w:rsidRDefault="00784585" w:rsidP="00784585">
      <w:pPr>
        <w:tabs>
          <w:tab w:val="left" w:pos="567"/>
        </w:tabs>
        <w:spacing w:after="240"/>
        <w:ind w:left="567" w:hanging="567"/>
        <w:rPr>
          <w:szCs w:val="24"/>
        </w:rPr>
      </w:pPr>
      <w:r w:rsidRPr="004366B4">
        <w:t>K.</w:t>
      </w:r>
      <w:r w:rsidRPr="004366B4">
        <w:tab/>
        <w:t>keďže právne predpisy Číny týkajúce sa národnej bezpečnosti, ako je zákon Čínskej ľudovej republiky o národnej bezpečnosti z roku 2015, vyžadujú, aby občania a organizácie poskytovali podporu a pomoc orgánom verejnej bezpečnosti, štátnej bezpečnosti alebo vojenským orgánom ČĽR;</w:t>
      </w:r>
    </w:p>
    <w:p w:rsidR="00784585" w:rsidRPr="004366B4" w:rsidRDefault="00784585" w:rsidP="00784585">
      <w:pPr>
        <w:pStyle w:val="Normal12"/>
        <w:rPr>
          <w:rFonts w:cs="Myriad Pro"/>
          <w:szCs w:val="22"/>
        </w:rPr>
      </w:pPr>
      <w:r w:rsidRPr="004366B4">
        <w:t>L.</w:t>
      </w:r>
      <w:r w:rsidRPr="004366B4">
        <w:tab/>
        <w:t>keďže čínsko-ruské strategické partnerstvo formalizované spoločným vyhlásením o medzinárodných vzťahoch vstupujúcich do novej éry a o globálnom udržateľnom rozvoji zo 4. februára 2022 sa naďalej rozvíja, a to aj pokiaľ ide o prenos know-how a spôsobilostí v oblasti technológií a vo vojenskej oblasti, čo stále viac ohrozuje európsku bezpečnosť;</w:t>
      </w:r>
    </w:p>
    <w:p w:rsidR="00784585" w:rsidRPr="004366B4" w:rsidRDefault="00784585" w:rsidP="00784585">
      <w:pPr>
        <w:pStyle w:val="Normal12"/>
        <w:rPr>
          <w:rStyle w:val="BoldItalic"/>
        </w:rPr>
      </w:pPr>
      <w:r w:rsidRPr="004366B4">
        <w:rPr>
          <w:rStyle w:val="BoldItalic"/>
        </w:rPr>
        <w:t>Jadro problému: porozumenie stratégii vojensko-civilnej fúzie Číny</w:t>
      </w:r>
    </w:p>
    <w:p w:rsidR="00784585" w:rsidRPr="004366B4" w:rsidRDefault="00784585" w:rsidP="00784585">
      <w:pPr>
        <w:pStyle w:val="Normal12"/>
      </w:pPr>
      <w:r w:rsidRPr="004366B4">
        <w:t>1.</w:t>
      </w:r>
      <w:r w:rsidRPr="004366B4">
        <w:tab/>
        <w:t>zdôrazňuje, že čínska stratégia vojensko-civilnej fúzie je štátom vedený a riadený program, ktorého cieľom je využiť všetky nástroje štátnej a obchodnej moci na posilnenie a podporu Komunistickej strany Číny a jej ozbrojeného krídla, Ľudovej oslobodzovacej armády, najmä získaním svetových špičkových technológií a ich zneužitím na posilnenie totalitného režimu a dosiahnutie vojenskej dominancie;</w:t>
      </w:r>
    </w:p>
    <w:p w:rsidR="00784585" w:rsidRPr="004366B4" w:rsidRDefault="00784585" w:rsidP="00784585">
      <w:pPr>
        <w:pStyle w:val="Normal12"/>
      </w:pPr>
      <w:r w:rsidRPr="004366B4">
        <w:t>2.</w:t>
      </w:r>
      <w:r w:rsidRPr="004366B4">
        <w:tab/>
        <w:t>zastáva názor, že stranícky riadený politický systém a hospodárstvo Číny často vyžadujú, aby súkromné spoločnosti zosúladili svoje obchodné záujmy s Komunistickou stranou Číny, a to aj pokiaľ ide o jej vojenské a represívne aktivity a aktivity v oblasti vplyvu a politického zasahovania; konštatuje, že stranícke bunky Komunistickej strany Číny v súkromných spoločnostiach sa bežne používajú ako nástroje priamej straníckej kontroly; zdôrazňuje, že čínske spoločnosti svojou medzinárodnou činnosťou preto podporujú ciele Komunistickej strany Číny rozširovať vplyv v tretích krajinách, oslabovať geopolitických protivníkov a zvyšovať vplyv ČĽR;</w:t>
      </w:r>
    </w:p>
    <w:p w:rsidR="00784585" w:rsidRPr="004366B4" w:rsidRDefault="00784585" w:rsidP="00784585">
      <w:pPr>
        <w:pStyle w:val="Normal12"/>
      </w:pPr>
      <w:r w:rsidRPr="004366B4">
        <w:t>3.</w:t>
      </w:r>
      <w:r w:rsidRPr="004366B4">
        <w:tab/>
        <w:t xml:space="preserve">domnieva sa, že vojensko-civilná fúzia sa musí chápať v širšom geopolitickom, hospodárskom a strategickom kontexte, pričom treba zohľadniť jej prepojenie s inými iniciatívami, ako sú iniciatíva Jedno pásmo, jedna cesta; digitálna hodvábna cesta (vrátane iniciatív Made in </w:t>
      </w:r>
      <w:proofErr w:type="spellStart"/>
      <w:r w:rsidRPr="004366B4">
        <w:t>China</w:t>
      </w:r>
      <w:proofErr w:type="spellEnd"/>
      <w:r w:rsidRPr="004366B4">
        <w:t xml:space="preserve"> 2025 a </w:t>
      </w:r>
      <w:proofErr w:type="spellStart"/>
      <w:r w:rsidRPr="004366B4">
        <w:t>China</w:t>
      </w:r>
      <w:proofErr w:type="spellEnd"/>
      <w:r w:rsidRPr="004366B4">
        <w:t xml:space="preserve"> </w:t>
      </w:r>
      <w:proofErr w:type="spellStart"/>
      <w:r w:rsidRPr="004366B4">
        <w:t>Standards</w:t>
      </w:r>
      <w:proofErr w:type="spellEnd"/>
      <w:r w:rsidRPr="004366B4">
        <w:t xml:space="preserve"> 2035); globálna bezpečnostná iniciatíva a stratégia dvojakého obehu, ako aj so stále väčšou asertívnosťou a agresívnymi prejavmi sily v zahraničí; domnieva sa, že konečným cieľom vojensko-civilnej fúzie je presadzovať dlhodobý strategický cieľ štátostrany stať sa vedúcou svetovou mocnosťou, pokiaľ ide o politický vplyv, hospodárske kapacity, technologickú dominanciu a vojenskú moc, a oslabovať medzinárodný poriadok založený na pravidlách;</w:t>
      </w:r>
    </w:p>
    <w:p w:rsidR="00784585" w:rsidRPr="004366B4" w:rsidRDefault="00784585" w:rsidP="00784585">
      <w:pPr>
        <w:pStyle w:val="Normal12"/>
      </w:pPr>
      <w:r w:rsidRPr="004366B4">
        <w:t>4.</w:t>
      </w:r>
      <w:r w:rsidRPr="004366B4">
        <w:tab/>
        <w:t xml:space="preserve">pripomína, že dosiahnutie prvenstva vo vede a technike bolo v posledných rokoch jednou z hlavných priorít Komunistickej strany Číny a že jej stratégia vojensko-civilnej fúzie nabáda na výmenu výsledkov výskumu a vývoja medzi trhovo orientovaným a čínskym obranným priemyslom; upozorňuje na opakované varovania spravodajských agentúr pred rizikami hospodárskej závislosti, špionáže a sabotáže spôsobenými </w:t>
      </w:r>
      <w:r w:rsidRPr="004366B4">
        <w:lastRenderedPageBreak/>
        <w:t>hospodárskou prítomnosťou subjektov z určitých krajín mimo EÚ, najmä Číny, v kritickej infraštruktúre a strategických odvetviach v celej EÚ; v tejto súvislosti je znepokojený politickým tlakom vyvíjaným pri schvaľovaní konkrétnych čínskych investícií do kritickej infraštruktúry, ako v prípade rozhodnutia nemeckej vlády odsúhlasiť získanie podielu spoločnosti COSCO v prístave Hamburg v rozpore s odporúčaním príslušných inštitúcií;</w:t>
      </w:r>
    </w:p>
    <w:p w:rsidR="00784585" w:rsidRPr="004366B4" w:rsidRDefault="00784585" w:rsidP="00784585">
      <w:pPr>
        <w:pStyle w:val="Normal12"/>
        <w:ind w:left="0" w:firstLine="0"/>
        <w:rPr>
          <w:i/>
        </w:rPr>
      </w:pPr>
      <w:r w:rsidRPr="004366B4">
        <w:rPr>
          <w:b/>
          <w:i/>
        </w:rPr>
        <w:t>Dôsledky stratégie vojensko-civilnej fúzie Číny</w:t>
      </w:r>
    </w:p>
    <w:p w:rsidR="00784585" w:rsidRPr="004366B4" w:rsidRDefault="00784585" w:rsidP="00784585">
      <w:pPr>
        <w:pStyle w:val="Normal12"/>
      </w:pPr>
      <w:r w:rsidRPr="004366B4">
        <w:t>5.</w:t>
      </w:r>
      <w:r w:rsidRPr="004366B4">
        <w:tab/>
        <w:t>varuje pred rizikom akéhokoľvek zapojenia čínskych spoločností, najmä tých s priamym alebo nepriamym prepojením na čínsky politicko-vojenský alebo spravodajský systém, do strategických aktív EÚ; v tejto súvislosti zdôrazňuje svoje znepokojenie nad tým, že technológie a technické odborné znalosti používané na civilné účely, najmä v hospodárskej oblasti, sa naďalej poskytujú čínskej armáde, čím sa zvyšuje schopnosť Ľudovej oslobodzovacej armády vyvíjať vojenské technológie novej generácie, ktoré by sa mohli použiť na účely nátlaku voči partnerom v Ázii a na celom svete; naliehavo žiada členské štáty EÚ, aby zvýšili regulačný dohľad a zaviedli osobitné previerky osôb a právnických osôb s priamymi väzbami na čínsku vládu;</w:t>
      </w:r>
    </w:p>
    <w:p w:rsidR="00784585" w:rsidRPr="004366B4" w:rsidRDefault="00784585" w:rsidP="00784585">
      <w:pPr>
        <w:pStyle w:val="Normal12"/>
      </w:pPr>
      <w:r w:rsidRPr="004366B4">
        <w:t>6.</w:t>
      </w:r>
      <w:r w:rsidRPr="004366B4">
        <w:tab/>
        <w:t>vyjadruje znepokojenie nad tým, že 98 % dopytu EÚ po prvkoch vzácnych zemín zabezpečuje ČĽR; zdôrazňuje, že Čína zabezpečuje 70 % celosvetovej výroby batérií (traja z piatich najväčších výrobcov batérií majú sídlo na jej území), 60 % globálnej výroby hliníka a 75 % výroby kremíka, ako aj 94 % celosvetovej výroby gália a približne 60 % výroby germánia, je lídrom v rafinácii lítia (60 %) a spracovania medi (70 %) a zabezpečuje 84 % svetovej výroby niklu a 85 % svetovej výroby kobaltu; zdôrazňuje, že čínske ťažobné spoločnosti pôsobia v Srbsku (meď a zlato), Konžskej demokratickej republike (kobalt), Indonézii (nikel) a Čile a Austrálii (lítium) a že jej kvázi monopol na výrobu a spracovanie týchto kritických komodít vytvára závažnú závislosť, a preto je nielen naliehavou geopolitickou výzvou pre EÚ, ale aj obrovským rizikom pre európsku obranu a ďalšie kľúčové priemyselné odvetvia, ako aj pre jej otvorenú strategickú autonómiu a stratégiu v oblasti hospodárskej bezpečnosti;</w:t>
      </w:r>
    </w:p>
    <w:p w:rsidR="00784585" w:rsidRPr="004366B4" w:rsidRDefault="00784585" w:rsidP="00784585">
      <w:pPr>
        <w:pStyle w:val="Normal12"/>
      </w:pPr>
      <w:r w:rsidRPr="004366B4">
        <w:t>7.</w:t>
      </w:r>
      <w:r w:rsidRPr="004366B4">
        <w:tab/>
        <w:t>víta v tejto súvislosti návrh Komisie na akt o kritických surovinách a požaduje urýchlené vykonanie jeho cieľov, aby sa posilnila odolnosť dodávateľského reťazca EÚ; pripomína, že kritické suroviny sú nevyhnutné pre sektor bezpečnosti a obrany, ako aj pre úspech digitálnej a zelenej transformácie EÚ; vyzýva Komisiu a členské štáty, aby v koordinácii so zainteresovanými stranami z priemyslu realizovali rozhodnutie o postupnom znížení závislosti od Číny diverzifikáciou zdrojov kritických surovín a prvkov vzácnych zemín a nadviazaním strategických partnerstiev so spoľahlivými tretími krajinami s cieľom zaistiť bezpečné a spoľahlivé dodávky kritických surovín; naliehavo vyzýva EÚ, aby pomáhala členským štátom pri vypracúvaní projektov, ktorých cieľom bude väčšia nezávislosť od čínskej výroby;</w:t>
      </w:r>
    </w:p>
    <w:p w:rsidR="00784585" w:rsidRPr="004366B4" w:rsidRDefault="00784585" w:rsidP="00784585">
      <w:pPr>
        <w:pStyle w:val="Normal12"/>
      </w:pPr>
      <w:r w:rsidRPr="004366B4">
        <w:t>8.</w:t>
      </w:r>
      <w:r w:rsidRPr="004366B4">
        <w:tab/>
        <w:t>dôrazne sa zasadzuje za diverzifikáciu dodávateľov a partnerov, pokiaľ ide o iniciatívy v oblasti kritickej infraštruktúry, s cieľom znížiť zraniteľnosť voči vonkajším vplyvom a zabezpečiť, aby sa minimalizovala závislosť od jedného zdroja;</w:t>
      </w:r>
    </w:p>
    <w:p w:rsidR="00784585" w:rsidRPr="004366B4" w:rsidRDefault="00784585" w:rsidP="00784585">
      <w:pPr>
        <w:pStyle w:val="Normal12"/>
      </w:pPr>
      <w:r w:rsidRPr="004366B4">
        <w:t>9.</w:t>
      </w:r>
      <w:r w:rsidRPr="004366B4">
        <w:tab/>
        <w:t xml:space="preserve">vyjadruje znepokojenie nad tým, že na podporu diplomatickej a vojenskej komunikácie EÚ a členských štátov sa používajú podmorské káble v súkromnom vlastníctve, ktoré zabezpečujú čínske spoločnosti, ako napríklad HMN Technologies, čo je subjekt z oblasti kybernetického spravodajstva pridružený k Ľudovej oslobodzovacej armáde </w:t>
      </w:r>
      <w:r w:rsidRPr="004366B4">
        <w:lastRenderedPageBreak/>
        <w:t>Číny; vyjadruje vážne znepokojenie nad tým, že systémy podmorských dátových káblov prepájajúce územia členských štátov EÚ s indicko-tichomorským regiónom vrátane vojenských základní členských štátov a NATO v tomto regióne prevádzkuje čínska spoločnosť HMN Technologies, čím vznikajú bezpečnostné riziká pre podmorský dohľad, zber údajov a zhromažďovanie spravodajských informácií; v tejto súvislosti vyjadruje znepokojenie aj nad predajom holandského podniku, ktorý zabezpečuje internetovú infraštruktúru Estónska, čínskej spoločnosti prepojenej s Ľudovou oslobodzovacou armádou; zdôrazňuje potrebu spoločného úsilia členských štátov s cieľom zabrániť podobným prípadom;</w:t>
      </w:r>
    </w:p>
    <w:p w:rsidR="00784585" w:rsidRPr="004366B4" w:rsidRDefault="00784585" w:rsidP="00784585">
      <w:pPr>
        <w:pStyle w:val="NormalHanging12a"/>
        <w:rPr>
          <w:szCs w:val="24"/>
        </w:rPr>
      </w:pPr>
      <w:r w:rsidRPr="004366B4">
        <w:t>10.</w:t>
      </w:r>
      <w:r w:rsidRPr="004366B4">
        <w:tab/>
        <w:t>pripomína, že treba dôkladne preskúmať infraštruktúru a služby v oblasti informačnej bezpečnosti inštitúcií EÚ, najmä pokiaľ ide o utajovanú komunikáciu medzi inštitúciami a misiami a operáciami v zahraničí; pripomína, že by sa mal posúdiť celý dodávateľský reťazec, aby sa vylúčili akékoľvek priame či nepriame väzby spoločností na ČĽR; požaduje zaviesť osobitné ustanovenia do postupov verejného obstarávania inštitúcií EÚ, aby sa minimalizovalo riziko zasahovania, okrem iného pri nadobúdaní, vykonávaní údržby alebo preverovaní treťou stranou;</w:t>
      </w:r>
    </w:p>
    <w:p w:rsidR="00784585" w:rsidRPr="004366B4" w:rsidRDefault="00784585" w:rsidP="00784585">
      <w:pPr>
        <w:pStyle w:val="NormalHanging12a"/>
        <w:rPr>
          <w:szCs w:val="24"/>
        </w:rPr>
      </w:pPr>
      <w:r w:rsidRPr="004366B4">
        <w:t>11.</w:t>
      </w:r>
      <w:r w:rsidRPr="004366B4">
        <w:tab/>
        <w:t>varuje, že veľké investície do námorných prístavov, železníc a letísk sú pre Peking príležitosťou na sledovanie a kontrolu činností v kľúčových logistických uzloch s veľkým strategickým významom;</w:t>
      </w:r>
    </w:p>
    <w:p w:rsidR="00784585" w:rsidRPr="004366B4" w:rsidRDefault="00784585" w:rsidP="00784585">
      <w:pPr>
        <w:pStyle w:val="NormalHanging12a"/>
        <w:rPr>
          <w:szCs w:val="24"/>
        </w:rPr>
      </w:pPr>
      <w:r w:rsidRPr="004366B4">
        <w:t>12.</w:t>
      </w:r>
      <w:r w:rsidRPr="004366B4">
        <w:tab/>
        <w:t>zdôrazňuje, že v roku 2022 bola Čína druhým najväčším partnerom EÚ v oblasti obchodu s tovarom; vyjadruje znepokojenie nad čoraz nevyváženejším obchodným a investičným vzťahom medzi EÚ a Čínou, o čom svedčí aj rekordný obchodný deficit EÚ vo výške 396 miliárd EUR v roku 2022 a jej závislosť od čínskeho dovozu a investícií v niektorých kritických odvetviach; podčiarkuje nevyváženú medzinárodnú obchodnú politiku Číny v kontexte jej stratégie dvojakého obehu; žiada Komisiu, aby upozornila Čínu na obavy EÚ v súvislosti s jej postupmi riadeného obchodu;</w:t>
      </w:r>
    </w:p>
    <w:p w:rsidR="00784585" w:rsidRPr="004366B4" w:rsidRDefault="00784585" w:rsidP="00784585">
      <w:pPr>
        <w:pStyle w:val="Normal12"/>
        <w:ind w:left="0" w:firstLine="0"/>
        <w:rPr>
          <w:b/>
          <w:i/>
        </w:rPr>
      </w:pPr>
      <w:r w:rsidRPr="004366B4">
        <w:rPr>
          <w:b/>
          <w:i/>
        </w:rPr>
        <w:t>Navrhovanie mechanizmov reakcie: rozšírenie nástrojov reakcie na obavy v oblasti bezpečnosti a obrany</w:t>
      </w:r>
    </w:p>
    <w:p w:rsidR="00784585" w:rsidRPr="004366B4" w:rsidRDefault="00784585" w:rsidP="00784585">
      <w:pPr>
        <w:pStyle w:val="NormalHanging12a"/>
      </w:pPr>
      <w:r w:rsidRPr="004366B4">
        <w:t>13.</w:t>
      </w:r>
      <w:r w:rsidRPr="004366B4">
        <w:tab/>
        <w:t>tvrdí, že kľúčovou oblasťou kritickej infraštruktúry EÚ je aj sieť výskumných ústavov a zariadení v oblasti výskumu a vývoja, ktoré spolu s kľúčovými oblasťami, ako je napríklad vesmírna obrana, zohrávajú významnú úlohu, pokiaľ ide o schopnosť EÚ plniť záväzky v oblasti zelenej a digitálnej transformácie; pripomína zraniteľné miesta v oblasti bezpečnosti spojené s nútenými transfermi technológií, krádežou duševného vlastníctva a únikmi poznatkov v EÚ aj v zahraničí; vyzýva na zvýšenú ostražitosť pri zohľadňovaní takýchto hrozieb pre schopnosť EÚ inovovať a podporovať rast;</w:t>
      </w:r>
    </w:p>
    <w:p w:rsidR="00784585" w:rsidRPr="004366B4" w:rsidRDefault="00784585" w:rsidP="00784585">
      <w:pPr>
        <w:pStyle w:val="NormalHanging12a"/>
        <w:rPr>
          <w:szCs w:val="24"/>
        </w:rPr>
      </w:pPr>
      <w:r w:rsidRPr="004366B4">
        <w:t>14.</w:t>
      </w:r>
      <w:r w:rsidRPr="004366B4">
        <w:tab/>
        <w:t xml:space="preserve">konštatuje, že čínske spoločnosti sú už lídrami v kľúčových technológiách využívaných v odvetviach, ako sú bezdrôtová infraštruktúra 5G, </w:t>
      </w:r>
      <w:proofErr w:type="spellStart"/>
      <w:r w:rsidRPr="004366B4">
        <w:t>drony</w:t>
      </w:r>
      <w:proofErr w:type="spellEnd"/>
      <w:r w:rsidRPr="004366B4">
        <w:t xml:space="preserve">, batérie, </w:t>
      </w:r>
      <w:proofErr w:type="spellStart"/>
      <w:r w:rsidRPr="004366B4">
        <w:t>hypersonické</w:t>
      </w:r>
      <w:proofErr w:type="spellEnd"/>
      <w:r w:rsidRPr="004366B4">
        <w:t xml:space="preserve"> technológie, slnečná a veterná energia a </w:t>
      </w:r>
      <w:proofErr w:type="spellStart"/>
      <w:r w:rsidRPr="004366B4">
        <w:t>kryptomena</w:t>
      </w:r>
      <w:proofErr w:type="spellEnd"/>
      <w:r w:rsidRPr="004366B4">
        <w:t xml:space="preserve">; vyjadruje znepokojenie nad používaním týchto technológií a závislosťami, ktoré vytvárajú; v tejto súvislosti konštatuje, že na Cypre pozostáva celá sieť 5G RAN z čínskych zariadení a v prípade Nemecka tvoria čínske zariadenia 59 %; zdôrazňuje, že je to v rozpore s usmerneniami súboru nástrojov EÚ pre bezpečnosť 5G zameraného na zmiernenie bezpečnostných rizík v sieťach, a vyzýva Radu a Komisiu, aby vylúčili používanie zariadení a softvéru výrobcov z ČĽR na poskytovanie služieb základnej siete; pripomína, že spoločnosť Huawei bola do júna 2023 zapojená do 11 projektov programu Horizont Európa, v </w:t>
      </w:r>
      <w:r w:rsidRPr="004366B4">
        <w:lastRenderedPageBreak/>
        <w:t>rámci čoho prijala finančné prostriedky v celkovej výške 3,89 milióna EUR; vyzýva preto EÚ a európske inštitúcie, aby systematicky preverovali čínske spoločnosti, ktoré majú priamy alebo nepriamy prospech z európskych programov strategického významu pre EÚ a v prípade potreby ukončili ich účasť v týchto programoch; okrem toho vyzýva Komisiu, aby navrhla dodatočné bezpečnostné normy pre čínskych dodávateľov siete 5G a siete 6G ďalšej generácie;</w:t>
      </w:r>
    </w:p>
    <w:p w:rsidR="00784585" w:rsidRPr="004366B4" w:rsidRDefault="00784585" w:rsidP="00784585">
      <w:pPr>
        <w:pStyle w:val="NormalHanging12a"/>
        <w:rPr>
          <w:szCs w:val="24"/>
        </w:rPr>
      </w:pPr>
      <w:r w:rsidRPr="004366B4">
        <w:t>15.</w:t>
      </w:r>
      <w:r w:rsidRPr="004366B4">
        <w:tab/>
        <w:t xml:space="preserve">domnieva sa, že aplikácia </w:t>
      </w:r>
      <w:proofErr w:type="spellStart"/>
      <w:r w:rsidRPr="004366B4">
        <w:t>TikTok</w:t>
      </w:r>
      <w:proofErr w:type="spellEnd"/>
      <w:r w:rsidRPr="004366B4">
        <w:t xml:space="preserve">, ktorú vlastní čínsky konglomerát </w:t>
      </w:r>
      <w:proofErr w:type="spellStart"/>
      <w:r w:rsidRPr="004366B4">
        <w:t>ByteDance</w:t>
      </w:r>
      <w:proofErr w:type="spellEnd"/>
      <w:r w:rsidRPr="004366B4">
        <w:t xml:space="preserve">, porušuje európsky rámec ochrany osobných údajov, čo z nej robí potenciálne riziko a zdroj dezinformácií podporovaných Čínou; víta rozhodnutie inštitúcií EÚ a viacerých členských štátov EÚ pozastaviť využívanie aplikácie </w:t>
      </w:r>
      <w:proofErr w:type="spellStart"/>
      <w:r w:rsidRPr="004366B4">
        <w:t>TikTok</w:t>
      </w:r>
      <w:proofErr w:type="spellEnd"/>
      <w:r w:rsidRPr="004366B4">
        <w:t xml:space="preserve"> na služobných zariadeniach, ako aj na osobných zariadeniach zaregistrovaných v službách mobilných zariadení inštitúcií;</w:t>
      </w:r>
    </w:p>
    <w:p w:rsidR="00784585" w:rsidRPr="004366B4" w:rsidRDefault="00784585" w:rsidP="00784585">
      <w:pPr>
        <w:pStyle w:val="Normal12"/>
      </w:pPr>
      <w:r w:rsidRPr="004366B4">
        <w:t>16.</w:t>
      </w:r>
      <w:r w:rsidRPr="004366B4">
        <w:tab/>
        <w:t>varuje, že v dôsledku zhoršenia bezpečnostného prostredia v Európe, v jej susedstve a na celom svete sa treba naliehavo zamyslieť nad tým, ako posilniť otvorenú strategickú autonómiu EÚ a znížiť jej závislosť od krajín, ako je Čína, a systémových súperov, ktorí sú pre EÚ bezpečnostnou hrozbou; zdôrazňuje potrebu zabrániť transferom citlivých vznikajúcich technológií a kľúčových položiek s dvojakým použitím, najmä tých, ktoré sú kritické pre bezpečnosť a obranu EÚ, do problematických destinácií, ktoré vykonávajú stratégie vojensko-civilnej fúzie alebo sú do nich zapojené; považuje zriadenie celoeurópskeho elektronického colného systému a systému vývozných licencií za rozhodujúci krok smerom k účinným spoločným európskym vývozným kontrolám a naliehavo vyzýva všetky členské štáty, aby tieto systémy sprevádzkovali do konca roka 2024; ďalej vyzýva inštitúcie EÚ a členské štáty, aby posilnili spoluprácu s transatlantickými a ďalšími podobne zmýšľajúcimi partnermi pri ochrane kritickej infraštruktúry a aby bránili demokraciu a chránili naše spoločné hodnoty, bezpečnosť a prosperitu;</w:t>
      </w:r>
    </w:p>
    <w:p w:rsidR="00784585" w:rsidRPr="004366B4" w:rsidRDefault="00784585" w:rsidP="00784585">
      <w:pPr>
        <w:pStyle w:val="Normal12"/>
      </w:pPr>
      <w:r w:rsidRPr="004366B4">
        <w:t>17.</w:t>
      </w:r>
      <w:r w:rsidRPr="004366B4">
        <w:tab/>
        <w:t>je naďalej znepokojený tým, že európska kritická infraštruktúra – od telekomunikačných sietí až po prístavné zariadenia – je čoraz zraniteľnejšia voči vonkajším vplyvom; v tejto súvislosti oceňuje nedávne legislatívne kroky na zvýšenie odolnosti kritických subjektov v EÚ; konštatuje však so znepokojením, že takéto iniciatívy sú vo veľkej miere obmedzené na postupy preverovania priamych zahraničných investícií a Komunistickej strane Číny ponechávajú iné spôsoby, ako získať prístup ku kritickým aktívam a ovplyvňovať ich, napríklad angažovaním elít, transfermi technológií a duševného vlastníctva a tiež závislosťami v oblasti dodávateľského reťazca a obchodného trhu; konštatuje, že na identifikáciu aktív kritickej infraštruktúry a ich citlivých miest je nevyhnutné vytvoriť rámec dôkladného hodnotenia a mapovania rizík; považuje za nevyhnutné mapovať, sledovať a posudzovať prístup Číny a iných tretích krajín ku kritickej infraštruktúre v EÚ a v prípade potreby spoločne prijímať zmierňujúce opatrenia; v tejto súvislosti vyzýva Komisiu, aby s podporou členských štátov vypracovala podrobný súpis kritických aktív a systematicky posudzovala ich zraniteľnosť voči vonkajším vplyvom; preto vyzýva na rozšírenie legislatívnych iniciatív na riešenie takýchto rizík;</w:t>
      </w:r>
    </w:p>
    <w:p w:rsidR="00784585" w:rsidRPr="004366B4" w:rsidRDefault="00784585" w:rsidP="00784585">
      <w:pPr>
        <w:pStyle w:val="NormalHanging12a"/>
      </w:pPr>
      <w:r w:rsidRPr="004366B4">
        <w:t>18.</w:t>
      </w:r>
      <w:r w:rsidRPr="004366B4">
        <w:tab/>
        <w:t>vyzýva Komisiu, aby pred koncom tohto volebného obdobia poskytla</w:t>
      </w:r>
      <w:r w:rsidR="00654FEF" w:rsidRPr="004366B4">
        <w:t xml:space="preserve"> Európskemu</w:t>
      </w:r>
      <w:r w:rsidRPr="004366B4">
        <w:t xml:space="preserve"> </w:t>
      </w:r>
      <w:r w:rsidR="00654FEF" w:rsidRPr="004366B4">
        <w:t>p</w:t>
      </w:r>
      <w:r w:rsidRPr="004366B4">
        <w:t xml:space="preserve">arlamentu podrobnú analýzu obchodných rizík spojených s technológiami, ako sú polovodiče, kvantová výpočtová technika, </w:t>
      </w:r>
      <w:proofErr w:type="spellStart"/>
      <w:r w:rsidRPr="004366B4">
        <w:t>blockchain</w:t>
      </w:r>
      <w:proofErr w:type="spellEnd"/>
      <w:r w:rsidRPr="004366B4">
        <w:t>, vesmír, umelá inteligencia a biotechnológie, a informovala ho o prípadných opatreniach EÚ potrebných v týchto oblastiach;</w:t>
      </w:r>
    </w:p>
    <w:p w:rsidR="00784585" w:rsidRPr="004366B4" w:rsidRDefault="00784585" w:rsidP="00784585">
      <w:pPr>
        <w:pStyle w:val="Normal12"/>
      </w:pPr>
      <w:r w:rsidRPr="004366B4">
        <w:lastRenderedPageBreak/>
        <w:t>19.</w:t>
      </w:r>
      <w:r w:rsidRPr="004366B4">
        <w:tab/>
        <w:t>pripomína, že nariadenie o preverovaní priamych zahraničných investícií</w:t>
      </w:r>
      <w:r w:rsidRPr="004366B4">
        <w:rPr>
          <w:vertAlign w:val="superscript"/>
        </w:rPr>
        <w:footnoteReference w:id="14"/>
      </w:r>
      <w:r w:rsidRPr="004366B4">
        <w:t xml:space="preserve"> sa zaoberá rizikami pre bezpečnosť a verejný poriadok vyplývajúcimi z investícií z krajín mimo EÚ; berie na vedomie kľúčovú pridanú hodnotu mechanizmu preverovania ako vhodného nástroja, ktorý EÚ a členským štátom poskytuje lepší strategický prehľad a situačné povedomie o trendoch, cieľoch, prostriedkoch a metódach používaných zahraničnými aktérmi na zvýšenie svojho hospodárskeho a politického vplyvu; žiada, aby sa súčasné nástroje, ktoré upravujú priame zahraničné investície a zahraničné subvencie, rozšírili tak, aby zahŕňali všeobecné postupy preverovania pre všetky zainteresované strany zapojené do projektov kritickej infraštruktúry EÚ a pokrývali všetky spôsoby zapojenia do činností v oblasti kritickej infraštruktúry vrátane spoločných podnikov, partnerstiev a transferov technológií; zdôrazňuje tiež, že mimoriadne dôležité sú bežné hodnotenia projektov kritickej infraštruktúry, do ktorých sú zapojené zainteresované strany z krajín mimo EÚ, a domnieva sa, že tento proces by mal zahŕňať kontrolu vlastníckych štruktúr, závislostí v rámci dodávateľských reťazcov a transferu technológií spojených s týmito projektmi; domnieva sa tiež, že treba stanoviť normy náležitej starostlivosti s cieľom identifikovať možnosti Číny ovplyvňovať investorov v kritickej infraštruktúre EÚ, a zdôrazňuje, že tento prístup by sa mal uplatňovať rovnako na kandidátske aj potenciálne kandidátske krajiny; zdôrazňuje, že napriek tomu, že členské štáty sú v konečnom dôsledku zodpovedné za ochranu infraštruktúry, nevykonávajú dôsledne platné usmernenia týkajúce sa priamych zahraničných investícií; v tejto súvislosti je veľmi znepokojený tým, že nie všetky členské štáty majú zavedené alebo používajú mechanizmy preverovania zahraničných investícií do kritickej infraštruktúry; naliehavo vyzýva členské štáty, aby dôsledne vykonávali súčasné právne predpisy týkajúce sa priamych zahraničných investícií a odolnosti kritických subjektov;</w:t>
      </w:r>
    </w:p>
    <w:p w:rsidR="00784585" w:rsidRPr="004366B4" w:rsidRDefault="00784585" w:rsidP="00784585">
      <w:pPr>
        <w:pStyle w:val="Normal12"/>
      </w:pPr>
      <w:r w:rsidRPr="004366B4">
        <w:t>20.</w:t>
      </w:r>
      <w:r w:rsidRPr="004366B4">
        <w:tab/>
        <w:t xml:space="preserve">v tejto súvislosti vyjadruje poľutovanie nad tým, že sa primerane nepreverujú riziká, pokiaľ ide o zasahovanie do verejného obstarávania týkajúceho sa bezpečnostných zariadení, ako napríklad v prípade zmluvy letiska v Štrasburgu na inštaláciu letiskových bezpečnostných skenerov a brán dodávaných európskou dcérskou spoločnosťou čínskej spoločnosti </w:t>
      </w:r>
      <w:proofErr w:type="spellStart"/>
      <w:r w:rsidRPr="004366B4">
        <w:t>Nuctech</w:t>
      </w:r>
      <w:proofErr w:type="spellEnd"/>
      <w:r w:rsidRPr="004366B4">
        <w:t xml:space="preserve">, ktorú čiastočne vlastní čínska vláda a ktorá je viazaná politikou tzv. jednotného frontu; varuje, že všetky takéto technológie by mohli mať v sebe zabudované bezpečnostné medzery alebo by mohli byť napadnuteľné počas vykonávania údržby; na druhej strane víta rozhodnutie rumunskej vlády ukončiť rokovania so spoločnosťou </w:t>
      </w:r>
      <w:proofErr w:type="spellStart"/>
      <w:r w:rsidRPr="004366B4">
        <w:t>China</w:t>
      </w:r>
      <w:proofErr w:type="spellEnd"/>
      <w:r w:rsidRPr="004366B4">
        <w:t xml:space="preserve"> General </w:t>
      </w:r>
      <w:proofErr w:type="spellStart"/>
      <w:r w:rsidRPr="004366B4">
        <w:t>Nuclear</w:t>
      </w:r>
      <w:proofErr w:type="spellEnd"/>
      <w:r w:rsidRPr="004366B4">
        <w:t xml:space="preserve"> </w:t>
      </w:r>
      <w:proofErr w:type="spellStart"/>
      <w:r w:rsidRPr="004366B4">
        <w:t>Power</w:t>
      </w:r>
      <w:proofErr w:type="spellEnd"/>
      <w:r w:rsidRPr="004366B4">
        <w:t xml:space="preserve"> </w:t>
      </w:r>
      <w:proofErr w:type="spellStart"/>
      <w:r w:rsidRPr="004366B4">
        <w:t>Corporation</w:t>
      </w:r>
      <w:proofErr w:type="spellEnd"/>
      <w:r w:rsidRPr="004366B4">
        <w:t xml:space="preserve"> (CGNPC) o výstavbe jadrových reaktorov 3 a 4 v </w:t>
      </w:r>
      <w:proofErr w:type="spellStart"/>
      <w:r w:rsidRPr="004366B4">
        <w:t>Cernavode</w:t>
      </w:r>
      <w:proofErr w:type="spellEnd"/>
      <w:r w:rsidRPr="004366B4">
        <w:t>;</w:t>
      </w:r>
    </w:p>
    <w:p w:rsidR="00784585" w:rsidRPr="004366B4" w:rsidRDefault="00784585" w:rsidP="00784585">
      <w:pPr>
        <w:pStyle w:val="Normal12"/>
      </w:pPr>
      <w:r w:rsidRPr="004366B4">
        <w:t>21.</w:t>
      </w:r>
      <w:r w:rsidRPr="004366B4">
        <w:tab/>
        <w:t>zdôrazňuje však, že treba nájsť strategickú rovnováhu medzi otvorenosťou a investičnou príťažlivosťou jednotného trhu EÚ na jednej strane a ochranou kritickej infraštruktúry a autonómie EÚ na strane druhej, a to vzhľadom na zraniteľné miesta EÚ v oblasti bezpečnosti, najmä pokiaľ ide o hospodársky nátlak alebo ohrozenie integrity kritickej infraštruktúry EÚ;</w:t>
      </w:r>
    </w:p>
    <w:p w:rsidR="00784585" w:rsidRPr="004366B4" w:rsidRDefault="00784585" w:rsidP="00784585">
      <w:pPr>
        <w:pStyle w:val="Normal12"/>
      </w:pPr>
      <w:r w:rsidRPr="004366B4">
        <w:t>22.</w:t>
      </w:r>
      <w:r w:rsidRPr="004366B4">
        <w:tab/>
        <w:t xml:space="preserve">vyzýva Komisiu, aby zvážila, ako dosiahnuť väčšiu účinnosť svojich stanovísk k preverovaniu priamych zahraničných investícií, aby sa zabránilo narušeniam vnútorného trhu a tzv. pretekom ku dnu medzi členskými štátmi; vyzýva Komisiu a členské štáty, aby zvýšili harmonizáciu, a to aj vytváraním vhodných odborných </w:t>
      </w:r>
      <w:r w:rsidRPr="004366B4">
        <w:lastRenderedPageBreak/>
        <w:t>znalostí, a aby v plnej miere vykonávali nariadenie o preverovaní priamych zahraničných investícií; domnieva sa, že existuje priestor a potreba posilniť nariadenie v rámci jeho nadchádzajúceho preskúmania na konci roka; nabáda Komisiu, aby predložila ambiciózny legislatívny návrh revidovaného nariadenia s cieľom odstrániť všetky nedostatky, ktoré sa vyskytli pri jeho vykonávaní, a aby urýchlene posúdila možnosť vypracovať legislatívny návrh mechanizmu preverovania odchádzajúcich investícií; odporúča, aby akýkoľvek navrhovaný mechanizmus preverovania odchádzajúcich investícií vychádzal z posúdenia vplyvu zahŕňajúceho primerané konzultácie s podnikmi, aby sa minimalizovali všetky prípadné negatívne dôsledky pre európsku konkurencieschopnosť;</w:t>
      </w:r>
    </w:p>
    <w:p w:rsidR="00784585" w:rsidRPr="004366B4" w:rsidRDefault="00784585" w:rsidP="00784585">
      <w:pPr>
        <w:pStyle w:val="Normal12"/>
      </w:pPr>
      <w:r w:rsidRPr="004366B4">
        <w:t>23.</w:t>
      </w:r>
      <w:r w:rsidRPr="004366B4">
        <w:tab/>
        <w:t>víta nový prístup znižovania rizika v navrhovanej stratégii EÚ v oblasti hospodárskej bezpečnosti z 20. júna 2023, ktorého cieľom je maximalizovať prínosy hospodárskej otvorenosti EÚ a chrániť, podporovať a posilňovať otvorenú strategickú autonómiu EÚ a zároveň minimalizovať riziká vyplývajúce z hospodárskych závislostí a ich možného účelového zneužívania, vrátane investícií a výskumnej spolupráce v oblasti kľúčových podporných technológií s vojenským využitím, ktoré sa môžu využívať napríklad v oblastiach kvantovej výskumnej techniky, vyspelých polovodičov a umelej inteligencie; požaduje urýchlené prijatie návrhov vysokého predstaviteľa a Komisie a vyzýva členské štáty, aby v plnej miere vykonali rozšírený regulačný rámec EÚ s cieľom vylúčiť subjekty, ktoré by mohli prispieť k vojensko-civilnej fúzii, a aby vypracovaním komplexného prístupu k spoločnej identifikácii, hodnoteniu a riadeniu rizík pre európsku hospodársku bezpečnosť našli alternatívy k projektom v EÚ financovaným Čínou;</w:t>
      </w:r>
    </w:p>
    <w:p w:rsidR="00784585" w:rsidRPr="004366B4" w:rsidRDefault="00784585" w:rsidP="00784585">
      <w:pPr>
        <w:pStyle w:val="Normal12"/>
      </w:pPr>
      <w:r w:rsidRPr="004366B4">
        <w:t>24.</w:t>
      </w:r>
      <w:r w:rsidRPr="004366B4">
        <w:tab/>
        <w:t>ďalej víta návrh vysokého predstaviteľa a Komisie, podľa ktorého možno úniku citlivých vznikajúcich technológií zabrániť vytvorením zoznamu technológií dvojakého použitia na základe úzko vymedzených a do budúcnosti zameraných kritérií, ako sú potenciálna podporná a transformačná povaha technológií, riziko vojensko-civilnej fúzie a riziko zneužitia technológií na porušovanie ľudských práv; vyzýva Komisiu a členské štáty, aby v prípade týchto technológií dvojakého použitia čo najskôr identifikovali a vykonali príslušné ochranné opatrenia;</w:t>
      </w:r>
    </w:p>
    <w:p w:rsidR="00784585" w:rsidRPr="004366B4" w:rsidRDefault="00784585" w:rsidP="00784585">
      <w:pPr>
        <w:spacing w:after="240"/>
        <w:ind w:left="567" w:hanging="567"/>
      </w:pPr>
      <w:r w:rsidRPr="004366B4">
        <w:t>25.</w:t>
      </w:r>
      <w:r w:rsidRPr="004366B4">
        <w:tab/>
        <w:t xml:space="preserve">vyzýva v tejto súvislosti Komisiu, aby v koordinácii s členskými štátmi navrhla mechanizmus rýchlej reakcie na odhalenie dvojakého využívania alebo zneužívania infraštruktúr v EÚ, ktoré sú vo vlastníctve Číny, na ktorých sa Čína podieľa alebo pre ktoré získala koncesiu, pričom tento mechanizmus by sa mohol použiť na odňatie práv súvisiacich s koncesiou a/alebo pozastavenie kapacity domény v prípade vlastníctva a účasti; vyzýva Komisiu, aby </w:t>
      </w:r>
      <w:r w:rsidR="00654FEF" w:rsidRPr="004366B4">
        <w:t>Európsky p</w:t>
      </w:r>
      <w:r w:rsidRPr="004366B4">
        <w:t>arlament každoročne informovala o:</w:t>
      </w:r>
    </w:p>
    <w:p w:rsidR="00784585" w:rsidRPr="004366B4" w:rsidRDefault="00784585" w:rsidP="00784585">
      <w:pPr>
        <w:spacing w:after="240"/>
        <w:ind w:left="1134" w:hanging="567"/>
      </w:pPr>
      <w:r w:rsidRPr="004366B4">
        <w:t>a)</w:t>
      </w:r>
      <w:r w:rsidRPr="004366B4">
        <w:tab/>
        <w:t>odhalení prípadného dvojakého využívania strategickej infraštruktúry, ktorá Číne poskytuje logistickú a spravodajskú podporu;</w:t>
      </w:r>
    </w:p>
    <w:p w:rsidR="00784585" w:rsidRPr="004366B4" w:rsidRDefault="00784585" w:rsidP="00784585">
      <w:pPr>
        <w:pStyle w:val="Normal12"/>
        <w:ind w:left="1134"/>
      </w:pPr>
      <w:r w:rsidRPr="004366B4">
        <w:t>b)</w:t>
      </w:r>
      <w:r w:rsidRPr="004366B4">
        <w:tab/>
        <w:t>plnom dodržiavaní právnych predpisov EÚ v oblasti obchodu, najmä v oblasti náležitej starostlivosti a boja proti nátlaku a nútenej práci v súvislosti s tovarom vstupujúcim na trhy EÚ;</w:t>
      </w:r>
    </w:p>
    <w:p w:rsidR="00784585" w:rsidRPr="004366B4" w:rsidRDefault="00784585" w:rsidP="00784585">
      <w:pPr>
        <w:pStyle w:val="Normal12"/>
      </w:pPr>
      <w:r w:rsidRPr="004366B4">
        <w:t>26.</w:t>
      </w:r>
      <w:r w:rsidRPr="004366B4">
        <w:tab/>
        <w:t xml:space="preserve">víta prijatie európskeho aktu o čipoch, ktorý zvýši schopnosť EÚ vyrábať polovodiče a okrem iného vytvorí strategickú mapu nedostatkov v spôsobilostiach v hodnotovom reťazci polovodičov v EÚ, čím sa zníži závislosť EÚ od tretích krajín, ako je Čína; požaduje ďalšie návrhy na zabezpečenie výroby a dodávateľských reťazcov kritickej </w:t>
      </w:r>
      <w:r w:rsidRPr="004366B4">
        <w:lastRenderedPageBreak/>
        <w:t>infraštruktúry a materiálov v EÚ; okrem toho vyzýva Komisiu a členské štáty, aby vypracovali ďalšie iniciatívy, ktoré umožnia užšiu koordináciu a spoluprácu s podobne zmýšľajúcimi partnermi a spojencami, a aby monitorovali a ďalej rozvíjali – ak je to možné a v súlade s cieľom EÚ znížiť ďalšie závislosti – globálne výrobné kapacity a dodávateľské reťazce kritickej infraštruktúry a materiálov, ktoré sú kľúčové pre bezpečnosť a obranu EÚ; osobitne upozorňuje na Taiwan, ktorý zohráva významnú úlohu v globálnych dodávateľských reťazcoch a v medzinárodnom poriadku založenom na pravidlách; opätovne pripomína svoju dlhodobú podporu bilaterálnej investičnej dohode medzi EÚ a Taiwanom a všetkým dohodám vzájomne prospešným pre dvojstranný obchod a investície;</w:t>
      </w:r>
    </w:p>
    <w:p w:rsidR="00784585" w:rsidRPr="004366B4" w:rsidRDefault="00784585" w:rsidP="00784585">
      <w:pPr>
        <w:pStyle w:val="Normal12"/>
      </w:pPr>
      <w:r w:rsidRPr="004366B4">
        <w:t>27.</w:t>
      </w:r>
      <w:r w:rsidRPr="004366B4">
        <w:tab/>
        <w:t>vyzýva Komisiu, aby navrhla nový legislatívny rámec na zmiernenie bezpečnostných rizík prichádzajúcich od dodávateľov podmorských káblových systémov, a to aj prísnejším monitorovaním a častým prehodnocovaním vlastníckych štruktúr týchto dodávateľov, ich predchádzajúcich investícií do systémov podmorských káblov a blízkosti systémov podmorských káblov k európskym a spojeneckým vojenským základniam; zdôrazňuje, že dodávateľom káblových systémov, napríklad čínskym spoločnostiam, treba zabrániť v tom, aby údaje zdieľali so spravodajskými službami na iné účely ako na ochranu infraštruktúry pred narušeniami zvonku alebo škodlivými útokmi; v tejto súvislosti požaduje iniciatívy zamerané na ďalší rozvoj spoločností v oblasti podmorských káblových systémov, ktoré vlastnia európske alebo v Európe usadené subjekty;</w:t>
      </w:r>
    </w:p>
    <w:p w:rsidR="00784585" w:rsidRPr="004366B4" w:rsidRDefault="00784585" w:rsidP="00784585">
      <w:pPr>
        <w:pStyle w:val="NormalHanging12a"/>
      </w:pPr>
      <w:r w:rsidRPr="004366B4">
        <w:t>28.</w:t>
      </w:r>
      <w:r w:rsidRPr="004366B4">
        <w:tab/>
        <w:t>podčiarkuje, že odozva EÚ musí vychádzať zo širšieho chápania príslušnej strategickej situácie so zameraním na horizontálne posudzovanie hrozieb a štúdie zraniteľnosti kritickej infraštruktúry vypracované na nadnárodnej úrovni; zastáva názor, že decentralizovaný alebo nedbanlivý prístup bez jasného prehľadu o projektoch so strategickým významom pre obranu a bezpečnosť Európy a ich kontroly môže výrazne poškodiť geopolitické záujmy EÚ</w:t>
      </w:r>
      <w:r w:rsidRPr="004366B4">
        <w:rPr>
          <w:vertAlign w:val="superscript"/>
        </w:rPr>
        <w:footnoteReference w:id="15"/>
      </w:r>
      <w:r w:rsidRPr="004366B4">
        <w:t>; pripomína ohrozenie vyplývajúce zo zahraničného zasahovania, najmä v informačnom priestore, a interakciu projektov priamych zahraničných investícií a operácií manipulácie s informáciami vykonávanými nepriateľskými zahraničnými aktérmi;</w:t>
      </w:r>
    </w:p>
    <w:p w:rsidR="00784585" w:rsidRPr="004366B4" w:rsidRDefault="00784585" w:rsidP="00784585">
      <w:pPr>
        <w:pStyle w:val="Normal12"/>
        <w:ind w:left="0" w:firstLine="0"/>
        <w:rPr>
          <w:rStyle w:val="BoldItalic"/>
          <w:b w:val="0"/>
          <w:i w:val="0"/>
        </w:rPr>
      </w:pPr>
      <w:r w:rsidRPr="004366B4">
        <w:rPr>
          <w:rStyle w:val="BoldItalic"/>
        </w:rPr>
        <w:t>Prepojenie medzi vnútornou a vonkajšou bezpečnosťou: posilnenie odolnosti najbližších partnerov EÚ</w:t>
      </w:r>
    </w:p>
    <w:p w:rsidR="00784585" w:rsidRPr="004366B4" w:rsidRDefault="00784585" w:rsidP="00784585">
      <w:pPr>
        <w:pStyle w:val="Normal12"/>
      </w:pPr>
      <w:r w:rsidRPr="004366B4">
        <w:t>29.</w:t>
      </w:r>
      <w:r w:rsidRPr="004366B4">
        <w:tab/>
        <w:t>vyjadruje znepokojenie nad prenikaním ČĽR na trh EÚ a do jej širšieho susedstva; vyzýva Komisiu a Európsku službu pre vonkajšiu činnosť (ESVČ), aby zabezpečili uplatnenie opatrení prijatých na posilnenie odolnosti EÚ voči čínskemu vplyvu, vrátane znižovania rizika, diverzifikácie a obmedzovania kritických závislostí, aj na najbližších partnerov EÚ, najmä pristupujúce krajiny a krajiny, na ktoré sa vzťahuje susedská politika EÚ;</w:t>
      </w:r>
    </w:p>
    <w:p w:rsidR="00784585" w:rsidRPr="004366B4" w:rsidRDefault="00784585" w:rsidP="00784585">
      <w:pPr>
        <w:pStyle w:val="Normal12"/>
      </w:pPr>
      <w:r w:rsidRPr="004366B4">
        <w:t>30.</w:t>
      </w:r>
      <w:r w:rsidRPr="004366B4">
        <w:tab/>
        <w:t xml:space="preserve">pripomína, že námorné sily Číny majú prostriedky a právne nástroje na to, aby zabezpečili, že civilné lode a infraštruktúru Číny bude možné využívať na vojenské a bezpečnostné účely; domnieva sa, že Čína dokáže svoju civilnú obchodnú infraštruktúru využívať na podporu prítomnosti Ľudovej oslobodzovacej armády v tretích krajinách; </w:t>
      </w:r>
      <w:r w:rsidRPr="004366B4">
        <w:lastRenderedPageBreak/>
        <w:t>varuje, že takáto vojensko-civilná fúzia poskytuje Ľudovej oslobodzovacej armáde prístup k zahraničným prístavom, a tým jej umožňuje logisticky podporovať lode v takých vzdialených oblastiach, ako je Indický oceán, Stredozemné more a Atlantický oceán; zdôrazňuje, že riziko špionáže je najvyššie vtedy, keď sa čínske civilné obchodné aktíva nachádzajú v logistických centrách v blízkosti námorných základní alebo prevádzkovateľov prístavov EÚ a NATO, ktorí podpísali dohody o poskytovaní logistickej podpory európskym spoločnostiam; vyzýva členské štáty, aby sa naliehavo zamerali na potrebu znížiť riziká špionáže a sabotáže v kritickej infraštruktúre, najmä tej, ktorá plní vojenskú funkciu, ako sú prístavy využívané NATO; v tejto súvislosti zdôrazňuje, že EÚ a NATO musia spoločne vypracovať dlhodobý plán reakcie na čínsku stratégiu vojensko-civilnej fúzie v Európe, a vyzýva na plné vykonanie záverečnej hodnotiacej správy osobitnej skupiny EÚ – NATO</w:t>
      </w:r>
      <w:r w:rsidRPr="004366B4">
        <w:rPr>
          <w:rStyle w:val="FootnoteReference"/>
        </w:rPr>
        <w:footnoteReference w:id="16"/>
      </w:r>
      <w:r w:rsidRPr="004366B4">
        <w:t>;</w:t>
      </w:r>
    </w:p>
    <w:p w:rsidR="00784585" w:rsidRPr="004366B4" w:rsidRDefault="00784585" w:rsidP="00784585">
      <w:pPr>
        <w:pStyle w:val="Normal12"/>
      </w:pPr>
      <w:r w:rsidRPr="004366B4">
        <w:t>31.</w:t>
      </w:r>
      <w:r w:rsidRPr="004366B4">
        <w:tab/>
        <w:t>konštatuje, že prístavy sú vstupnými bránami do sveta a ako také majú kľúčovú úlohu v hospodárstve EÚ; konštatuje so znepokojením, že čínske alebo Čínou kontrolované subjekty strategicky zvýšili svoje podiely v európskych prístavoch a prístavnej infraštruktúre; vyzýva Komisiu, aby predložila strategický politický rámec EÚ na zníženie a obmedzenie vplyvu a operačnej kontroly Číny a ďalších režimov; pripomína tiež, že ČĽR dáva najavo svoju silu v zahraničí využívaním siete obchodných prístavov a zariadení s dvojakým použitím, ktoré poskytujú čínskemu námorníctvu logistickú a spravodajskú podporu; konštatuje, že v roku 2022 čínske spoločnosti vlastnili alebo prevádzkovali terminály v 96 prístavoch v 53 krajinách; ďalej konštatuje, že najmenej v deviatich prístavoch, z ktorých dva sú v Európe, sa realizovali významné opravy alebo údržba vojnových plavidiel a vybavenia námorníctva Ľudovej oslobodzovacej armády; poukazuje na to, že tieto námorné návštevy poukazujú na oblasti vplyvu, prioritné operačné zóny, ciele zhromažďovania spravodajských informácií a priority spolupráce;</w:t>
      </w:r>
    </w:p>
    <w:p w:rsidR="00784585" w:rsidRPr="004366B4" w:rsidRDefault="00784585" w:rsidP="00784585">
      <w:pPr>
        <w:pStyle w:val="Normal12"/>
        <w:rPr>
          <w:rStyle w:val="BoldItalic"/>
          <w:b w:val="0"/>
          <w:i w:val="0"/>
        </w:rPr>
      </w:pPr>
      <w:r w:rsidRPr="00063570">
        <w:rPr>
          <w:rStyle w:val="BoldItalic"/>
          <w:b w:val="0"/>
          <w:i w:val="0"/>
        </w:rPr>
        <w:t>32.</w:t>
      </w:r>
      <w:r w:rsidRPr="004366B4">
        <w:rPr>
          <w:rStyle w:val="BoldItalic"/>
        </w:rPr>
        <w:tab/>
      </w:r>
      <w:r w:rsidRPr="004366B4">
        <w:t xml:space="preserve">zdôrazňuje potrebu geopolitického prístupu ku globálnej spolupráci v oblasti kritickej infraštruktúry, aby mohla EÚ úspešne čeliť novým bezpečnostným výzvam; konštatuje, že jednu tretinu celej africkej infraštruktúry vybudovanej od roku 2010 – vrátane približne 50 % afrických sietí 3G a 70 % sietí 4G – financovali a postavili čínske štátne podniky; zdôrazňuje, že Čína za posledných 20 rokov zvýšila svoje obchodné, investičné a úverové prísľuby vo vzťahu k africkým vládam a ich štátnym podnikom o 160 miliárd USD, najmä v oblasti dopravy, výroby energie, banského priemyslu a telekomunikácií, pričom jej zmluvné záväzky sú obmedzené a nejasné; poukazuje najmä na to, že jedna čínska telekomunikačná spoločnosť vybudovala až 70 % africkej infraštruktúry informačných technológií, ako aj na úlohu, ktorú zohrávajú čínske spoločnosti pri financovaní, budovaní, rozširovaní a obnove najmenej 14 citlivých vnútro-vládnych afrických telekomunikačných sietí; vyjadruje znepokojenie nad tým, že čínsky model je jednoznačne atraktívny pre mnohé krajiny, ktoré nemôžu alebo nie sú ochotné plniť požiadavky EÚ na prístup k rovnocenným úrovniam financovania, čím sa rozširuje čínsky vplyv na úkor partnerstiev EÚ a vzniká riziko neudržateľného dlhu týchto krajín, čo poškodzuje ich dlhodobý rozvoj na ujmu ich miestneho obyvateľstva; vyzýva Komisiu, ESVČ a členské štáty, aby zintenzívnili úsilie s cieľom vykonať investičný balík </w:t>
      </w:r>
      <w:proofErr w:type="spellStart"/>
      <w:r w:rsidRPr="004366B4">
        <w:t>Global</w:t>
      </w:r>
      <w:proofErr w:type="spellEnd"/>
      <w:r w:rsidRPr="004366B4">
        <w:t xml:space="preserve"> </w:t>
      </w:r>
      <w:proofErr w:type="spellStart"/>
      <w:r w:rsidRPr="004366B4">
        <w:t>Gateway</w:t>
      </w:r>
      <w:proofErr w:type="spellEnd"/>
      <w:r w:rsidRPr="004366B4">
        <w:t xml:space="preserve"> vo výške 150 miliárd EUR, dohodnutý na 6. samite EÚ – AÚ vo februári 2022, a to aj prilákaním súkromných investícií; naliehavo žiada </w:t>
      </w:r>
      <w:r w:rsidRPr="004366B4">
        <w:lastRenderedPageBreak/>
        <w:t>Radu a Komisiu, aby v urýchlene realizovali projekty v rámci tejto iniciatívy, najmä tie vlajkové;</w:t>
      </w:r>
    </w:p>
    <w:p w:rsidR="00784585" w:rsidRPr="004366B4" w:rsidRDefault="00784585" w:rsidP="00784585">
      <w:pPr>
        <w:pStyle w:val="Normal12"/>
      </w:pPr>
      <w:r w:rsidRPr="004366B4">
        <w:t>33.</w:t>
      </w:r>
      <w:r w:rsidRPr="004366B4">
        <w:tab/>
        <w:t>zdôrazňuje so znepokojením, že stratégia Číny, podľa ktorej sa má pozdĺž afrického pobrežia vybudovať tzv. základňa pre spoluprácu v oblasti modrého hospodárstva, a to aj výstavbou rybárskych lodí a zariadení na opravu plavidiel, by sa mohla využiť aj na vojenské účely; zdôrazňuje, že tieto dohody s africkými krajinami a licencie sú vo všeobecnosti nedostatočne podrobné a transparentné; poukazuje na potenciálne geopolitické dôsledky pre EÚ, a to najmä v tretích krajinách, v ktorých sa EÚ angažuje;</w:t>
      </w:r>
    </w:p>
    <w:p w:rsidR="00654FEF" w:rsidRPr="004366B4" w:rsidRDefault="00654FEF" w:rsidP="00654FEF">
      <w:pPr>
        <w:pStyle w:val="Normal12"/>
        <w:ind w:left="0" w:firstLine="0"/>
        <w:jc w:val="center"/>
      </w:pPr>
      <w:r w:rsidRPr="004366B4">
        <w:t>°</w:t>
      </w:r>
    </w:p>
    <w:p w:rsidR="00654FEF" w:rsidRPr="004366B4" w:rsidRDefault="00654FEF" w:rsidP="00654FEF">
      <w:pPr>
        <w:pStyle w:val="Normal12"/>
        <w:ind w:left="0" w:firstLine="0"/>
        <w:jc w:val="center"/>
      </w:pPr>
      <w:r w:rsidRPr="004366B4">
        <w:t>°     °</w:t>
      </w:r>
    </w:p>
    <w:p w:rsidR="00784585" w:rsidRPr="004366B4" w:rsidRDefault="00784585" w:rsidP="00784585">
      <w:pPr>
        <w:pStyle w:val="Normal12"/>
        <w:ind w:left="560" w:hanging="560"/>
      </w:pPr>
      <w:r w:rsidRPr="004366B4">
        <w:t>34.</w:t>
      </w:r>
      <w:r w:rsidRPr="004366B4">
        <w:tab/>
        <w:t>poveruje svoju predsedníčku, aby postúpila toto uznesenie podpredsedovi Komisie/vysokému predstaviteľovi Únie pre zahraničné veci a bezpečnostnú politiku, Rade a Komisii.</w:t>
      </w:r>
    </w:p>
    <w:sectPr w:rsidR="00784585" w:rsidRPr="004366B4" w:rsidSect="00C14E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6F3" w:rsidRPr="00C14E48" w:rsidRDefault="00A766F3">
      <w:r w:rsidRPr="00C14E48">
        <w:separator/>
      </w:r>
    </w:p>
  </w:endnote>
  <w:endnote w:type="continuationSeparator" w:id="0">
    <w:p w:rsidR="00A766F3" w:rsidRPr="00C14E48" w:rsidRDefault="00A766F3">
      <w:r w:rsidRPr="00C14E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4E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4E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4E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6F3" w:rsidRPr="00C14E48" w:rsidRDefault="00A766F3">
      <w:r w:rsidRPr="00C14E48">
        <w:separator/>
      </w:r>
    </w:p>
  </w:footnote>
  <w:footnote w:type="continuationSeparator" w:id="0">
    <w:p w:rsidR="00A766F3" w:rsidRPr="00C14E48" w:rsidRDefault="00A766F3">
      <w:r w:rsidRPr="00C14E48">
        <w:continuationSeparator/>
      </w:r>
    </w:p>
  </w:footnote>
  <w:footnote w:id="1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="004F29F5" w:rsidRPr="00C970CE">
        <w:rPr>
          <w:sz w:val="24"/>
          <w:szCs w:val="24"/>
        </w:rPr>
        <w:t>Ú. v. EÚ L 330, 23.12.2022, s. 1.</w:t>
      </w:r>
    </w:p>
  </w:footnote>
  <w:footnote w:id="2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="004F29F5" w:rsidRPr="00C970CE">
        <w:rPr>
          <w:sz w:val="24"/>
          <w:szCs w:val="24"/>
        </w:rPr>
        <w:t>Ú. v. EÚ L 79</w:t>
      </w:r>
      <w:r w:rsidR="004F29F5" w:rsidRPr="00C970CE">
        <w:rPr>
          <w:sz w:val="24"/>
          <w:szCs w:val="24"/>
          <w:lang w:val="sk-SK"/>
        </w:rPr>
        <w:t xml:space="preserve"> </w:t>
      </w:r>
      <w:r w:rsidR="004F29F5" w:rsidRPr="00C970CE">
        <w:rPr>
          <w:sz w:val="24"/>
          <w:szCs w:val="24"/>
        </w:rPr>
        <w:t>I, 21.3.2019, s. 1.</w:t>
      </w:r>
    </w:p>
  </w:footnote>
  <w:footnote w:id="3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="00586475" w:rsidRPr="00C970CE">
        <w:rPr>
          <w:sz w:val="24"/>
          <w:szCs w:val="24"/>
        </w:rPr>
        <w:t>Ú. v. EÚ L 333, 27.12.2022, s. 164</w:t>
      </w:r>
      <w:r w:rsidRPr="00C970CE">
        <w:rPr>
          <w:sz w:val="24"/>
          <w:szCs w:val="24"/>
          <w:lang w:val="sk-SK"/>
        </w:rPr>
        <w:t>.</w:t>
      </w:r>
    </w:p>
  </w:footnote>
  <w:footnote w:id="4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="00586475" w:rsidRPr="00C970CE">
        <w:rPr>
          <w:sz w:val="24"/>
          <w:szCs w:val="24"/>
        </w:rPr>
        <w:t>Ú. v. EÚ L 333, 27.12.2022, s. 80</w:t>
      </w:r>
      <w:r w:rsidRPr="00C970CE">
        <w:rPr>
          <w:sz w:val="24"/>
          <w:szCs w:val="24"/>
          <w:lang w:val="sk-SK"/>
        </w:rPr>
        <w:t>.</w:t>
      </w:r>
    </w:p>
  </w:footnote>
  <w:footnote w:id="5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="00586475" w:rsidRPr="00C970CE">
        <w:rPr>
          <w:sz w:val="24"/>
          <w:szCs w:val="24"/>
          <w:lang w:val="sk-SK"/>
        </w:rPr>
        <w:t>Ú. v. EÚ L 229, 18.9.2023, s. 1</w:t>
      </w:r>
      <w:r w:rsidRPr="00C970CE">
        <w:rPr>
          <w:sz w:val="24"/>
          <w:szCs w:val="24"/>
          <w:lang w:val="sk-SK"/>
        </w:rPr>
        <w:t>.</w:t>
      </w:r>
    </w:p>
  </w:footnote>
  <w:footnote w:id="6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Pr="00C970CE">
        <w:rPr>
          <w:sz w:val="24"/>
          <w:szCs w:val="24"/>
          <w:lang w:val="sk-SK"/>
        </w:rPr>
        <w:t xml:space="preserve">Návrh nariadenia, ktorým sa stanovuje rámec na zaistenie bezpečných a udržateľných dodávok kritických surovín a ktorým sa menia nariadenia (EÚ) </w:t>
      </w:r>
      <w:bookmarkStart w:id="8" w:name="_GoBack"/>
      <w:bookmarkEnd w:id="8"/>
      <w:r w:rsidRPr="00C970CE">
        <w:rPr>
          <w:sz w:val="24"/>
          <w:szCs w:val="24"/>
          <w:lang w:val="sk-SK"/>
        </w:rPr>
        <w:t>168/2013, (EÚ) 2018/858, 2018/1724 a (EÚ) 2019/1020 (COM(2023)0160).</w:t>
      </w:r>
    </w:p>
  </w:footnote>
  <w:footnote w:id="7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Pr="00C970CE">
        <w:rPr>
          <w:sz w:val="24"/>
          <w:szCs w:val="24"/>
          <w:lang w:val="sk-SK"/>
        </w:rPr>
        <w:t>Návrh nariadenia o ochrane Únie a jej členských štátov pred hospodárskym nátlakom tretích krajín (COM(2021)0775)</w:t>
      </w:r>
      <w:r w:rsidR="00063570">
        <w:rPr>
          <w:sz w:val="24"/>
          <w:szCs w:val="24"/>
          <w:lang w:val="sk-SK"/>
        </w:rPr>
        <w:t xml:space="preserve"> </w:t>
      </w:r>
      <w:r w:rsidR="00063570">
        <w:rPr>
          <w:sz w:val="24"/>
          <w:lang w:val="sk-SK"/>
        </w:rPr>
        <w:t>(Ú. v. EÚ</w:t>
      </w:r>
      <w:r w:rsidR="00063570" w:rsidRPr="00063570">
        <w:rPr>
          <w:sz w:val="24"/>
          <w:lang w:val="sk-SK"/>
        </w:rPr>
        <w:t xml:space="preserve"> L, 2023/2675, 7.12.2023).</w:t>
      </w:r>
    </w:p>
  </w:footnote>
  <w:footnote w:id="8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="00586475" w:rsidRPr="00C970CE">
        <w:rPr>
          <w:sz w:val="24"/>
          <w:szCs w:val="24"/>
          <w:lang w:val="sk-SK"/>
        </w:rPr>
        <w:t>Ú. v. EÚ C 117, 11.3.2022, s. 40</w:t>
      </w:r>
      <w:r w:rsidRPr="00C970CE">
        <w:rPr>
          <w:sz w:val="24"/>
          <w:szCs w:val="24"/>
          <w:lang w:val="sk-SK"/>
        </w:rPr>
        <w:t>.</w:t>
      </w:r>
    </w:p>
  </w:footnote>
  <w:footnote w:id="9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Pr="00C970CE">
        <w:rPr>
          <w:sz w:val="24"/>
          <w:szCs w:val="24"/>
          <w:lang w:val="sk-SK"/>
        </w:rPr>
        <w:t>Prijaté texty, P9_TA(2023)0219.</w:t>
      </w:r>
    </w:p>
  </w:footnote>
  <w:footnote w:id="10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Pr="00C970CE">
        <w:rPr>
          <w:sz w:val="24"/>
          <w:szCs w:val="24"/>
          <w:lang w:val="sk-SK"/>
        </w:rPr>
        <w:t>Prijaté texty, P9_TA(2023)0219.</w:t>
      </w:r>
    </w:p>
  </w:footnote>
  <w:footnote w:id="11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Pr="00C970CE">
        <w:rPr>
          <w:sz w:val="24"/>
          <w:szCs w:val="24"/>
          <w:lang w:val="sk-SK"/>
        </w:rPr>
        <w:t>Ú. v. EÚ C 20, 20.1.2023, s. 1.</w:t>
      </w:r>
    </w:p>
  </w:footnote>
  <w:footnote w:id="12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Pr="00C970CE">
        <w:rPr>
          <w:sz w:val="24"/>
          <w:szCs w:val="24"/>
          <w:lang w:val="sk-SK"/>
        </w:rPr>
        <w:t xml:space="preserve">Smernica (EÚ) 2022/2557 zo 14. decembra 2022 o odolnosti kritických subjektov a o zrušení smernice Rady 2008/114/ES </w:t>
      </w:r>
      <w:r w:rsidR="00AE7FE8" w:rsidRPr="00C970CE">
        <w:rPr>
          <w:sz w:val="24"/>
          <w:szCs w:val="24"/>
          <w:lang w:val="sk-SK"/>
        </w:rPr>
        <w:t>(Ú. v. EÚ L 333, 27.12.2022, s. 164)</w:t>
      </w:r>
      <w:r w:rsidRPr="00C970CE">
        <w:rPr>
          <w:sz w:val="24"/>
          <w:szCs w:val="24"/>
          <w:lang w:val="sk-SK"/>
        </w:rPr>
        <w:t>.</w:t>
      </w:r>
    </w:p>
  </w:footnote>
  <w:footnote w:id="13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Pr="00C970CE">
        <w:rPr>
          <w:sz w:val="24"/>
          <w:szCs w:val="24"/>
          <w:lang w:val="sk-SK"/>
        </w:rPr>
        <w:t xml:space="preserve">Smernica (EÚ) 2022/2555 zo 14. decembra 2022 o opatreniach na zabezpečenie vysokej spoločnej úrovne kybernetickej bezpečnosti v Únii, ktorou sa mení nariadenie (EÚ) č. 910/2014 a smernica (EÚ) 2018/1972 a zrušuje smernica (EÚ) 2016/1148 (smernica NIS 2) </w:t>
      </w:r>
      <w:r w:rsidR="00AE7FE8" w:rsidRPr="00C970CE">
        <w:rPr>
          <w:sz w:val="24"/>
          <w:szCs w:val="24"/>
          <w:lang w:val="sk-SK"/>
        </w:rPr>
        <w:t>(Ú. v. EÚ L 333, 27.12.2022, s. 80)</w:t>
      </w:r>
      <w:r w:rsidRPr="00C970CE">
        <w:rPr>
          <w:sz w:val="24"/>
          <w:szCs w:val="24"/>
          <w:lang w:val="sk-SK"/>
        </w:rPr>
        <w:t>.</w:t>
      </w:r>
    </w:p>
  </w:footnote>
  <w:footnote w:id="14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rFonts w:eastAsiaTheme="majorEastAsia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Pr="00C970CE">
        <w:rPr>
          <w:sz w:val="24"/>
          <w:szCs w:val="24"/>
          <w:lang w:val="sk-SK"/>
        </w:rPr>
        <w:t xml:space="preserve">Nariadenie (EÚ) 2019/452 z 19. marca 2019, ktorým sa ustanovuje rámec na preverovanie priamych zahraničných investícií do Únie </w:t>
      </w:r>
      <w:r w:rsidR="00AE7FE8" w:rsidRPr="00C970CE">
        <w:rPr>
          <w:sz w:val="24"/>
          <w:szCs w:val="24"/>
          <w:lang w:val="sk-SK"/>
        </w:rPr>
        <w:t>(Ú. v. EÚ L 79 I, 21.3.2019, s. 1)</w:t>
      </w:r>
      <w:r w:rsidRPr="00C970CE">
        <w:rPr>
          <w:sz w:val="24"/>
          <w:szCs w:val="24"/>
          <w:lang w:val="sk-SK"/>
        </w:rPr>
        <w:t>.</w:t>
      </w:r>
    </w:p>
  </w:footnote>
  <w:footnote w:id="15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Pr="00C970CE">
        <w:rPr>
          <w:sz w:val="24"/>
          <w:szCs w:val="24"/>
          <w:lang w:val="sk-SK"/>
        </w:rPr>
        <w:t>Tematická sekcia pre vonkajšie vzťahy Generálneho riaditeľstva pre vonkajšie politiky Únie, „Bezpečnostné dôsledky čínskeho vlastníctva kritickej infraštruktúry v Európskej únii“, jún 2023.</w:t>
      </w:r>
    </w:p>
  </w:footnote>
  <w:footnote w:id="16">
    <w:p w:rsidR="00784585" w:rsidRPr="00C970CE" w:rsidRDefault="00784585" w:rsidP="00C14E48">
      <w:pPr>
        <w:pStyle w:val="FootnoteText"/>
        <w:ind w:left="567" w:hanging="567"/>
        <w:rPr>
          <w:sz w:val="24"/>
          <w:szCs w:val="24"/>
          <w:lang w:val="sk-SK"/>
        </w:rPr>
      </w:pPr>
      <w:r w:rsidRPr="00C970CE">
        <w:rPr>
          <w:rStyle w:val="FootnoteReference"/>
          <w:sz w:val="24"/>
          <w:szCs w:val="24"/>
          <w:lang w:val="sk-SK"/>
        </w:rPr>
        <w:footnoteRef/>
      </w:r>
      <w:r w:rsidR="00C14E48" w:rsidRPr="00C970CE">
        <w:rPr>
          <w:sz w:val="24"/>
          <w:szCs w:val="24"/>
          <w:lang w:val="sk-SK"/>
        </w:rPr>
        <w:t xml:space="preserve"> </w:t>
      </w:r>
      <w:r w:rsidR="00C14E48" w:rsidRPr="00C970CE">
        <w:rPr>
          <w:sz w:val="24"/>
          <w:szCs w:val="24"/>
          <w:lang w:val="sk-SK"/>
        </w:rPr>
        <w:tab/>
      </w:r>
      <w:r w:rsidRPr="00C970CE">
        <w:rPr>
          <w:sz w:val="24"/>
          <w:szCs w:val="24"/>
          <w:lang w:val="sk-SK"/>
        </w:rPr>
        <w:t xml:space="preserve">Európska komisia, </w:t>
      </w:r>
      <w:hyperlink r:id="rId1" w:history="1">
        <w:r w:rsidRPr="00C970CE">
          <w:rPr>
            <w:rStyle w:val="Hyperlink"/>
            <w:sz w:val="24"/>
            <w:szCs w:val="24"/>
            <w:lang w:val="sk-SK"/>
          </w:rPr>
          <w:t>osobitná skupina EÚ – NATO pre odolnosť kritickej infraštruktúry:</w:t>
        </w:r>
      </w:hyperlink>
      <w:hyperlink r:id="rId2" w:history="1">
        <w:r w:rsidRPr="00C970CE">
          <w:rPr>
            <w:rStyle w:val="Hyperlink"/>
            <w:sz w:val="24"/>
            <w:szCs w:val="24"/>
            <w:lang w:val="sk-SK"/>
          </w:rPr>
          <w:t xml:space="preserve"> záverečná hodnotiaca správa</w:t>
        </w:r>
      </w:hyperlink>
      <w:r w:rsidRPr="00C970CE">
        <w:rPr>
          <w:sz w:val="24"/>
          <w:szCs w:val="24"/>
          <w:lang w:val="sk-SK"/>
        </w:rPr>
        <w:t>, jún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4E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4E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4E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1/2023"/>
    <w:docVar w:name="dvlangue" w:val="SK"/>
    <w:docVar w:name="dvnumam" w:val="0"/>
    <w:docVar w:name="dvpe" w:val="750.176"/>
    <w:docVar w:name="dvrapporteur" w:val="Spravodajca: "/>
    <w:docVar w:name="dvtitre" w:val="Uznesenie Európskeho parlamentu z xx. januára 2024 o bezpečnostných a obranných dôsledkoch vplyvu Číny na kritickú infraštruktúru v Európskej únii(2023/2072(INI))"/>
  </w:docVars>
  <w:rsids>
    <w:rsidRoot w:val="00A766F3"/>
    <w:rsid w:val="00002272"/>
    <w:rsid w:val="0006357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7602"/>
    <w:rsid w:val="00361C00"/>
    <w:rsid w:val="00395FA1"/>
    <w:rsid w:val="003E15D4"/>
    <w:rsid w:val="00411CCE"/>
    <w:rsid w:val="0041666E"/>
    <w:rsid w:val="00421060"/>
    <w:rsid w:val="004366B4"/>
    <w:rsid w:val="00471C19"/>
    <w:rsid w:val="004867E3"/>
    <w:rsid w:val="00494A28"/>
    <w:rsid w:val="004C0004"/>
    <w:rsid w:val="004C5D52"/>
    <w:rsid w:val="004F29F5"/>
    <w:rsid w:val="0050519A"/>
    <w:rsid w:val="005072A1"/>
    <w:rsid w:val="00514517"/>
    <w:rsid w:val="00545827"/>
    <w:rsid w:val="00560270"/>
    <w:rsid w:val="00586475"/>
    <w:rsid w:val="005C2568"/>
    <w:rsid w:val="006037C0"/>
    <w:rsid w:val="00654FEF"/>
    <w:rsid w:val="006631B6"/>
    <w:rsid w:val="00680577"/>
    <w:rsid w:val="006F74FA"/>
    <w:rsid w:val="007255C7"/>
    <w:rsid w:val="00731ADD"/>
    <w:rsid w:val="00734777"/>
    <w:rsid w:val="00747932"/>
    <w:rsid w:val="00751A4A"/>
    <w:rsid w:val="00756632"/>
    <w:rsid w:val="00762C74"/>
    <w:rsid w:val="0078458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6F3"/>
    <w:rsid w:val="00A778C7"/>
    <w:rsid w:val="00AB441E"/>
    <w:rsid w:val="00AB6293"/>
    <w:rsid w:val="00AE0928"/>
    <w:rsid w:val="00AE7FE8"/>
    <w:rsid w:val="00AF3B82"/>
    <w:rsid w:val="00B12E95"/>
    <w:rsid w:val="00B1389D"/>
    <w:rsid w:val="00B22876"/>
    <w:rsid w:val="00B558F0"/>
    <w:rsid w:val="00B564A4"/>
    <w:rsid w:val="00BD48FE"/>
    <w:rsid w:val="00BD7BD8"/>
    <w:rsid w:val="00BE6ADC"/>
    <w:rsid w:val="00C05BFE"/>
    <w:rsid w:val="00C14E48"/>
    <w:rsid w:val="00C23CD4"/>
    <w:rsid w:val="00C61C0C"/>
    <w:rsid w:val="00C941CB"/>
    <w:rsid w:val="00C970CE"/>
    <w:rsid w:val="00CC2357"/>
    <w:rsid w:val="00CD68EE"/>
    <w:rsid w:val="00CF071A"/>
    <w:rsid w:val="00D058B8"/>
    <w:rsid w:val="00D56C11"/>
    <w:rsid w:val="00D834A0"/>
    <w:rsid w:val="00D872DF"/>
    <w:rsid w:val="00D91E21"/>
    <w:rsid w:val="00DA599A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B9DC7-AC91-40B3-9B7C-4F2029DE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8458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84585"/>
    <w:rPr>
      <w:rFonts w:ascii="Times New Roman" w:hAnsi="Times New Roman" w:cs="Times New Roman" w:hint="default"/>
      <w:color w:val="0563C1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84585"/>
    <w:rPr>
      <w:sz w:val="24"/>
      <w:lang w:val="sk-SK"/>
    </w:rPr>
  </w:style>
  <w:style w:type="paragraph" w:customStyle="1" w:styleId="NormalHanging">
    <w:name w:val="NormalHanging"/>
    <w:basedOn w:val="Normal"/>
    <w:rsid w:val="00784585"/>
    <w:pPr>
      <w:widowControl/>
      <w:spacing w:after="240"/>
      <w:ind w:left="567" w:hanging="567"/>
    </w:pPr>
  </w:style>
  <w:style w:type="paragraph" w:customStyle="1" w:styleId="Normal12">
    <w:name w:val="Normal12"/>
    <w:basedOn w:val="Normal"/>
    <w:qFormat/>
    <w:rsid w:val="00784585"/>
    <w:pPr>
      <w:widowControl/>
      <w:spacing w:after="240"/>
      <w:ind w:left="567" w:hanging="567"/>
    </w:pPr>
  </w:style>
  <w:style w:type="character" w:customStyle="1" w:styleId="Normalhanging12aChar0">
    <w:name w:val="Normalhanging12a Char"/>
    <w:basedOn w:val="DefaultParagraphFont"/>
    <w:link w:val="Normalhanging12a0"/>
    <w:locked/>
    <w:rsid w:val="00784585"/>
    <w:rPr>
      <w:sz w:val="24"/>
    </w:rPr>
  </w:style>
  <w:style w:type="paragraph" w:customStyle="1" w:styleId="Normalhanging12a0">
    <w:name w:val="Normalhanging12a"/>
    <w:basedOn w:val="Normal"/>
    <w:link w:val="Normalhanging12aChar0"/>
    <w:qFormat/>
    <w:rsid w:val="00784585"/>
    <w:pPr>
      <w:tabs>
        <w:tab w:val="left" w:pos="567"/>
      </w:tabs>
      <w:spacing w:after="240"/>
      <w:ind w:left="567" w:hanging="567"/>
    </w:pPr>
    <w:rPr>
      <w:lang w:val="en-GB"/>
    </w:rPr>
  </w:style>
  <w:style w:type="character" w:customStyle="1" w:styleId="Italic">
    <w:name w:val="Italic"/>
    <w:uiPriority w:val="1"/>
    <w:qFormat/>
    <w:rsid w:val="00784585"/>
    <w:rPr>
      <w:rFonts w:ascii="Times New Roman" w:hAnsi="Times New Roman" w:cs="Times New Roman" w:hint="default"/>
      <w:i/>
      <w:iCs w:val="0"/>
      <w:sz w:val="24"/>
    </w:rPr>
  </w:style>
  <w:style w:type="character" w:customStyle="1" w:styleId="BoldItalic">
    <w:name w:val="BoldItalic"/>
    <w:basedOn w:val="Italic"/>
    <w:uiPriority w:val="1"/>
    <w:qFormat/>
    <w:rsid w:val="00784585"/>
    <w:rPr>
      <w:rFonts w:ascii="Times New Roman" w:hAnsi="Times New Roman" w:cs="Times New Roman" w:hint="default"/>
      <w:b/>
      <w:bCs w:val="0"/>
      <w:i/>
      <w:iCs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commission.europa.eu/document/34209534-3c59-4b01-b4f0-b2c6ee2df736_en" TargetMode="External"/><Relationship Id="rId1" Type="http://schemas.openxmlformats.org/officeDocument/2006/relationships/hyperlink" Target="https://commission.europa.eu/document/34209534-3c59-4b01-b4f0-b2c6ee2df736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F030B-AE63-41DA-A29A-06850EDED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5123</Words>
  <Characters>32501</Characters>
  <Application>Microsoft Office Word</Application>
  <DocSecurity>0</DocSecurity>
  <Lines>270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2024-02-22T12:11:00Z</dcterms:created>
  <dcterms:modified xsi:type="dcterms:W3CDTF">2024-02-22T12:11:00Z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A9-0401/2023</vt:lpwstr>
  </property>
  <property fmtid="{D5CDD505-2E9C-101B-9397-08002B2CF9AE}" pid="4" name="&lt;Type&gt;">
    <vt:lpwstr>RR</vt:lpwstr>
  </property>
</Properties>
</file>