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B52" w:rsidTr="0010095E">
        <w:trPr>
          <w:trHeight w:hRule="exact" w:val="1418"/>
        </w:trPr>
        <w:tc>
          <w:tcPr>
            <w:tcW w:w="6804" w:type="dxa"/>
            <w:shd w:val="clear" w:color="auto" w:fill="auto"/>
            <w:vAlign w:val="center"/>
          </w:tcPr>
          <w:p w:rsidR="00751A4A" w:rsidRPr="005B1B52" w:rsidRDefault="00F052E2" w:rsidP="0010095E">
            <w:pPr>
              <w:pStyle w:val="EPName"/>
            </w:pPr>
            <w:r w:rsidRPr="005B1B52">
              <w:t>Europaparlamentet</w:t>
            </w:r>
          </w:p>
          <w:p w:rsidR="00751A4A" w:rsidRPr="005B1B52" w:rsidRDefault="00817416" w:rsidP="00756632">
            <w:pPr>
              <w:pStyle w:val="EPTerm"/>
              <w:rPr>
                <w:rStyle w:val="HideTWBExt"/>
                <w:noProof w:val="0"/>
                <w:vanish w:val="0"/>
                <w:color w:val="auto"/>
              </w:rPr>
            </w:pPr>
            <w:r w:rsidRPr="005B1B52">
              <w:t>2019-2024</w:t>
            </w:r>
          </w:p>
        </w:tc>
        <w:tc>
          <w:tcPr>
            <w:tcW w:w="2268" w:type="dxa"/>
            <w:shd w:val="clear" w:color="auto" w:fill="auto"/>
          </w:tcPr>
          <w:p w:rsidR="00751A4A" w:rsidRPr="005B1B52" w:rsidRDefault="00187494" w:rsidP="0010095E">
            <w:pPr>
              <w:pStyle w:val="EPLogo"/>
            </w:pPr>
            <w:r w:rsidRPr="005B1B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1B52" w:rsidRDefault="00D058B8" w:rsidP="004C5D52">
      <w:pPr>
        <w:pStyle w:val="LineTop"/>
      </w:pPr>
    </w:p>
    <w:p w:rsidR="00680577" w:rsidRPr="005B1B52" w:rsidRDefault="00F052E2" w:rsidP="00680577">
      <w:pPr>
        <w:pStyle w:val="EPBodyTA1"/>
      </w:pPr>
      <w:r w:rsidRPr="005B1B52">
        <w:t>ANTAGNA TEXTER</w:t>
      </w:r>
    </w:p>
    <w:p w:rsidR="00D058B8" w:rsidRPr="005B1B52" w:rsidRDefault="00D058B8" w:rsidP="00D058B8">
      <w:pPr>
        <w:pStyle w:val="LineBottom"/>
      </w:pPr>
    </w:p>
    <w:p w:rsidR="00F052E2" w:rsidRPr="005B1B52" w:rsidRDefault="00F052E2" w:rsidP="00F052E2">
      <w:pPr>
        <w:pStyle w:val="ATHeading1"/>
      </w:pPr>
      <w:bookmarkStart w:id="0" w:name="TANumber"/>
      <w:r w:rsidRPr="005B1B52">
        <w:t>P9_TA(2024)00</w:t>
      </w:r>
      <w:r w:rsidR="005B1B52" w:rsidRPr="005B1B52">
        <w:t>28</w:t>
      </w:r>
      <w:bookmarkEnd w:id="0"/>
    </w:p>
    <w:p w:rsidR="00F052E2" w:rsidRPr="005B1B52" w:rsidRDefault="00F052E2" w:rsidP="00F052E2">
      <w:pPr>
        <w:pStyle w:val="ATHeading2"/>
      </w:pPr>
      <w:bookmarkStart w:id="1" w:name="title"/>
      <w:r w:rsidRPr="005B1B52">
        <w:t>Säkerhets- och försvarsmässiga konsekvenser av Kinas inflytande på kritisk infrastruktur i Europeiska unionen</w:t>
      </w:r>
      <w:bookmarkEnd w:id="1"/>
    </w:p>
    <w:p w:rsidR="00F052E2" w:rsidRPr="005B1B52" w:rsidRDefault="00F052E2" w:rsidP="00F052E2">
      <w:pPr>
        <w:rPr>
          <w:i/>
          <w:vanish/>
        </w:rPr>
      </w:pPr>
      <w:r w:rsidRPr="005B1B52">
        <w:rPr>
          <w:i/>
        </w:rPr>
        <w:fldChar w:fldCharType="begin"/>
      </w:r>
      <w:r w:rsidRPr="005B1B52">
        <w:rPr>
          <w:i/>
        </w:rPr>
        <w:instrText xml:space="preserve"> TC"(</w:instrText>
      </w:r>
      <w:bookmarkStart w:id="2" w:name="DocNumber"/>
      <w:r w:rsidRPr="005B1B52">
        <w:rPr>
          <w:i/>
        </w:rPr>
        <w:instrText>A9-0401/2023</w:instrText>
      </w:r>
      <w:bookmarkEnd w:id="2"/>
      <w:r w:rsidRPr="005B1B52">
        <w:rPr>
          <w:i/>
        </w:rPr>
        <w:instrText xml:space="preserve"> - Föredragande: Klemen Grošelj)"\l3 \n&gt; \* MERGEFORMAT </w:instrText>
      </w:r>
      <w:r w:rsidRPr="005B1B52">
        <w:rPr>
          <w:i/>
        </w:rPr>
        <w:fldChar w:fldCharType="end"/>
      </w:r>
    </w:p>
    <w:p w:rsidR="00F052E2" w:rsidRPr="005B1B52" w:rsidRDefault="00F052E2" w:rsidP="00F052E2">
      <w:pPr>
        <w:rPr>
          <w:vanish/>
        </w:rPr>
      </w:pPr>
      <w:bookmarkStart w:id="3" w:name="Commission"/>
      <w:r w:rsidRPr="005B1B52">
        <w:rPr>
          <w:vanish/>
        </w:rPr>
        <w:t>Utskottet för utrikesfrågor</w:t>
      </w:r>
      <w:bookmarkEnd w:id="3"/>
    </w:p>
    <w:p w:rsidR="00F052E2" w:rsidRPr="005B1B52" w:rsidRDefault="00F052E2" w:rsidP="00F052E2">
      <w:pPr>
        <w:rPr>
          <w:vanish/>
        </w:rPr>
      </w:pPr>
      <w:bookmarkStart w:id="4" w:name="PE"/>
      <w:r w:rsidRPr="005B1B52">
        <w:rPr>
          <w:vanish/>
        </w:rPr>
        <w:t>PE750.176</w:t>
      </w:r>
      <w:bookmarkEnd w:id="4"/>
    </w:p>
    <w:p w:rsidR="00F052E2" w:rsidRPr="005B1B52" w:rsidRDefault="00F052E2" w:rsidP="00F052E2">
      <w:pPr>
        <w:pStyle w:val="ATHeading3"/>
      </w:pPr>
      <w:bookmarkStart w:id="5" w:name="Sujet"/>
      <w:r w:rsidRPr="005B1B52">
        <w:t xml:space="preserve">Europaparlamentets resolution av den </w:t>
      </w:r>
      <w:r w:rsidR="006A6504" w:rsidRPr="005B1B52">
        <w:t>17</w:t>
      </w:r>
      <w:r w:rsidRPr="005B1B52">
        <w:t xml:space="preserve"> </w:t>
      </w:r>
      <w:r w:rsidR="006A6504" w:rsidRPr="005B1B52">
        <w:t>januari</w:t>
      </w:r>
      <w:r w:rsidRPr="005B1B52">
        <w:t xml:space="preserve"> 2024 om säkerhets- och försvarsmässiga konsekvenser av Kinas inflytande på kritisk infrastruktur i Europeiska unionen</w:t>
      </w:r>
      <w:bookmarkEnd w:id="5"/>
      <w:r w:rsidRPr="005B1B52">
        <w:t xml:space="preserve"> </w:t>
      </w:r>
      <w:bookmarkStart w:id="6" w:name="References"/>
      <w:r w:rsidRPr="005B1B52">
        <w:t>(2023/2072(INI))</w:t>
      </w:r>
      <w:bookmarkEnd w:id="6"/>
    </w:p>
    <w:p w:rsidR="00F052E2" w:rsidRPr="005B1B52" w:rsidRDefault="00F052E2" w:rsidP="00F052E2"/>
    <w:p w:rsidR="00B74447" w:rsidRPr="005B1B52" w:rsidRDefault="00B74447" w:rsidP="00B74447">
      <w:pPr>
        <w:pStyle w:val="Normal12"/>
      </w:pPr>
      <w:bookmarkStart w:id="7" w:name="TextBodyBegin"/>
      <w:bookmarkEnd w:id="7"/>
      <w:r w:rsidRPr="005B1B52">
        <w:rPr>
          <w:i/>
        </w:rPr>
        <w:t>Europaparlamentet utfärdar denna resolution</w:t>
      </w:r>
    </w:p>
    <w:p w:rsidR="00B74447" w:rsidRPr="005B1B52" w:rsidRDefault="00B74447" w:rsidP="00B74447">
      <w:pPr>
        <w:pStyle w:val="NormalHanging"/>
      </w:pPr>
      <w:r w:rsidRPr="005B1B52">
        <w:t>–</w:t>
      </w:r>
      <w:r w:rsidRPr="005B1B52">
        <w:tab/>
        <w:t>med beaktande av fördraget om Europeiska unionens funktionssätt,</w:t>
      </w:r>
    </w:p>
    <w:p w:rsidR="00B74447" w:rsidRPr="005B1B52" w:rsidRDefault="00B74447" w:rsidP="00B74447">
      <w:pPr>
        <w:pStyle w:val="NormalHanging"/>
      </w:pPr>
      <w:r w:rsidRPr="005B1B52">
        <w:t>–</w:t>
      </w:r>
      <w:r w:rsidRPr="005B1B52">
        <w:tab/>
        <w:t>med beaktande av avdelning V i fördraget om Europeiska unionen, särskilt kapitel 2 avsnitt 2 med bestämmelser om den gemensamma säkerhets- och försvarspolitiken,</w:t>
      </w:r>
    </w:p>
    <w:p w:rsidR="00B74447" w:rsidRPr="005B1B52" w:rsidRDefault="00B74447" w:rsidP="00B74447">
      <w:pPr>
        <w:pStyle w:val="NormalHanging12a"/>
      </w:pPr>
      <w:r w:rsidRPr="005B1B52">
        <w:t>–</w:t>
      </w:r>
      <w:r w:rsidRPr="005B1B52">
        <w:tab/>
        <w:t xml:space="preserve">med beaktande av </w:t>
      </w:r>
      <w:r w:rsidRPr="005B1B52">
        <w:rPr>
          <w:i/>
          <w:iCs/>
        </w:rPr>
        <w:t>En strategisk kompass för säkerhet och försvar – För ett EU som skyddar sina medborgare, värden och intressen och bidrar till internationell fred och säkerhet</w:t>
      </w:r>
      <w:r w:rsidRPr="005B1B52">
        <w:t>, som godkändes av rådet den 21 mars 2022 och av Europeiska rådet den 25 mars 2022,</w:t>
      </w:r>
    </w:p>
    <w:p w:rsidR="00B74447" w:rsidRPr="005B1B52" w:rsidRDefault="00B74447" w:rsidP="00B74447">
      <w:pPr>
        <w:pStyle w:val="NormalHanging12a"/>
      </w:pPr>
      <w:r w:rsidRPr="005B1B52">
        <w:t>–</w:t>
      </w:r>
      <w:r w:rsidRPr="005B1B52">
        <w:tab/>
        <w:t>med beaktande av Versaillesförklaringen, som antogs vid stats- och regeringschefernas informella möte den 11 mars 2022,</w:t>
      </w:r>
    </w:p>
    <w:p w:rsidR="00B74447" w:rsidRPr="005B1B52" w:rsidRDefault="00B74447" w:rsidP="00B74447">
      <w:pPr>
        <w:pStyle w:val="NormalHanging"/>
      </w:pPr>
      <w:r w:rsidRPr="005B1B52">
        <w:t>–</w:t>
      </w:r>
      <w:r w:rsidRPr="005B1B52">
        <w:tab/>
        <w:t>med beaktande av det gemensamma meddelandet av den 20 juni 2023 från kommissionen och unionens höga representant för utrikes frågor och säkerhetspolitik om en europeisk strategi för ekonomisk säkerhet (JOIN(2023)0020),</w:t>
      </w:r>
    </w:p>
    <w:p w:rsidR="00B74447" w:rsidRPr="005B1B52" w:rsidRDefault="00B74447" w:rsidP="00B74447">
      <w:pPr>
        <w:spacing w:after="240"/>
        <w:ind w:left="567" w:hanging="425"/>
      </w:pPr>
      <w:r w:rsidRPr="005B1B52">
        <w:t>–</w:t>
      </w:r>
      <w:r w:rsidRPr="005B1B52">
        <w:tab/>
        <w:t>med beaktande av Europaparlamentets och rådets förordning (EU) 2022/2560 av den 14 december 2022 om utländska subventioner som snedvrider den inre marknaden</w:t>
      </w:r>
      <w:r w:rsidRPr="005B1B52">
        <w:rPr>
          <w:rStyle w:val="FootnoteReference"/>
        </w:rPr>
        <w:footnoteReference w:id="1"/>
      </w:r>
      <w:r w:rsidRPr="005B1B52">
        <w:t>,</w:t>
      </w:r>
    </w:p>
    <w:p w:rsidR="00B74447" w:rsidRPr="005B1B52" w:rsidRDefault="00B74447" w:rsidP="00B74447">
      <w:pPr>
        <w:spacing w:after="240"/>
        <w:ind w:left="567" w:hanging="567"/>
      </w:pPr>
      <w:r w:rsidRPr="005B1B52">
        <w:t>–</w:t>
      </w:r>
      <w:r w:rsidRPr="005B1B52">
        <w:tab/>
        <w:t>med beaktande av Europaparlamentets och rådets förordning (EU) 2019/452 av den 19 mars 2019 om upprättande av en ram för granskning av utländska direktinvesteringar i unionen</w:t>
      </w:r>
      <w:r w:rsidRPr="005B1B52">
        <w:rPr>
          <w:rStyle w:val="FootnoteReference"/>
        </w:rPr>
        <w:footnoteReference w:id="2"/>
      </w:r>
      <w:r w:rsidRPr="005B1B52">
        <w:t>,</w:t>
      </w:r>
    </w:p>
    <w:p w:rsidR="00B74447" w:rsidRPr="005B1B52" w:rsidRDefault="00B74447" w:rsidP="00B74447">
      <w:pPr>
        <w:pStyle w:val="NormalHanging"/>
      </w:pPr>
      <w:r w:rsidRPr="005B1B52">
        <w:lastRenderedPageBreak/>
        <w:t>–</w:t>
      </w:r>
      <w:r w:rsidRPr="005B1B52">
        <w:tab/>
        <w:t>med beaktande av Europaparlamentets och rådets direktiv (EU) 2022/2557 av den 14 december 2022 om kritiska entiteters motståndskraft och om upphävande av rådets direktiv 2008/114/EG (direktivet om kritiska entiteters motståndskraft)</w:t>
      </w:r>
      <w:r w:rsidRPr="005B1B52">
        <w:rPr>
          <w:rStyle w:val="FootnoteReference"/>
        </w:rPr>
        <w:footnoteReference w:id="3"/>
      </w:r>
      <w:r w:rsidRPr="005B1B52">
        <w:t>,</w:t>
      </w:r>
    </w:p>
    <w:p w:rsidR="00B74447" w:rsidRPr="005B1B52" w:rsidRDefault="00B74447" w:rsidP="00B74447">
      <w:pPr>
        <w:pStyle w:val="NormalHanging"/>
      </w:pPr>
      <w:r w:rsidRPr="005B1B52">
        <w:t>–</w:t>
      </w:r>
      <w:r w:rsidRPr="005B1B52">
        <w:tab/>
        <w:t>med beaktande av Europaparlamentets och rådets direktiv (EU) 2022/2555 av den 14 december 2022 om åtgärder för en hög gemensam cybersäkerhetsnivå i hela unionen, om ändring av förordning (EU) nr 910/2014 och direktiv (EU) 2018/1972, och om upphävande av direktiv (EU) 2016/1148 (NIS 2-direktivet)</w:t>
      </w:r>
      <w:r w:rsidRPr="005B1B52">
        <w:rPr>
          <w:rStyle w:val="FootnoteReference"/>
        </w:rPr>
        <w:footnoteReference w:id="4"/>
      </w:r>
      <w:r w:rsidRPr="005B1B52">
        <w:t>,</w:t>
      </w:r>
    </w:p>
    <w:p w:rsidR="00B74447" w:rsidRPr="005B1B52" w:rsidRDefault="00B74447" w:rsidP="00B74447">
      <w:pPr>
        <w:pStyle w:val="NormalHanging"/>
      </w:pPr>
      <w:r w:rsidRPr="005B1B52">
        <w:t>–</w:t>
      </w:r>
      <w:r w:rsidRPr="005B1B52">
        <w:tab/>
        <w:t>med beaktande av kommissionens förslag till Europaparlamentets och rådets förordning av den 15 september 2022 om övergripande cybersäkerhetskrav för produkter med digitala element och om ändring av förordning (EU) 2019/1020 (COM(2022)0454),</w:t>
      </w:r>
    </w:p>
    <w:p w:rsidR="00B74447" w:rsidRPr="005B1B52" w:rsidRDefault="00B74447" w:rsidP="00B74447">
      <w:pPr>
        <w:pStyle w:val="NormalHanging"/>
      </w:pPr>
      <w:r w:rsidRPr="005B1B52">
        <w:t>–</w:t>
      </w:r>
      <w:r w:rsidRPr="005B1B52">
        <w:tab/>
        <w:t>med beaktande av Europaparlamentets och rådets förordning (EU) 2023/1781 av den 13 september 2023 om en ram med åtgärder för att stärka Europas halvledarekosystem (förordningen om halvledare)</w:t>
      </w:r>
      <w:r w:rsidRPr="005B1B52">
        <w:rPr>
          <w:rStyle w:val="FootnoteReference"/>
        </w:rPr>
        <w:footnoteReference w:id="5"/>
      </w:r>
      <w:r w:rsidRPr="005B1B52">
        <w:t>,</w:t>
      </w:r>
    </w:p>
    <w:p w:rsidR="00B74447" w:rsidRPr="005B1B52" w:rsidRDefault="00B74447" w:rsidP="00B74447">
      <w:pPr>
        <w:pStyle w:val="NormalHanging"/>
      </w:pPr>
      <w:r w:rsidRPr="005B1B52">
        <w:t>–</w:t>
      </w:r>
      <w:r w:rsidRPr="005B1B52">
        <w:tab/>
        <w:t xml:space="preserve">med beaktande av </w:t>
      </w:r>
      <w:r w:rsidR="006A6504" w:rsidRPr="005B1B52">
        <w:t xml:space="preserve">sin ståndpunkt vid första behandlingen av </w:t>
      </w:r>
      <w:r w:rsidRPr="005B1B52">
        <w:t>Europaparlamentets och rådets förordning om inrättande av en ram för säkerställande av trygg och hållbar försörjning av kritiska råvaror (akten om kritiska råvaror)</w:t>
      </w:r>
      <w:r w:rsidR="006A6504" w:rsidRPr="005B1B52">
        <w:t xml:space="preserve"> i den TA som antogs tillsammans med den icke finaliserade versionen</w:t>
      </w:r>
      <w:r w:rsidRPr="005B1B52">
        <w:rPr>
          <w:rStyle w:val="FootnoteReference"/>
        </w:rPr>
        <w:footnoteReference w:id="6"/>
      </w:r>
      <w:r w:rsidRPr="005B1B52">
        <w:t>,</w:t>
      </w:r>
    </w:p>
    <w:p w:rsidR="00B74447" w:rsidRPr="005B1B52" w:rsidRDefault="00B74447" w:rsidP="00B74447">
      <w:pPr>
        <w:pStyle w:val="NormalHanging"/>
      </w:pPr>
      <w:r w:rsidRPr="005B1B52">
        <w:t>–</w:t>
      </w:r>
      <w:r w:rsidRPr="005B1B52">
        <w:tab/>
        <w:t>med beaktande av Europaparlamentets och rådets förordning (EU) 2023/</w:t>
      </w:r>
      <w:r w:rsidR="006A6504" w:rsidRPr="005B1B52">
        <w:t>2675</w:t>
      </w:r>
      <w:r w:rsidRPr="005B1B52">
        <w:t xml:space="preserve"> av den </w:t>
      </w:r>
      <w:r w:rsidR="006A6504" w:rsidRPr="005B1B52">
        <w:t>22 november 2023</w:t>
      </w:r>
      <w:r w:rsidRPr="005B1B52">
        <w:t xml:space="preserve"> om skydd av unionen och dess medlemsstater mot ekonomiskt tvång från tredjeländer</w:t>
      </w:r>
      <w:r w:rsidRPr="005B1B52">
        <w:rPr>
          <w:rStyle w:val="FootnoteReference"/>
        </w:rPr>
        <w:footnoteReference w:id="7"/>
      </w:r>
      <w:r w:rsidRPr="005B1B52">
        <w:t>,</w:t>
      </w:r>
    </w:p>
    <w:p w:rsidR="00B74447" w:rsidRPr="005B1B52" w:rsidRDefault="00B74447" w:rsidP="00B74447">
      <w:pPr>
        <w:pStyle w:val="NormalHanging"/>
      </w:pPr>
      <w:r w:rsidRPr="005B1B52">
        <w:t>–</w:t>
      </w:r>
      <w:r w:rsidRPr="005B1B52">
        <w:tab/>
        <w:t>med beaktande av sin resolution av den 16 september 2021 om en ny EU–Kina-strategi (2021/2037(INI))</w:t>
      </w:r>
      <w:r w:rsidRPr="005B1B52">
        <w:rPr>
          <w:rStyle w:val="FootnoteReference"/>
        </w:rPr>
        <w:footnoteReference w:id="8"/>
      </w:r>
      <w:r w:rsidRPr="005B1B52">
        <w:t>, som bland annat syftade till att stärka EU:s ”verktygslåda för handel” för att bidra till att minska den nuvarande obalansen i de bilaterala ekonomiska förbindelserna och handelsförbindelserna mellan Kina och EU,</w:t>
      </w:r>
    </w:p>
    <w:p w:rsidR="00B74447" w:rsidRPr="005B1B52" w:rsidRDefault="00B74447" w:rsidP="00B74447">
      <w:pPr>
        <w:pStyle w:val="NormalHanging"/>
      </w:pPr>
      <w:r w:rsidRPr="005B1B52">
        <w:t>–</w:t>
      </w:r>
      <w:r w:rsidRPr="005B1B52">
        <w:tab/>
        <w:t>med beaktande av sina resolutioner av den 9 mars 2022</w:t>
      </w:r>
      <w:r w:rsidRPr="005B1B52">
        <w:rPr>
          <w:rStyle w:val="FootnoteReference"/>
        </w:rPr>
        <w:footnoteReference w:id="9"/>
      </w:r>
      <w:r w:rsidRPr="005B1B52">
        <w:t xml:space="preserve"> och av den 1 juni 2023</w:t>
      </w:r>
      <w:r w:rsidRPr="005B1B52">
        <w:rPr>
          <w:rStyle w:val="FootnoteReference"/>
        </w:rPr>
        <w:footnoteReference w:id="10"/>
      </w:r>
      <w:r w:rsidRPr="005B1B52">
        <w:t xml:space="preserve"> om utländsk inblandning i alla demokratiska processer i Europeiska unionen, inbegripet desinformation,</w:t>
      </w:r>
    </w:p>
    <w:p w:rsidR="00B74447" w:rsidRPr="005B1B52" w:rsidRDefault="00B74447" w:rsidP="00B74447">
      <w:pPr>
        <w:spacing w:after="240"/>
        <w:ind w:left="567" w:hanging="567"/>
      </w:pPr>
      <w:r w:rsidRPr="005B1B52">
        <w:t>–</w:t>
      </w:r>
      <w:r w:rsidRPr="005B1B52">
        <w:tab/>
        <w:t xml:space="preserve">med beaktande av det gemensamma meddelandet till Europaparlamentet, rådet, Europeiska ekonomiska och sociala kommittén, Regionkommittén och Europeiska investeringsbanken av den 1 december 2021 </w:t>
      </w:r>
      <w:r w:rsidRPr="005B1B52">
        <w:rPr>
          <w:i/>
          <w:iCs/>
        </w:rPr>
        <w:t>The Global Gateway</w:t>
      </w:r>
      <w:r w:rsidRPr="005B1B52">
        <w:t xml:space="preserve"> (JOIN(2021)0030),</w:t>
      </w:r>
    </w:p>
    <w:p w:rsidR="00B74447" w:rsidRPr="005B1B52" w:rsidRDefault="00B74447" w:rsidP="00B74447">
      <w:pPr>
        <w:spacing w:after="240"/>
        <w:ind w:left="567" w:hanging="567"/>
      </w:pPr>
      <w:r w:rsidRPr="005B1B52">
        <w:t>–</w:t>
      </w:r>
      <w:r w:rsidRPr="005B1B52">
        <w:tab/>
        <w:t>med beaktande av kommissionens rekommendation av den 3 oktober 2023 om kritisk teknik för EU:s ekonomiska säkerhet för vidare riskbedömning med medlemsstaterna (C(2023)6689),</w:t>
      </w:r>
    </w:p>
    <w:p w:rsidR="00B74447" w:rsidRPr="005B1B52" w:rsidRDefault="00B74447" w:rsidP="00B74447">
      <w:pPr>
        <w:pStyle w:val="NormalHanging"/>
      </w:pPr>
      <w:r w:rsidRPr="005B1B52">
        <w:t>–</w:t>
      </w:r>
      <w:r w:rsidRPr="005B1B52">
        <w:tab/>
        <w:t>med beaktande av rådets rekommendation av den 8 december 2022 om en unionsomfattande samordnad strategi för att stärka den kritiska infrastrukturens motståndskraft</w:t>
      </w:r>
      <w:r w:rsidRPr="005B1B52">
        <w:rPr>
          <w:rStyle w:val="FootnoteReference"/>
        </w:rPr>
        <w:footnoteReference w:id="11"/>
      </w:r>
      <w:r w:rsidRPr="005B1B52">
        <w:t>,</w:t>
      </w:r>
    </w:p>
    <w:p w:rsidR="00B74447" w:rsidRPr="005B1B52" w:rsidRDefault="00B74447" w:rsidP="00B74447">
      <w:pPr>
        <w:pStyle w:val="NormalHanging"/>
      </w:pPr>
      <w:r w:rsidRPr="005B1B52">
        <w:t>–</w:t>
      </w:r>
      <w:r w:rsidRPr="005B1B52">
        <w:tab/>
        <w:t>med beaktande av kommunikén från toppmötet i Vilnius, som antogs av de stats- och regeringschefer för Natoländer som deltog i mötet i Nordatlantiska rådet i Vilnius den 11 juli 2023,</w:t>
      </w:r>
    </w:p>
    <w:p w:rsidR="00B74447" w:rsidRPr="005B1B52" w:rsidRDefault="00B74447" w:rsidP="00B74447">
      <w:pPr>
        <w:tabs>
          <w:tab w:val="left" w:pos="567"/>
        </w:tabs>
        <w:spacing w:after="240"/>
        <w:ind w:left="567" w:hanging="567"/>
      </w:pPr>
      <w:r w:rsidRPr="005B1B52">
        <w:t>–</w:t>
      </w:r>
      <w:r w:rsidRPr="005B1B52">
        <w:tab/>
        <w:t>med beaktande av den slutliga utvärderingsrapporten av den 29 juni 2023 från Natos och EU:s arbetsgrupp för den kritiska infrastrukturens motståndskraft,</w:t>
      </w:r>
    </w:p>
    <w:p w:rsidR="00B74447" w:rsidRPr="005B1B52" w:rsidRDefault="00B74447" w:rsidP="00B74447">
      <w:pPr>
        <w:spacing w:after="240"/>
        <w:ind w:left="567" w:hanging="567"/>
      </w:pPr>
      <w:r w:rsidRPr="005B1B52">
        <w:t>–</w:t>
      </w:r>
      <w:r w:rsidRPr="005B1B52">
        <w:tab/>
        <w:t xml:space="preserve">med beaktande av den gemensamma förklaringen av den 10 januari 2023 om samarbetet mellan EU och Nato, </w:t>
      </w:r>
    </w:p>
    <w:p w:rsidR="00B74447" w:rsidRPr="005B1B52" w:rsidRDefault="00B74447" w:rsidP="00B74447">
      <w:pPr>
        <w:spacing w:after="240"/>
        <w:ind w:left="567" w:hanging="567"/>
      </w:pPr>
      <w:r w:rsidRPr="005B1B52">
        <w:t>–</w:t>
      </w:r>
      <w:r w:rsidRPr="005B1B52">
        <w:tab/>
        <w:t>med beaktande av G7-ledarnas kommuniké från Hiroshima av den 20 maj 2023,</w:t>
      </w:r>
    </w:p>
    <w:p w:rsidR="00B74447" w:rsidRPr="005B1B52" w:rsidRDefault="00B74447" w:rsidP="00B74447">
      <w:pPr>
        <w:spacing w:after="240"/>
        <w:ind w:left="567" w:hanging="567"/>
      </w:pPr>
      <w:r w:rsidRPr="005B1B52">
        <w:t>–</w:t>
      </w:r>
      <w:r w:rsidRPr="005B1B52">
        <w:tab/>
        <w:t>med beaktande av rådets slutsatser om den reviderade EU-strategin för sjöfartsskydd och dess handlingsplan av den 24 oktober 2023,</w:t>
      </w:r>
    </w:p>
    <w:p w:rsidR="00B74447" w:rsidRPr="005B1B52" w:rsidRDefault="00B74447" w:rsidP="00B74447">
      <w:pPr>
        <w:pStyle w:val="NormalHanging"/>
      </w:pPr>
      <w:r w:rsidRPr="005B1B52">
        <w:t>–</w:t>
      </w:r>
      <w:r w:rsidRPr="005B1B52">
        <w:tab/>
        <w:t>med beaktande av artikel 54 i arbetsordningen,</w:t>
      </w:r>
    </w:p>
    <w:p w:rsidR="00B74447" w:rsidRPr="005B1B52" w:rsidRDefault="00B74447" w:rsidP="00B74447">
      <w:pPr>
        <w:pStyle w:val="NormalHanging"/>
      </w:pPr>
      <w:r w:rsidRPr="005B1B52">
        <w:t>–</w:t>
      </w:r>
      <w:r w:rsidRPr="005B1B52">
        <w:tab/>
        <w:t>med beaktande av yttrandet från utskottet för internationell handel,</w:t>
      </w:r>
    </w:p>
    <w:p w:rsidR="00B74447" w:rsidRPr="005B1B52" w:rsidRDefault="00B74447" w:rsidP="00B74447">
      <w:pPr>
        <w:pStyle w:val="NormalHanging"/>
      </w:pPr>
      <w:r w:rsidRPr="005B1B52">
        <w:t>–</w:t>
      </w:r>
      <w:r w:rsidRPr="005B1B52">
        <w:tab/>
        <w:t>med beaktande av betänkandet från utskottet för utrikesfrågor (A9-0401/2023), och av följande skäl:</w:t>
      </w:r>
    </w:p>
    <w:p w:rsidR="00B74447" w:rsidRPr="005B1B52" w:rsidRDefault="00B74447" w:rsidP="00B74447">
      <w:pPr>
        <w:pStyle w:val="Normal12"/>
        <w:rPr>
          <w:szCs w:val="24"/>
        </w:rPr>
      </w:pPr>
      <w:r w:rsidRPr="005B1B52">
        <w:t>A.</w:t>
      </w:r>
      <w:r w:rsidRPr="005B1B52">
        <w:tab/>
        <w:t>Det nyligen offentliggjorda gemensamma meddelandet om en europeisk strategi för ekonomisk säkerhet är inriktat på att minimera och hantera de risker som uppstår till följd av vissa ekonomiska flöden och EU:s beroende av auktoritära och totalitära regimer som Folkrepubliken Kina mot bakgrund av ökade geopolitiska spänningar och snabbare tekniska förändringar, samtidigt som principerna om den fria marknaden skyddas från snedvridning av sådana regimer och största möjliga ekonomiska öppenhet och dynamik därigenom bevaras.</w:t>
      </w:r>
    </w:p>
    <w:p w:rsidR="00B74447" w:rsidRPr="005B1B52" w:rsidRDefault="00B74447" w:rsidP="00B74447">
      <w:pPr>
        <w:pStyle w:val="Normal12"/>
        <w:rPr>
          <w:szCs w:val="24"/>
        </w:rPr>
      </w:pPr>
      <w:r w:rsidRPr="005B1B52">
        <w:t>B.</w:t>
      </w:r>
      <w:r w:rsidRPr="005B1B52">
        <w:tab/>
        <w:t>Störningar i kritisk infrastruktur kan få betydande negativa konsekvenser för centrala statliga funktioner, samhällsviktiga tjänster för befolkningen, ekonomisk verksamhet samt EU:s säkerhet och försvar. Det är ytterst viktigt att medlemsstaterna och kommissionen är vaksamma när det gäller finansiella investeringar som främmande länder gör i driften av kritiska entiteter inom EU och de konsekvenser som sådana investeringar kan få för förmågan att förebygga betydande störningar.</w:t>
      </w:r>
    </w:p>
    <w:p w:rsidR="00B74447" w:rsidRPr="005B1B52" w:rsidRDefault="00B74447" w:rsidP="00B74447">
      <w:pPr>
        <w:spacing w:after="240"/>
        <w:ind w:left="567" w:hanging="567"/>
        <w:rPr>
          <w:szCs w:val="24"/>
        </w:rPr>
      </w:pPr>
      <w:r w:rsidRPr="005B1B52">
        <w:t>C.</w:t>
      </w:r>
      <w:r w:rsidRPr="005B1B52">
        <w:tab/>
        <w:t>Direktivet om kritiska entiteters motståndskraft</w:t>
      </w:r>
      <w:r w:rsidRPr="005B1B52">
        <w:rPr>
          <w:rStyle w:val="FootnoteReference"/>
          <w:szCs w:val="24"/>
        </w:rPr>
        <w:footnoteReference w:id="12"/>
      </w:r>
      <w:r w:rsidRPr="005B1B52">
        <w:t xml:space="preserve"> och NIS 2-direktivet</w:t>
      </w:r>
      <w:r w:rsidRPr="005B1B52">
        <w:rPr>
          <w:rStyle w:val="FootnoteReference"/>
          <w:szCs w:val="24"/>
        </w:rPr>
        <w:footnoteReference w:id="13"/>
      </w:r>
      <w:r w:rsidRPr="005B1B52">
        <w:t xml:space="preserve"> utgör en övergripande rättslig ram som stärker både den fysiska och digitala motståndskraften hos kritisk infrastruktur, inbegripet för energi, transporter, sjukvård, digital infrastruktur, vatten och livsmedel.</w:t>
      </w:r>
    </w:p>
    <w:p w:rsidR="00B74447" w:rsidRPr="005B1B52" w:rsidRDefault="00B74447" w:rsidP="00B74447">
      <w:pPr>
        <w:pStyle w:val="Normal12"/>
        <w:rPr>
          <w:szCs w:val="24"/>
        </w:rPr>
      </w:pPr>
      <w:r w:rsidRPr="005B1B52">
        <w:t>D.</w:t>
      </w:r>
      <w:r w:rsidRPr="005B1B52">
        <w:tab/>
        <w:t>Efter att rådet utfärdade sin rekommendation av den 8 december 2022 har redan riktade åtgärder genomförts för att säkerställa en gemensam reaktion från EU på incidenter, bland annat genom stärkt samordning med Nato genom EU:s och Natos arbetsgrupp för den kritiska infrastrukturens motståndskraft, som ingår i den strukturerade dialogen mellan EU och Nato om motståndskraft.</w:t>
      </w:r>
    </w:p>
    <w:p w:rsidR="00B74447" w:rsidRPr="005B1B52" w:rsidRDefault="00B74447" w:rsidP="00B74447">
      <w:pPr>
        <w:spacing w:after="240"/>
        <w:ind w:left="567" w:hanging="567"/>
        <w:rPr>
          <w:szCs w:val="24"/>
        </w:rPr>
      </w:pPr>
      <w:r w:rsidRPr="005B1B52">
        <w:t>E.</w:t>
      </w:r>
      <w:r w:rsidRPr="005B1B52">
        <w:tab/>
        <w:t>Europeiska hamnar där kinesiska statsägda företag har andelar hanterar mer än 10 % av Europas totala fraktcontainerkapacitet. De tre största kinesiska andelsägarna i europeiska hamnar har tillgångar i nästan hälften av de hamnar (14 av 29) som antingen ligger nära marina baser eller tillhandahåller logistiskt stöd till Natostyrkor, vilket avsevärt ökar risken för spionage.</w:t>
      </w:r>
    </w:p>
    <w:p w:rsidR="00B74447" w:rsidRPr="005B1B52" w:rsidRDefault="00B74447" w:rsidP="00B74447">
      <w:pPr>
        <w:pStyle w:val="Normal12"/>
        <w:rPr>
          <w:szCs w:val="24"/>
        </w:rPr>
      </w:pPr>
      <w:r w:rsidRPr="005B1B52">
        <w:t>F.</w:t>
      </w:r>
      <w:r w:rsidRPr="005B1B52">
        <w:tab/>
        <w:t>Folkrepubliken Kinas maktpolitik och tilltagande självsäkerhet, med en allt aggressivare hållning gentemot Taiwan och ett aggressivt uppträdande i Sydkinesiska havet, liksom de sociala och ekonomiska konsekvenserna av covid-19-pandemin och Rysslands anfallskrig mot Ukraina, har blottlagt EU:s sårbarheter och bekräftat att det är nödvändigt att ”riskminimera” unionens förbindelser med Kina och andra odemokratiska tredjeländer.</w:t>
      </w:r>
    </w:p>
    <w:p w:rsidR="00B74447" w:rsidRPr="005B1B52" w:rsidRDefault="00B74447" w:rsidP="00B74447">
      <w:pPr>
        <w:pStyle w:val="Normal12"/>
        <w:rPr>
          <w:szCs w:val="24"/>
        </w:rPr>
      </w:pPr>
      <w:r w:rsidRPr="005B1B52">
        <w:t>G.</w:t>
      </w:r>
      <w:r w:rsidRPr="005B1B52">
        <w:tab/>
        <w:t>Den kinesiska regeringen har visat att den är villig att använda sin överväldigande kontroll över de globala leveranserna av sällsynta jordartsmetaller som vapen för politiska syften och för att få till stånd oskäliga ekonomiska eftergifter och fördelar.</w:t>
      </w:r>
    </w:p>
    <w:p w:rsidR="00B74447" w:rsidRPr="005B1B52" w:rsidRDefault="00B74447" w:rsidP="00B74447">
      <w:pPr>
        <w:pStyle w:val="Normal12"/>
        <w:rPr>
          <w:szCs w:val="24"/>
        </w:rPr>
      </w:pPr>
      <w:r w:rsidRPr="005B1B52">
        <w:t>H.</w:t>
      </w:r>
      <w:r w:rsidRPr="005B1B52">
        <w:tab/>
        <w:t>Kina begränsar möjligheten för icke-kinesiska företag att delta i infrastrukturprojekt med hänvisning till säkerhetsriskerna och lägger fram lagstiftning om kritisk infrastruktur, såsom förordningarna om skydd av kritisk informationsinfrastruktur. Kina deltar i byggandet av EU-finansierad infrastruktur i olika EU-medlemsstater. I enlighet med internationella åtaganden är det möjligt för EU och medlemsstaterna att anta restriktiva åtgärder mot utländska direktinvesteringar med hänsyn till säkerhet eller allmän ordning, med förbehåll för vissa krav. 2021–22 inledde Kina en ekonomisk blockad mot Litauen som svar på Litauens beslut att dra sig ur initiativet ”Ett bälte, en väg” och att öppna ett taiwanesiskt representationskontor i Litauen, vilket ledde till att kommissionen begärde att Världshandelsorganisationen skulle inrätta en panel för att undersöka lagligheten i Kinas handelsrestriktioner mot litauisk export och EU-export med litauiskt innehåll. Detta visar Kinas beslutsamhet i att göra specifika EU-länder till måltavlor, inte bara genom direkt ekonomiskt tvång, utan också genom hot om indirekta sanktioner.</w:t>
      </w:r>
    </w:p>
    <w:p w:rsidR="00B74447" w:rsidRPr="005B1B52" w:rsidRDefault="00B74447" w:rsidP="00B74447">
      <w:pPr>
        <w:pStyle w:val="Normal12"/>
        <w:rPr>
          <w:szCs w:val="24"/>
        </w:rPr>
      </w:pPr>
      <w:r w:rsidRPr="005B1B52">
        <w:t>I.</w:t>
      </w:r>
      <w:r w:rsidRPr="005B1B52">
        <w:tab/>
        <w:t>Spridningen av Kinas digitala auktoritära styre och massövervakning fortsätter att intensifieras både inom och utanför Kina, där demokratiska institutioner och samhällen blir utsatta, och riskerar att skapa en ny världsordning som skulle äventyra friheten och demokratin runt om i världen. Ett stort antal kinesiska studenter studerar vid universitet i medlemsstaterna, särskilt på området teknik med dubbla användningsområden, vilket i vissa fall kan leda till en hög risk för spionage. Tidigare europeiska stridspiloter har anställts av den kinesiska armén, och en sådan rekrytering skapar en allvarlig risk för överföring av kritisk information, vilket äventyrar de berörda ländernas militärstrategiska intressen. Kinas ambitioner växer på strategiska områden som AI, molntjänster, halvledare och hårdvara. Dessa instrument, särskilt AI, skulle kunna utvecklas för militära ändamål och driva på nästa revolution på det militära området.</w:t>
      </w:r>
    </w:p>
    <w:p w:rsidR="00B74447" w:rsidRPr="005B1B52" w:rsidRDefault="00B74447" w:rsidP="00B74447">
      <w:pPr>
        <w:tabs>
          <w:tab w:val="left" w:pos="567"/>
        </w:tabs>
        <w:spacing w:after="240"/>
        <w:ind w:left="567" w:hanging="567"/>
        <w:rPr>
          <w:szCs w:val="24"/>
        </w:rPr>
      </w:pPr>
      <w:r w:rsidRPr="005B1B52">
        <w:t>J.</w:t>
      </w:r>
      <w:r w:rsidRPr="005B1B52">
        <w:tab/>
        <w:t>Kinas förvärv av kritisk infrastruktur, särskilt i EU och i dess grannskap, inbegripet västra Balkan och Afrika, utgör en allt större flerdimensionell risk för EU:s säkerhet.</w:t>
      </w:r>
    </w:p>
    <w:p w:rsidR="00B74447" w:rsidRPr="005B1B52" w:rsidRDefault="00B74447" w:rsidP="00B74447">
      <w:pPr>
        <w:tabs>
          <w:tab w:val="left" w:pos="567"/>
        </w:tabs>
        <w:spacing w:after="240"/>
        <w:ind w:left="567" w:hanging="567"/>
        <w:rPr>
          <w:szCs w:val="24"/>
        </w:rPr>
      </w:pPr>
      <w:r w:rsidRPr="005B1B52">
        <w:t>K.</w:t>
      </w:r>
      <w:r w:rsidRPr="005B1B52">
        <w:tab/>
        <w:t>Enligt Kinas nationella säkerhetslagstiftning, såsom Folkrepubliken Kinas nationella säkerhetslag från 2015, ska medborgare och organisationer tillhandahålla stöd och bistånd till Kinas allmänna säkerhet, statliga säkerhet eller militära organ.</w:t>
      </w:r>
    </w:p>
    <w:p w:rsidR="00B74447" w:rsidRPr="005B1B52" w:rsidRDefault="00B74447" w:rsidP="00B74447">
      <w:pPr>
        <w:pStyle w:val="Normal12"/>
        <w:rPr>
          <w:rFonts w:cs="Myriad Pro"/>
          <w:szCs w:val="22"/>
        </w:rPr>
      </w:pPr>
      <w:r w:rsidRPr="005B1B52">
        <w:t>L.</w:t>
      </w:r>
      <w:r w:rsidRPr="005B1B52">
        <w:tab/>
        <w:t>Det strategiska kinesisk-ryska partnerskap som formaliserades genom det gemensamma uttalandet ”om de internationella förbindelser som går in i en ny era och den globala hållbara utvecklingen” av den 4 februari 2022 fortsätter att växa, bland annat på områdena teknik och militär expertis och kapacitetsöverföring, vilket utgör ett växande hot mot den europeiska säkerheten.</w:t>
      </w:r>
    </w:p>
    <w:p w:rsidR="00B74447" w:rsidRPr="005B1B52" w:rsidRDefault="00B74447" w:rsidP="00B74447">
      <w:pPr>
        <w:pStyle w:val="Normal12"/>
        <w:rPr>
          <w:rStyle w:val="BoldItalic"/>
        </w:rPr>
      </w:pPr>
      <w:r w:rsidRPr="005B1B52">
        <w:rPr>
          <w:rStyle w:val="BoldItalic"/>
        </w:rPr>
        <w:t>Problemets kärna: att förstå Kinas strategi för militär-civil sammansmältning</w:t>
      </w:r>
    </w:p>
    <w:p w:rsidR="00B74447" w:rsidRPr="005B1B52" w:rsidRDefault="00B74447" w:rsidP="00B74447">
      <w:pPr>
        <w:pStyle w:val="Normal12"/>
      </w:pPr>
      <w:r w:rsidRPr="005B1B52">
        <w:t>1.</w:t>
      </w:r>
      <w:r w:rsidRPr="005B1B52">
        <w:tab/>
        <w:t>Europaparlamentet understryker att Kinas strategi för militär-civil sammansmältning är ett statslett och statsstyrt program som inbegriper planer på att utnyttja alla statliga och kommersiella maktmedel för att stärka och stödja Kinas kommunistiska parti och dess väpnade gren, Folkets befrielsearmé (FBA), särskilt genom att förvärva och avleda världens spetsteknologi, i syfte att stärka den totalitära regimen och uppnå militär dominans.</w:t>
      </w:r>
    </w:p>
    <w:p w:rsidR="00B74447" w:rsidRPr="005B1B52" w:rsidRDefault="00B74447" w:rsidP="00B74447">
      <w:pPr>
        <w:pStyle w:val="Normal12"/>
      </w:pPr>
      <w:r w:rsidRPr="005B1B52">
        <w:t>2.</w:t>
      </w:r>
      <w:r w:rsidRPr="005B1B52">
        <w:tab/>
        <w:t>Europaparlamentet anser att Kinas partidrivna politiska system och ekonomi ofta kräver att privata företag anpassar sina kommersiella intressen till kommunistpartiet, inbegripet dess militära verksamhet, förtryck, påverkansoperationer och politiska inblandning. Kommunistpartiets celler i privata företag används ofta som verktyg för direkt partikontroll. Parlamentet betonar att kinesiska företags internationella verksamhet följaktligen stöder kommunistpartiets mål att utöka sitt inflytande i tredjeländer, vilket undergräver geopolitiska rivaler och ökar Kinas inflytande.</w:t>
      </w:r>
    </w:p>
    <w:p w:rsidR="00B74447" w:rsidRPr="005B1B52" w:rsidRDefault="00B74447" w:rsidP="00B74447">
      <w:pPr>
        <w:pStyle w:val="Normal12"/>
      </w:pPr>
      <w:r w:rsidRPr="005B1B52">
        <w:t>3.</w:t>
      </w:r>
      <w:r w:rsidRPr="005B1B52">
        <w:tab/>
        <w:t>Europaparlamentet anser att begreppet militär-civil sammansmältning måste förstås i ett större geopolitiskt, ekonomiskt och strategiskt sammanhang, med beaktande av dess kopplingar till andra initiativ, såsom initiativet ”Ett bälte, en väg”, den digitala sidenvägen (inklusive ”Made in China 2025” och ”China Standards 2035”) och det globala säkerhetsinitiativet, strategin för ”dubbel cirkulation” samt Kinas tilltagande självsäkerhet och aggressiva uppträdande utomlands. Parlamentet anser att det slutliga målet för den militär-civila sammansmältningen är att främja partistatens långsiktiga strategiska mål att bli världens ledande stormakt när det gäller politiskt inflytande, ekonomisk kapacitet, teknisk dominans och militär makt och att undergräva den regelbaserade världsordningen.</w:t>
      </w:r>
    </w:p>
    <w:p w:rsidR="00B74447" w:rsidRPr="005B1B52" w:rsidRDefault="00B74447" w:rsidP="00B74447">
      <w:pPr>
        <w:pStyle w:val="Normal12"/>
      </w:pPr>
      <w:r w:rsidRPr="005B1B52">
        <w:t>4.</w:t>
      </w:r>
      <w:r w:rsidRPr="005B1B52">
        <w:tab/>
        <w:t>Europaparlamentet påminner om att uppnåendet av företräde inom vetenskap och teknik har varit en av kommunistpartiets främsta prioriteringar under de senaste åren och att kommunistpartiets strategi för militär-civil sammansmältning ger incitament till utbyte av forsknings- och utvecklingsresultat mellan marknadsorienterade och kinesiska försvarsindustrier. Parlamentet framhåller underrättelsetjänsternas upprepade varningar om riskerna för ekonomiskt beroende, spionage och sabotage som orsakas av den ekonomiska närvaron av enheter från vissa tredjeländer, i synnerhet Kina, inom kritisk infrastruktur och strategiska sektorer i hela EU. Parlamentet är i detta avseende oroat över de politiska påtryckningar som utövats i samband med godkännandet av specifika kinesiska investeringar i kritisk infrastruktur, såsom i fallet med den tyska regeringens beslut att samtycka till Coscos förvärv av en andel i Hamburgs hamn, i strid med de behöriga institutionernas råd.</w:t>
      </w:r>
    </w:p>
    <w:p w:rsidR="00B74447" w:rsidRPr="005B1B52" w:rsidRDefault="00B74447" w:rsidP="00B74447">
      <w:pPr>
        <w:pStyle w:val="Normal12"/>
        <w:ind w:left="0" w:firstLine="0"/>
        <w:rPr>
          <w:i/>
        </w:rPr>
      </w:pPr>
      <w:r w:rsidRPr="005B1B52">
        <w:rPr>
          <w:b/>
          <w:i/>
        </w:rPr>
        <w:t>Konsekvenser av Kinas strategi för militär-civil sammansmältning</w:t>
      </w:r>
    </w:p>
    <w:p w:rsidR="00B74447" w:rsidRPr="005B1B52" w:rsidRDefault="00B74447" w:rsidP="00B74447">
      <w:pPr>
        <w:pStyle w:val="Normal12"/>
      </w:pPr>
      <w:r w:rsidRPr="005B1B52">
        <w:t>5.</w:t>
      </w:r>
      <w:r w:rsidRPr="005B1B52">
        <w:tab/>
        <w:t>Europaparlamentet varnar för risken med att låta kinesiska företag ha något som helst att göra med EU:s strategiska tillgångar, särskilt de företag som har direkta eller indirekta kopplingar till Kinas politisk-militära system eller underrättelsesystem. Parlamentet understryker i detta avseende sin oro över att teknik och teknisk expertis som används inom civil verksamhet, särskilt på det ekonomiska området, fortsätter att överföras till Kinas militära styrkor, vilket ökar FBA:s förmåga att utveckla nästa generations militära teknik, som kan användas för att sätta partner i Asien och runt om i världen under tvång. Parlamentet uppmanar eftertryckligen EU:s medlemsstater att öka tillsynen och införa särskilda bakgrundskontroller av personer och juridiska enheter med direkt anknytning till den kinesiska regeringen.</w:t>
      </w:r>
    </w:p>
    <w:p w:rsidR="00B74447" w:rsidRPr="005B1B52" w:rsidRDefault="00B74447" w:rsidP="00B74447">
      <w:pPr>
        <w:pStyle w:val="Normal12"/>
      </w:pPr>
      <w:r w:rsidRPr="005B1B52">
        <w:t>6.</w:t>
      </w:r>
      <w:r w:rsidRPr="005B1B52">
        <w:tab/>
        <w:t>Europaparlamentet är bekymrat över att 98 % av EU:s efterfrågan på sällsynta jordartsmetaller tillgodoses av Kina. Kina producerar 70 % av världens batterier (med tre av de fem största batteritillverkningsjättarna), står för 60 % av den globala aluminiumproduktionen och 75 % av kiselproduktionen, liksom 94 % av den globala produktionen av gallium och omkring 60 % av produktionen av germanium, och är det ledande raffinaderiet med 60 % av litium- och 70 % av kopparbearbetningen och framställer 84 % av världens nickel och 85 % av dess kobolt. Kinesiska gruvföretag är verksamma i Serbien (koppar och guld), Demokratiska republiken Kongo (kobolt), Indonesien (nickel) samt Chile och Australien (litium). Att Kina har näst intill monopol på framställningen och bearbetningen av dessa kritiska råvaror skapar avgörande beroenden och utgör därför inte bara en akut geopolitisk utmaning för EU, utan också en enorm risk för Europas försvarsindustri och andra viktiga industrisektorer samt dess öppna strategiska oberoende och strategi för ekonomisk säkerhet.</w:t>
      </w:r>
    </w:p>
    <w:p w:rsidR="00B74447" w:rsidRPr="005B1B52" w:rsidRDefault="00B74447" w:rsidP="00B74447">
      <w:pPr>
        <w:pStyle w:val="Normal12"/>
      </w:pPr>
      <w:r w:rsidRPr="005B1B52">
        <w:t>7.</w:t>
      </w:r>
      <w:r w:rsidRPr="005B1B52">
        <w:tab/>
        <w:t>Europaparlamentet välkomnar i detta avseende kommissionens förslag till akt om kritiska råvaror och efterlyser ett snabbt genomförande av dess mål för att stärka resiliensen i EU:s försörjningskedja. Parlamentet påminner om att kritiska råvaror är avgörande för säkerhets- och försvarssektorn och för att EU:s digitala och gröna omställning ska lyckas. Parlamentet uppmanar kommissionen och medlemsstaterna att i samordning med intressenter i industrin genomföra beslutet att gradvis minska beroendet av Kina genom att diversifiera källorna till kritiska råvaror och sällsynta jordartsmetaller och upprätta strategiska partnerskap med pålitliga tredjeländer i syfte att säkerställa en säker och tillförlitlig försörjning av kritiska råvaror. EU uppmanas kraftfullt att hjälpa medlemsstaterna att utveckla projekt som syftar till större oberoende från kinesisk produktion.</w:t>
      </w:r>
    </w:p>
    <w:p w:rsidR="00B74447" w:rsidRPr="005B1B52" w:rsidRDefault="00B74447" w:rsidP="00B74447">
      <w:pPr>
        <w:pStyle w:val="Normal12"/>
      </w:pPr>
      <w:r w:rsidRPr="005B1B52">
        <w:t>8.</w:t>
      </w:r>
      <w:r w:rsidRPr="005B1B52">
        <w:tab/>
        <w:t>Europaparlamentet förespråkar starkt diversifiering av leverantörer och partner i initiativ för kritisk infrastruktur för att minska sårbarheten för yttre påverkan och se till att beroendet av en enda källa minimeras.</w:t>
      </w:r>
    </w:p>
    <w:p w:rsidR="00B74447" w:rsidRPr="005B1B52" w:rsidRDefault="00B74447" w:rsidP="00B74447">
      <w:pPr>
        <w:pStyle w:val="Normal12"/>
      </w:pPr>
      <w:r w:rsidRPr="005B1B52">
        <w:t>9.</w:t>
      </w:r>
      <w:r w:rsidRPr="005B1B52">
        <w:tab/>
        <w:t>Europaparlamentet är bekymrat över att privatägda undervattenskablar som tillhandahålls av kinesiska företag, såsom HMN Technologies, en enhet med anknytning till FBA:s cyberunderrättelseverksamhet, används för EU:s och medlemsstaternas diplomatiska och militära kommunikation. Parlamentet uttrycker sin djupa oro över de undervattensdatakabelsystem som drivs av det kinesiska företaget HMN Technologies och som förbinder EU-medlemsstaternas territorier och regionen Indiska oceanen/Stilla havet, inbegripet medlemsstaternas och Natos militära baser, vilket skapar säkerhetssårbarheter med avseende på cybersäkerhet, undervattensövervakning, datainsamling och insamling av underrättelser. Parlamentet är i detta avseende ytterligare oroat över försäljningen av ett nederländskt företag, ryggraden i Estlands internetinfrastruktur, till ett kinesiskt företag kopplat till FBA. Det behövs gemensamma insatser mellan medlemsstaterna för att förhindra liknande fall.</w:t>
      </w:r>
    </w:p>
    <w:p w:rsidR="00B74447" w:rsidRPr="005B1B52" w:rsidRDefault="00B74447" w:rsidP="00B74447">
      <w:pPr>
        <w:pStyle w:val="NormalHanging12a"/>
        <w:rPr>
          <w:szCs w:val="24"/>
        </w:rPr>
      </w:pPr>
      <w:r w:rsidRPr="005B1B52">
        <w:t>10.</w:t>
      </w:r>
      <w:r w:rsidRPr="005B1B52">
        <w:tab/>
        <w:t>Europaparlamentet påminner om behovet att genomföra en grundlig utvärdering av EU-</w:t>
      </w:r>
      <w:r w:rsidRPr="005B1B52">
        <w:noBreakHyphen/>
        <w:t>institutionernas infrastruktur och tjänster för informationssäkerhet, i synnerhet när det gäller sekretessbelagd kommunikation mellan institutionerna och uppdrag och insatser utomlands. Hela leveranskedjan bör beaktas för att se till att företagen inte har några direkta eller indirekta förbindelser med Kina. Parlamentet efterlyser särskilda bestämmelser i EU-institutionernas upphandlingsförfaranden för att begränsa risken för inblandning, inbegripet förvärv, underhåll eller säkerhetsprövning av en tredje part.</w:t>
      </w:r>
    </w:p>
    <w:p w:rsidR="00B74447" w:rsidRPr="005B1B52" w:rsidRDefault="00B74447" w:rsidP="00B74447">
      <w:pPr>
        <w:pStyle w:val="NormalHanging12a"/>
        <w:rPr>
          <w:szCs w:val="24"/>
        </w:rPr>
      </w:pPr>
      <w:r w:rsidRPr="005B1B52">
        <w:t>11.</w:t>
      </w:r>
      <w:r w:rsidRPr="005B1B52">
        <w:tab/>
        <w:t>Europaparlamentet varnar för att stora investeringar i kusthamnar, järnvägar och flygplatser ger Peking möjlighet att övervaka och kontrollera verksamhet i viktiga logistiska knutpunkter med en grundläggande strategisk dimension.</w:t>
      </w:r>
    </w:p>
    <w:p w:rsidR="00B74447" w:rsidRPr="005B1B52" w:rsidRDefault="00B74447" w:rsidP="00B74447">
      <w:pPr>
        <w:pStyle w:val="NormalHanging12a"/>
        <w:rPr>
          <w:szCs w:val="24"/>
        </w:rPr>
      </w:pPr>
      <w:r w:rsidRPr="005B1B52">
        <w:t>12.</w:t>
      </w:r>
      <w:r w:rsidRPr="005B1B52">
        <w:tab/>
        <w:t>Europaparlamentet betonar att Kina var EU:s näst största handelspartner för varor 2022. Parlamentet uttrycker oro över de alltmer obalanserade handels- och investeringsförbindelserna mellan EU och Kina, vilket också belyses av EU:s rekordhöga handelsunderskott på 396 miljarder euro 2022 och unionens beroende av kinesisk import och kinesiska investeringar i vissa kritiska sektorer. Parlamentet framhåller Kinas obalanserade internationella handelspolitik inom ramen för landets strategi för ”dubbel cirkulation”. Parlamentet uppmanar kommissionen att ta upp EU:s farhågor med Kina om landets handelsmetoder.</w:t>
      </w:r>
    </w:p>
    <w:p w:rsidR="00B74447" w:rsidRPr="005B1B52" w:rsidRDefault="00B74447" w:rsidP="00B74447">
      <w:pPr>
        <w:pStyle w:val="Normal12"/>
        <w:ind w:left="0" w:firstLine="0"/>
        <w:rPr>
          <w:b/>
          <w:i/>
        </w:rPr>
      </w:pPr>
      <w:r w:rsidRPr="005B1B52">
        <w:rPr>
          <w:b/>
          <w:i/>
        </w:rPr>
        <w:t>Svarsåtgärder: utöka verktygslådan för att bemöta säkerhets- och försvarsfrågor</w:t>
      </w:r>
    </w:p>
    <w:p w:rsidR="00B74447" w:rsidRPr="005B1B52" w:rsidRDefault="00B74447" w:rsidP="00B74447">
      <w:pPr>
        <w:pStyle w:val="NormalHanging12a"/>
      </w:pPr>
      <w:r w:rsidRPr="005B1B52">
        <w:t>13.</w:t>
      </w:r>
      <w:r w:rsidRPr="005B1B52">
        <w:tab/>
        <w:t>Ett nyckelområde för EU:s kritiska infrastruktur är unionens nätverk av forskningsinstitut och forsknings- och utvecklingsanläggningar, som spelar en viktig roll för EU:s förmåga att uppfylla sina åtaganden om grön och digital omställning, vid sidan av viktiga arenor som rymdförsvar. Europaparlamentet påminner om säkerhetssårbarheterna i samband med påtvingad tekniköverföring, stöld av immateriella rättigheter och kunskapsläckor, både inom och utanför EU. Parlamentet efterlyser ökad vaksamhet vid redovisning av sådana hot mot EU:s förmåga att driva innovation och främja tillväxt.</w:t>
      </w:r>
    </w:p>
    <w:p w:rsidR="00B74447" w:rsidRPr="005B1B52" w:rsidRDefault="00B74447" w:rsidP="00B74447">
      <w:pPr>
        <w:pStyle w:val="NormalHanging12a"/>
        <w:rPr>
          <w:szCs w:val="24"/>
        </w:rPr>
      </w:pPr>
      <w:r w:rsidRPr="005B1B52">
        <w:t>14.</w:t>
      </w:r>
      <w:r w:rsidRPr="005B1B52">
        <w:tab/>
        <w:t>Europaparlamentet noterar att kinesiska företag redan är ledande inom nyckelteknik som används inom sektorer som trådlös 5G-infrastruktur, drönare, batterier, överljudsrobotar, sol- och vindenergi samt kryptovaluta. Parlamentet uttrycker sin oro över användningen av denna teknik och de beroenden som den skapar. Parlamentet noterar här att 5G RAN på Cypern till 100 % består av kinesisk utrustning, och i Tyskland är siffran 59 %. Parlamentet betonar att detta strider mot EU:s riktlinjer för verktygslådan för 5G-säkerhet för att minska säkerhetsriskerna i näten och uppmanar rådet och kommissionen att utesluta användning av utrustning och programvara från tillverkare baserade i Kina i stomnätsfunktioner. Parlamentet påminner om att Huawei har deltagit i elva projekt inom ramen för Horisont Europa fram till juni 2023 och därmed fått totalt 3,89 miljoner euro i finansiering. Parlamentet uppmanar därför eftertryckligen EU och EU:s institutioner att genomföra en systematisk granskning av kinesiska företag som direkt eller indirekt gynnas av europeiska program av strategisk betydelse för EU och att, om det är nödvändigt, avsluta deras deltagande. Parlamentet uppmanar vidare kommissionen att föreslå ytterligare säkerhetsstandarder för kinesiska leverantörer av 5G och nästa generations 6G-nät.</w:t>
      </w:r>
    </w:p>
    <w:p w:rsidR="00B74447" w:rsidRPr="005B1B52" w:rsidRDefault="00B74447" w:rsidP="00B74447">
      <w:pPr>
        <w:pStyle w:val="NormalHanging12a"/>
        <w:rPr>
          <w:szCs w:val="24"/>
        </w:rPr>
      </w:pPr>
      <w:r w:rsidRPr="005B1B52">
        <w:t>15.</w:t>
      </w:r>
      <w:r w:rsidRPr="005B1B52">
        <w:tab/>
        <w:t>Europaparlamentet anser att appen TikTok, som ägs av det kinesiska konglomeratet ByteDance, strider mot den europeiska ramen för dataskydd, vilket gör den till en potentiell risk och en källa till desinformation med kinesisk uppbackning. Parlamentet välkomnar EU-institutionernas och flera EU-medlemsstaters beslut att förbjuda användningen av appen TikTok på institutionernas enheter samt privata enheter som är registrerade i institutionernas avdelningar för mobila enheter.</w:t>
      </w:r>
    </w:p>
    <w:p w:rsidR="00B74447" w:rsidRPr="005B1B52" w:rsidRDefault="00B74447" w:rsidP="00B74447">
      <w:pPr>
        <w:pStyle w:val="Normal12"/>
      </w:pPr>
      <w:r w:rsidRPr="005B1B52">
        <w:t>16.</w:t>
      </w:r>
      <w:r w:rsidRPr="005B1B52">
        <w:tab/>
        <w:t>Europaparlamentet varnar för att den försämrade säkerhetsmiljön i Europa, i vårt grannskap och runt om i världen kräver brådskande överväganden om hur EU:s strategiska oberoende kan stärkas och unionens beroende av länder som Kina och systemrivaler som utgör ett säkerhetshot mot EU kan minskas. Parlamentet betonar behovet att förhindra att känslig ny teknik och viktiga produkter med dubbla användningsområden, särskilt sådana som är kritiska för EU:s säkerhet och försvar, överförs till problematiska destinationer som bedriver eller samarbetar med strategier för militär-civil sammansmältning. Parlamentet anser att inrättandet av EU-omfattande elektroniska tull- och exportlicenssystem är ett kritiskt steg mot effektiva gemensamma europeiska exportkontroller, och uppmanar alla medlemsstater att se till att dessa system tas i drift senast i slutet av 2024. Parlamentet uppmanar vidare EU-institutionerna och medlemsstaterna att stärka samarbetet med transatlantiska och andra likasinnade partner för att skydda kritisk infrastruktur samt försvara demokratin och bevara våra gemensamma värden, vår säkerhet och vårt välstånd.</w:t>
      </w:r>
    </w:p>
    <w:p w:rsidR="00B74447" w:rsidRPr="005B1B52" w:rsidRDefault="00B74447" w:rsidP="00B74447">
      <w:pPr>
        <w:pStyle w:val="Normal12"/>
      </w:pPr>
      <w:r w:rsidRPr="005B1B52">
        <w:t>17.</w:t>
      </w:r>
      <w:r w:rsidRPr="005B1B52">
        <w:tab/>
        <w:t>Europaparlamentet är fortsatt oroat över att europeisk kritisk infrastruktur, från telekommunikationsnät till hamnanläggningar, blir alltmer sårbar för yttre påverkan. Parlamentet lovordar i detta avseende de senaste lagstiftningsåtgärderna för att stärka kritiska entiteters motståndskraft i EU. Parlamentet noterar dock med oro att sådana initiativ till stor del är begränsade till förfaranden för granskning av utländska direktinvesteringar, vilket lämnar andra kanaler öppna för kommunistpartiet att få tillgång till och inflytande över kritiska tillgångar, bland annat genom värvning av personer i samhällseliten, överföringar av teknik och immateriella rättigheter samt beroenden i leveranskedjan och på försäljningsmarknaden. Parlamentet konstaterar att inrättandet av en ram för grundlig riskbedömning och kartläggning är absolut nödvändigt för att identifiera kritiska infrastrukturtillgångar och deras känslighet. Parlamentet anser att det är nödvändigt att kartlägga, spåra och bedöma Kinas och andra tredjeländers tillgång till kritisk infrastruktur i EU och att vid behov gemensamt gå vidare med begränsningsåtgärder. Parlamentet uppmanar i detta avseende kommissionen att med stöd av medlemsstaterna sammanställa en uttömmande förteckning över kritiska tillgångar och systematiskt utvärdera deras sårbarhet för yttre påverkan. Parlamentet efterlyser därför en utvidgning av lagstiftningsinitiativen för att ta itu med sådana risker.</w:t>
      </w:r>
    </w:p>
    <w:p w:rsidR="00B74447" w:rsidRPr="005B1B52" w:rsidRDefault="00B74447" w:rsidP="00B74447">
      <w:pPr>
        <w:pStyle w:val="NormalHanging12a"/>
      </w:pPr>
      <w:r w:rsidRPr="005B1B52">
        <w:t>18.</w:t>
      </w:r>
      <w:r w:rsidRPr="005B1B52">
        <w:tab/>
        <w:t>Europaparlamentet uppmanar kommissionen att före utgången av denna valperiod dela en detaljerad analys med parlamentet av riskerna för handeln när det gäller halvledare, kvantdatorteknik, blockkedjeteknik, rymdteknik, artificiell intelligens och bioteknik och det eventuella behovet av EU-åtgärder på dessa områden.</w:t>
      </w:r>
    </w:p>
    <w:p w:rsidR="00B74447" w:rsidRPr="005B1B52" w:rsidRDefault="00B74447" w:rsidP="00B74447">
      <w:pPr>
        <w:pStyle w:val="Normal12"/>
      </w:pPr>
      <w:r w:rsidRPr="005B1B52">
        <w:t>19.</w:t>
      </w:r>
      <w:r w:rsidRPr="005B1B52">
        <w:tab/>
        <w:t>Europaparlamentet påminner om att förordningen om granskning av utländska direktinvesteringar</w:t>
      </w:r>
      <w:r w:rsidRPr="005B1B52">
        <w:rPr>
          <w:vertAlign w:val="superscript"/>
        </w:rPr>
        <w:footnoteReference w:id="14"/>
      </w:r>
      <w:r w:rsidRPr="005B1B52">
        <w:t xml:space="preserve"> behandlar risker för säkerhet och allmän ordning till följd av investeringar från länder utanför EU. Parlamentet noterar det centrala mervärdet av granskningsmekanismen som ett relevant verktyg som ger EU och dess medlemsstater en bättre strategisk översikt och situationsmedvetenhet beträffande trender, mål, medel och metoder som används av utländska aktörer för att öka deras ekonomiska och politiska inflytande. Parlamentet begär att de befintliga instrumenten för utländska direktinvesteringar och utländska subventioner utvidgas så att de omfattar allmänna granskningsförfaranden för alla intressenter som deltar i projekt för kritisk infrastruktur i EU, vilket omfattar alla former av deltagande i projekt för kritisk infrastruktur, inbegripet samarbetsprojekt, partnerskap och tekniköverföringar. Parlamentet understryker också att rutinutvärderingar av projekt för kritisk infrastruktur som involverar aktörer utanför EU är avgörande, och anser att denna process bör omfatta granskning av ägarstrukturer, beroenden inom leveranskedjorna och tekniköverföring i samband med dessa projekt. Parlamentet anser också att det är nödvändigt att fastställa standarder för tillbörlig aktsamhet för att identifiera Kinas inflytande över investerare i kritisk infrastruktur i EU, och understryker att denna strategi bör tillämpas i lika hög grad på kandidatländer och potentiella kandidatländer. Parlamentet betonar att det ytterst är medlemsstaterna som är ansvariga för skydd av infrastruktur, men att de inte konsekvent har genomfört de nuvarande riktlinjerna för utländska direktinvesteringar. Parlamentet är i detta avseende mycket oroat över att inte alla medlemsstater har infört eller använder mekanismer för att granska utländska investeringar i kritisk infrastruktur. Medlemsstaterna uppmanas kraftfullt att konsekvent genomföra den nuvarande lagstiftningen om utländska direktinvesteringar och kritiska entiteters motståndskraft.</w:t>
      </w:r>
    </w:p>
    <w:p w:rsidR="00B74447" w:rsidRPr="005B1B52" w:rsidRDefault="00B74447" w:rsidP="00B74447">
      <w:pPr>
        <w:pStyle w:val="Normal12"/>
      </w:pPr>
      <w:r w:rsidRPr="005B1B52">
        <w:t>20.</w:t>
      </w:r>
      <w:r w:rsidRPr="005B1B52">
        <w:tab/>
        <w:t>Europaparlamentet beklagar i detta avseende bristen på adekvat kontroll av riskerna för inblandning i offentlig upphandling av säkerhetsutrustning, såsom fallet med det kontrakt som flygplatsen i Strasbourg undertecknat för installation av säkerhetsskannrar och säkerhetsbågar som tillhandahålls av det europeiska dotterbolaget till det kinesiska företaget Nuctech, som delvis ägs av den kinesiska regeringen och är bundet till enhetsfrontens politik. Parlamentet varnar för att sådan teknik kan innehålla inbyggda säkerhetsluckor eller vara åtkomlig vid underhåll. Parlamentet välkomnar å andra sidan den rumänska regeringens beslut att avsluta förhandlingarna med China General Nuclear Power Corporation, CGNPC, om uppförandet av reaktorerna 3 och 4 i Cernavoda.</w:t>
      </w:r>
    </w:p>
    <w:p w:rsidR="00B74447" w:rsidRPr="005B1B52" w:rsidRDefault="00B74447" w:rsidP="00B74447">
      <w:pPr>
        <w:pStyle w:val="Normal12"/>
      </w:pPr>
      <w:r w:rsidRPr="005B1B52">
        <w:t>21.</w:t>
      </w:r>
      <w:r w:rsidRPr="005B1B52">
        <w:tab/>
        <w:t>Europaparlamentet betonar dock att man måste hitta en strategisk balans mellan å ena sidan den öppna karaktären hos EU:s inre marknad och dess attraktionskraft för investeringar, och å andra sidan försvaret av EU:s kritiska infrastruktur och autonomi, med tanke på EU:s sårbarheter på säkerhetsområdet, särskilt när det gäller ekonomiskt tvång eller hot mot integriteten i EU:s kritiska infrastruktur.</w:t>
      </w:r>
    </w:p>
    <w:p w:rsidR="00B74447" w:rsidRPr="005B1B52" w:rsidRDefault="00B74447" w:rsidP="00B74447">
      <w:pPr>
        <w:pStyle w:val="Normal12"/>
      </w:pPr>
      <w:r w:rsidRPr="005B1B52">
        <w:t>22.</w:t>
      </w:r>
      <w:r w:rsidRPr="005B1B52">
        <w:tab/>
        <w:t>Europaparlamentet uppmanar kommissionen att överväga olika sätt att göra sina yttranden avseende granskning av utländska direktinvesteringar mer verkningsfulla, i syfte att undvika snedvridningar av den inre marknaden och en kapplöpning mot botten mellan medlemsstaterna. Parlamentet uppmanar kommissionen och medlemsstaterna att öka harmoniseringen, bland annat genom att bygga upp lämplig expertis, och att fullt ut genomföra förordningen om granskning av utländska direktinvesteringar. Parlamentet anser att det finns utrymme för och behov av att stärka förordningen i samband med översynen i slutet av året. Parlamentet uppmuntrar kommissionen att lägga fram ett ambitiöst lagstiftningsförslag om en reviderad förordning som täpper till alla kryphål som har uppstått under dess genomförande, och att snabbt bedöma möjligheten att utarbeta ett lagstiftningsförslag om en granskningsmekanism för utgående investeringar. Parlamentet rekommenderar att den föreslagna mekanismen för granskning av utgående investeringar ska bygga på en konsekvensbedömning som inbegriper lämpligt samråd med företag för att minimera eventuella negativa konsekvenser för den europeiska konkurrenskraften.</w:t>
      </w:r>
    </w:p>
    <w:p w:rsidR="00B74447" w:rsidRPr="005B1B52" w:rsidRDefault="00B74447" w:rsidP="00B74447">
      <w:pPr>
        <w:pStyle w:val="Normal12"/>
      </w:pPr>
      <w:r w:rsidRPr="005B1B52">
        <w:t>23.</w:t>
      </w:r>
      <w:r w:rsidRPr="005B1B52">
        <w:tab/>
        <w:t>Europaparlamentet välkomnar den nya riskminskningsstrategin i den föreslagna europeiska strategin för ekonomisk säkerhet av den 20 juni 2023, som syftar till att maximera fördelarna med EU:s ekonomiska öppenhet och skydda, främja och stärka EU:s öppna strategiska oberoende, samtidigt som man minimerar de risker som följer av ekonomiska beroenden och att dessa kan användas som vapen, inbegripet investeringar och forskningssamarbete inom viktig möjliggörande teknik med militära tillämpningar, bland annat på områdena kvantdatorteknik, avancerade halvledare och artificiell intelligens. Parlamentet efterlyser ett snart antagande av den höga representantens och kommissionens förslag och uppmanar medlemsstaterna att fullt ut genomföra EU:s utvidgade regelverk för att utesluta enheter som skulle kunna bidra till militär-civil sammansmältning och att hitta alternativ till kinesiskfinansierade projekt i EU genom utveckling av en övergripande strategi för att gemensamt identifiera, bedöma och hantera risker för den europeiska ekonomiska säkerheten.</w:t>
      </w:r>
    </w:p>
    <w:p w:rsidR="00B74447" w:rsidRPr="005B1B52" w:rsidRDefault="00B74447" w:rsidP="00B74447">
      <w:pPr>
        <w:pStyle w:val="Normal12"/>
      </w:pPr>
      <w:r w:rsidRPr="005B1B52">
        <w:t>24.</w:t>
      </w:r>
      <w:r w:rsidRPr="005B1B52">
        <w:tab/>
        <w:t>Europaparlamentet välkomnar vidare den höga representantens och kommissionens förslag om att förhindra att känslig ny teknik läcks genom att upprätta en förteckning över teknik med dubbla användningsområden, baserad på snävt definierade och framåtblickande kriterier, såsom en tekniks potentiella möjliggörande och omdanande karaktär, risken för militär-civil sammansmältning och risken för att tekniken missbrukas för att kränka de mänskliga rättigheterna. Parlamentet uppmanar kommissionen och medlemsstaterna att så snart som möjligt identifiera och genomföra de relevanta skyddsåtgärderna för denna teknik med dubbla användningsområden.</w:t>
      </w:r>
    </w:p>
    <w:p w:rsidR="00B74447" w:rsidRPr="005B1B52" w:rsidRDefault="00B74447" w:rsidP="00B74447">
      <w:pPr>
        <w:spacing w:after="240"/>
        <w:ind w:left="567" w:hanging="567"/>
      </w:pPr>
      <w:r w:rsidRPr="005B1B52">
        <w:t>25.</w:t>
      </w:r>
      <w:r w:rsidRPr="005B1B52">
        <w:tab/>
        <w:t>Europaparlamentet uppmanar i detta avseende kommissionen att i samordning med medlemsstaterna utforma en snabb svarsmekanism för upptäckt av dubbel användning eller missbruk av infrastruktur i EU som Kina äger, deltar i eller har koncessioner för och som skulle kunna användas för att dra in koncessionsrättigheter och/eller upphäva nyttjanderätten om det rör sig om ägande eller deltagande. Kommissionen uppmanas att årligen rapportera till Europaparlamentet om</w:t>
      </w:r>
    </w:p>
    <w:p w:rsidR="00B74447" w:rsidRPr="005B1B52" w:rsidRDefault="00B74447" w:rsidP="00B74447">
      <w:pPr>
        <w:spacing w:after="240"/>
        <w:ind w:left="1134" w:hanging="567"/>
      </w:pPr>
      <w:r w:rsidRPr="005B1B52">
        <w:t>a)</w:t>
      </w:r>
      <w:r w:rsidRPr="005B1B52">
        <w:tab/>
        <w:t>upptäckt av möjlig dubbel användning av strategisk infrastruktur som ger logistiskt stöd och underrättelsestöd till Kina,</w:t>
      </w:r>
    </w:p>
    <w:p w:rsidR="00B74447" w:rsidRPr="005B1B52" w:rsidRDefault="00B74447" w:rsidP="00B74447">
      <w:pPr>
        <w:pStyle w:val="Normal12"/>
        <w:ind w:left="1134"/>
      </w:pPr>
      <w:r w:rsidRPr="005B1B52">
        <w:t>b)</w:t>
      </w:r>
      <w:r w:rsidRPr="005B1B52">
        <w:tab/>
        <w:t>den fullständiga respekten för EU:s handelslagstiftning, särskilt beträffande tillbörlig aktsamhet, förhindrande av tvång och tvångsarbete avseende varor som förs in på EU:s marknader.</w:t>
      </w:r>
    </w:p>
    <w:p w:rsidR="00B74447" w:rsidRPr="005B1B52" w:rsidRDefault="00B74447" w:rsidP="00B74447">
      <w:pPr>
        <w:pStyle w:val="Normal12"/>
      </w:pPr>
      <w:r w:rsidRPr="005B1B52">
        <w:t>26.</w:t>
      </w:r>
      <w:r w:rsidRPr="005B1B52">
        <w:tab/>
        <w:t>Europaparlamentet välkomnar antagandet av EU:s förordning om halvledare, som kommer att öka EU:s förmåga att tillverka halvledare och skapa en strategisk karta över bland annat kapacitetsbrister i värdekedjan för halvledare i EU, och därigenom begränsa EU:s beroende av tredjeländer som Kina. Parlamentet efterlyser ytterligare förslag för att säkra produktions- och leveranskedjorna för kritisk infrastruktur och kritiska råvaror inom EU. Parlamentet uppmanar vidare kommissionen och medlemsstaterna att utveckla ytterligare initiativ som syftar till att möjliggöra närmare samordning och samarbete med likasinnade partner och allierade, och att övervaka och vidareutveckla – där så är möjligt och i linje med EU:s mål att minska ytterligare beroenden – den globala produktionskapaciteten och leveranskedjorna för kritisk infrastruktur och kritiska råvaror som är avgörande för EU:s säkerhet och försvar. Parlamentet uppmärksammar särskilt Taiwan, som spelar en viktig roll i de globala leveranskedjorna och i den internationella regelbaserade ordningen. Parlamentet upprepar sitt långvariga stöd för det bilaterala investeringsavtalet mellan EU och Taiwan och alla arrangemang som ömsesidigt gynnar bilateral handel och bilaterala investeringar.</w:t>
      </w:r>
    </w:p>
    <w:p w:rsidR="00B74447" w:rsidRPr="005B1B52" w:rsidRDefault="00B74447" w:rsidP="00B74447">
      <w:pPr>
        <w:pStyle w:val="Normal12"/>
      </w:pPr>
      <w:r w:rsidRPr="005B1B52">
        <w:t>27.</w:t>
      </w:r>
      <w:r w:rsidRPr="005B1B52">
        <w:tab/>
        <w:t>Europaparlamentet uppmanar kommissionen att föreslå en ny lagstiftningsram för att minska säkerhetsriskerna från leverantörer av undervattenskabelsystem, bland annat genom strängare övervakning och frekvent tillsyn av sådana leverantörers ägarstrukturer, deras tidigare investeringar i undervattenskabelsystem och undervattenskabelsystemens närhet till europeiska och allierades militära baser. Parlamentet betonar att det måste förhindras att leverantörer av kabelsystem, såsom kinesiska företag, delar data med underrättelsetjänster för annat än att skydda infrastrukturen från intrång utifrån eller fientliga angrepp. Parlamentet efterlyser i detta avseende initiativ som syftar till vidareutveckling av europeiskt ägda eller baserade företag på området undervattenskabelsystem.</w:t>
      </w:r>
    </w:p>
    <w:p w:rsidR="00B74447" w:rsidRPr="005B1B52" w:rsidRDefault="00B74447" w:rsidP="00B74447">
      <w:pPr>
        <w:pStyle w:val="NormalHanging12a"/>
      </w:pPr>
      <w:r w:rsidRPr="005B1B52">
        <w:t>28.</w:t>
      </w:r>
      <w:r w:rsidRPr="005B1B52">
        <w:tab/>
        <w:t>Europaparlamentet understryker att EU:s motåtgärder måste byggas kring en ökad förståelse av den relevanta strategiska bilden med fokus på tvärpolitiska och gränsöverskridande hotbildsbedömningar och sårbarhetsstudier avseende kritisk infrastruktur. Parlamentet anser att en decentraliserad eller försumlig strategi som saknar tydlig synlighet och granskning av projekt med strategisk betydelse för Europas försvar och säkerhet i hög grad skulle kunna skada EU:s geopolitiska intressen</w:t>
      </w:r>
      <w:r w:rsidRPr="005B1B52">
        <w:rPr>
          <w:vertAlign w:val="superscript"/>
        </w:rPr>
        <w:footnoteReference w:id="15"/>
      </w:r>
      <w:r w:rsidRPr="005B1B52">
        <w:t>. Parlamentet påminner om sårbarheter kopplade till utländsk inblandning, särskilt på informationsområdet, och samspelet mellan utländska direktinvesteringar och informationsmanipulering av illasinnade utländska aktörer.</w:t>
      </w:r>
    </w:p>
    <w:p w:rsidR="00B74447" w:rsidRPr="005B1B52" w:rsidRDefault="00B74447" w:rsidP="00B74447">
      <w:pPr>
        <w:pStyle w:val="Normal12"/>
        <w:ind w:left="0" w:firstLine="0"/>
        <w:rPr>
          <w:rStyle w:val="BoldItalic"/>
          <w:b w:val="0"/>
          <w:i w:val="0"/>
        </w:rPr>
      </w:pPr>
      <w:r w:rsidRPr="005B1B52">
        <w:rPr>
          <w:rStyle w:val="BoldItalic"/>
        </w:rPr>
        <w:t>Kopplingen mellan inre och yttre säkerhet: stärka motståndskraften hos EU:s närmaste partner</w:t>
      </w:r>
    </w:p>
    <w:p w:rsidR="00B74447" w:rsidRPr="005B1B52" w:rsidRDefault="00B74447" w:rsidP="00B74447">
      <w:pPr>
        <w:pStyle w:val="Normal12"/>
      </w:pPr>
      <w:r w:rsidRPr="005B1B52">
        <w:t>29.</w:t>
      </w:r>
      <w:r w:rsidRPr="005B1B52">
        <w:tab/>
        <w:t>Europaparlamentet uttrycker oro över Kinas aktivitet på EU-marknaden och i unionens vidare grannskap. Parlamentet uppmanar kommissionen och Europeiska utrikestjänsten att se till att de åtgärder som vidtas för att stärka EU:s motståndskraft mot kinesiskt inflytande, inbegripet riskminskning, diversifiering och minskning av kritiska beroenden, också utsträcks till EU:s närmaste partner, i synnerhet anslutningsländer och de länder som ingår i EU:s grannskapspolitik.</w:t>
      </w:r>
    </w:p>
    <w:p w:rsidR="00B74447" w:rsidRPr="005B1B52" w:rsidRDefault="00B74447" w:rsidP="00B74447">
      <w:pPr>
        <w:pStyle w:val="Normal12"/>
      </w:pPr>
      <w:r w:rsidRPr="005B1B52">
        <w:t>30.</w:t>
      </w:r>
      <w:r w:rsidRPr="005B1B52">
        <w:tab/>
        <w:t>Europaparlamentet påminner om att Kinas marina styrkor har medel och rättsliga verktyg för att se till att landets civila fartyg och infrastruktur kan användas för militära ändamål och säkerhetsändamål. Parlamentet anser att Kina har förmågan att använda sin civila kommersiella infrastruktur för att stödja FBA:s närvaro i tredjeländer. Parlamentet varnar att en sådan militär-civil sammansmältning ger FBA tillgång till utländska hamnar, vilket gör att armén på förhand kan positionera logistiskt stöd för att upprätthålla marina utplaceringar så långt borta som Indiska oceanen, Medelhavet och Atlanten. Parlamentet understryker att riskerna för spionage är som störst när kinesiska civila kommersiella tillgångar finns i logistiska knutpunkter nära EU:s och Natos flottbaser eller hamnoperatörer som har undertecknat avtal om logistiskt stöd till europeiska företag. Parlamentet uppmanar medlemsstaterna att skyndsamt ta itu med behovet att minska riskerna för spionage och sabotage i kritisk infrastruktur, i synnerhet sådan som har en militär funktion, såsom hamnar som används av Nato. Parlamentet betonar i detta avseende att EU och Nato måste samarbeta för att utveckla en långsiktig plan för att motverka Kinas strategi för militär-civil sammansmältning i Europa, och efterlyser ett fullständigt genomförande av den slutliga utvärderingsrapporten från EU:s och Natos arbetsgrupp</w:t>
      </w:r>
      <w:r w:rsidRPr="005B1B52">
        <w:rPr>
          <w:rStyle w:val="FootnoteReference"/>
        </w:rPr>
        <w:footnoteReference w:id="16"/>
      </w:r>
      <w:r w:rsidRPr="005B1B52">
        <w:t>.</w:t>
      </w:r>
    </w:p>
    <w:p w:rsidR="00B74447" w:rsidRPr="005B1B52" w:rsidRDefault="00B74447" w:rsidP="00B74447">
      <w:pPr>
        <w:pStyle w:val="Normal12"/>
      </w:pPr>
      <w:r w:rsidRPr="005B1B52">
        <w:t>31.</w:t>
      </w:r>
      <w:r w:rsidRPr="005B1B52">
        <w:tab/>
        <w:t>Europaparlamentet konstaterar att hamnar är portar till världen och därför spelar en avgörande roll i EU:s ekonomi. Parlamentet konstaterar med oro att kinesiskägda eller kinesiskkontrollerade enheter strategiskt har ökat sina andelar i hamnar och hamninfrastruktur i Europa. Parlamentet uppmanar kommissionen att lägga fram en strategisk politisk ram för EU för att minska och begränsa Kinas och andra regimers inflytande och operativa kontroll. Parlamentet påminner också om att Kina projicerar makt utomlands genom att använda ett nätverk av kommersiella hamnar och anläggningar med dubbla användningsområden som ger logistik- och underrättelsestöd till den kinesiska flottan. Parlamentet noterar att kinesiska företag 2022 ägde eller drev terminaler i 96 hamnar i 53 länder. I minst nio hamnar, varav två i Europa, har örlogsfartyg från FBA:s flotta genomgått omfattande reparationer eller underhåll för fartyg och utrustning. Parlamentet påpekar att sjöfartsbesök avslöjar områden med inflytande, prioriterade operativa zoner, mål för underrättelseinsamling och samarbetsprioriteringar.</w:t>
      </w:r>
    </w:p>
    <w:p w:rsidR="00B74447" w:rsidRPr="005B1B52" w:rsidRDefault="00B74447" w:rsidP="00B74447">
      <w:pPr>
        <w:pStyle w:val="Normal12"/>
        <w:rPr>
          <w:rStyle w:val="BoldItalic"/>
          <w:b w:val="0"/>
          <w:i w:val="0"/>
        </w:rPr>
      </w:pPr>
      <w:r w:rsidRPr="005B1B52">
        <w:rPr>
          <w:rStyle w:val="BoldItalic"/>
        </w:rPr>
        <w:t>32.</w:t>
      </w:r>
      <w:r w:rsidRPr="005B1B52">
        <w:rPr>
          <w:rStyle w:val="BoldItalic"/>
        </w:rPr>
        <w:tab/>
      </w:r>
      <w:r w:rsidRPr="005B1B52">
        <w:t>Europaparlamentet betonar behovet av en geopolitisk strategi för globalt samarbete om kritisk infrastruktur för att EU framgångsrikt ska kunna möta de nya säkerhetsutmaningarna. Parlamentet noterar att en tredjedel av all afrikansk infrastruktur som byggts sedan 2010, däribland omkring 50 % av Afrikas 3G-nät och 70 % av kontinentens 4G-nät, har finansierats och uppförts av kinesiska statsägda företag. Parlamentet understryker att Kina under de senaste 20 åren har ökat sina handels-, investerings- och låneåtaganden med 160 miljarder US-dollar med afrikanska regeringar och deras statsägda företag, med få eller ogenomskinliga avtalsförpliktelser, främst inom transport, elproduktion, gruvdrift och telekommunikation. Parlamentet betonar i synnerhet att ett enda kinesiskt telekommunikationsföretag har uppfört upp till 70 % av Afrikas it-infrastruktur samt den roll som kinesiska företag spelar i finansieringen, uppbyggnaden, utbyggnaden och upprustningen av minst 14 känsliga inomstatliga telekommunikationsnät i Afrika. Parlamentet uttrycker oro över att den kinesiska modellen tydligt är attraktiv för många länder som inte kan eller är ovilliga att uppfylla EU:s krav för att få tillgång till motsvarande finansieringsnivåer, vilket ökar det kinesiska inflytandet till förfång för partnerskap med EU och utlöser risker för ohållbar skuldsättning för dessa länder, vilket skadar deras långsiktiga utveckling till nackdel för lokalbefolkningen. Parlamentet uppmanar kommissionen, utrikestjänsten och medlemsstaterna att intensifiera ansträngningarna, bland annat för att locka till sig investeringar från den privata sektorn, för att genomföra Global Gateway-investeringspaketet på 150 miljarder euro, som man enades om vid det sjätte toppmötet mellan EU och AU i februari 2022. Parlamentet uppmanar rådet och kommissionen att snabbt genomföra projekt, särskilt fyrtornsprojekt, inom ramen för initiativet.</w:t>
      </w:r>
    </w:p>
    <w:p w:rsidR="00B74447" w:rsidRPr="005B1B52" w:rsidRDefault="00B74447" w:rsidP="00B74447">
      <w:pPr>
        <w:pStyle w:val="Normal12"/>
      </w:pPr>
      <w:r w:rsidRPr="005B1B52">
        <w:t>33.</w:t>
      </w:r>
      <w:r w:rsidRPr="005B1B52">
        <w:tab/>
        <w:t>Europaparlamentet understryker sin oro över att Kinas strategi att bygga upp en ”samarbetsbas för den blå ekonomin” längs Afrikas kust, bland annat genom att bygga fiskefartyg och reparationsanläggningar för fartyg, också skulle kunna användas för militära ändamål. Parlamentet betonar att det finns en allmän brist på detaljer och insyn angående dessa avtal och licenser med afrikanska länder. Parlamentet lyfter fram de potentiella geopolitiska konsekvenserna för EU, särskilt i tredjeländer där EU har ett engagemang.</w:t>
      </w:r>
    </w:p>
    <w:p w:rsidR="00B74447" w:rsidRPr="005B1B52" w:rsidRDefault="00B74447" w:rsidP="00B74447">
      <w:pPr>
        <w:pStyle w:val="Normalhanging12a0"/>
        <w:jc w:val="center"/>
        <w:rPr>
          <w:lang w:val="sv-SE"/>
        </w:rPr>
      </w:pPr>
      <w:r w:rsidRPr="005B1B52">
        <w:rPr>
          <w:lang w:val="sv-SE"/>
        </w:rPr>
        <w:t>°</w:t>
      </w:r>
    </w:p>
    <w:p w:rsidR="00B74447" w:rsidRPr="005B1B52" w:rsidRDefault="00B74447" w:rsidP="00B74447">
      <w:pPr>
        <w:pStyle w:val="Normalhanging12a0"/>
        <w:jc w:val="center"/>
        <w:rPr>
          <w:lang w:val="sv-SE"/>
        </w:rPr>
      </w:pPr>
      <w:r w:rsidRPr="005B1B52">
        <w:rPr>
          <w:lang w:val="sv-SE"/>
        </w:rPr>
        <w:t>°</w:t>
      </w:r>
      <w:r w:rsidRPr="005B1B52">
        <w:rPr>
          <w:lang w:val="sv-SE"/>
        </w:rPr>
        <w:tab/>
        <w:t>°</w:t>
      </w:r>
    </w:p>
    <w:p w:rsidR="00B74447" w:rsidRPr="009C42C7" w:rsidRDefault="00B74447" w:rsidP="00B74447">
      <w:pPr>
        <w:pStyle w:val="Normal12"/>
      </w:pPr>
      <w:r w:rsidRPr="005B1B52">
        <w:t>34.</w:t>
      </w:r>
      <w:r w:rsidRPr="005B1B52">
        <w:tab/>
        <w:t>Europaparlamentet uppdrar åt talmannen att översända denna resolution till vice ordföranden för kommissionen/unionens höga representant för utrikes frågor och säkerhetspolitik, rådet och kommissionen.</w:t>
      </w:r>
    </w:p>
    <w:p w:rsidR="00E365E1" w:rsidRPr="009C42C7" w:rsidRDefault="00E365E1" w:rsidP="00F052E2">
      <w:bookmarkStart w:id="9" w:name="TextBodyEnd"/>
      <w:bookmarkEnd w:id="9"/>
    </w:p>
    <w:sectPr w:rsidR="00E365E1" w:rsidRPr="009C42C7" w:rsidSect="009C42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2E2" w:rsidRPr="009C42C7" w:rsidRDefault="00F052E2">
      <w:r w:rsidRPr="009C42C7">
        <w:separator/>
      </w:r>
    </w:p>
  </w:endnote>
  <w:endnote w:type="continuationSeparator" w:id="0">
    <w:p w:rsidR="00F052E2" w:rsidRPr="009C42C7" w:rsidRDefault="00F052E2">
      <w:r w:rsidRPr="009C42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2E2" w:rsidRPr="009C42C7" w:rsidRDefault="00F052E2">
      <w:r w:rsidRPr="009C42C7">
        <w:separator/>
      </w:r>
    </w:p>
  </w:footnote>
  <w:footnote w:type="continuationSeparator" w:id="0">
    <w:p w:rsidR="00F052E2" w:rsidRPr="009C42C7" w:rsidRDefault="00F052E2">
      <w:r w:rsidRPr="009C42C7">
        <w:continuationSeparator/>
      </w:r>
    </w:p>
  </w:footnote>
  <w:footnote w:id="1">
    <w:p w:rsidR="00B74447" w:rsidRPr="005B1B52" w:rsidRDefault="00B74447" w:rsidP="009C42C7">
      <w:pPr>
        <w:pStyle w:val="FootnoteText"/>
        <w:ind w:left="567" w:hanging="567"/>
        <w:rPr>
          <w:color w:val="000000" w:themeColor="text1"/>
          <w:sz w:val="24"/>
          <w:lang w:val="sv-SE"/>
        </w:rPr>
      </w:pPr>
      <w:r w:rsidRPr="009C42C7">
        <w:rPr>
          <w:rStyle w:val="FootnoteReference"/>
          <w:sz w:val="24"/>
          <w:lang w:val="sv-SE"/>
        </w:rPr>
        <w:footnoteRef/>
      </w:r>
      <w:r w:rsidR="009C42C7" w:rsidRPr="009C42C7">
        <w:rPr>
          <w:sz w:val="24"/>
          <w:lang w:val="sv-SE"/>
        </w:rPr>
        <w:t xml:space="preserve"> </w:t>
      </w:r>
      <w:r w:rsidR="009C42C7" w:rsidRPr="006A6504">
        <w:rPr>
          <w:sz w:val="24"/>
          <w:lang w:val="sv-SE"/>
        </w:rPr>
        <w:tab/>
      </w:r>
      <w:hyperlink r:id="rId1" w:history="1">
        <w:r w:rsidRPr="005B1B52">
          <w:rPr>
            <w:rStyle w:val="Hyperlink"/>
            <w:color w:val="000000" w:themeColor="text1"/>
            <w:sz w:val="24"/>
            <w:u w:val="none"/>
            <w:lang w:val="sv-SE"/>
          </w:rPr>
          <w:t>EUT L 330, 23.12.2022, s. 1.</w:t>
        </w:r>
      </w:hyperlink>
    </w:p>
  </w:footnote>
  <w:footnote w:id="2">
    <w:p w:rsidR="00B74447" w:rsidRPr="005B1B52" w:rsidRDefault="00B74447" w:rsidP="009C42C7">
      <w:pPr>
        <w:pStyle w:val="FootnoteText"/>
        <w:ind w:left="567" w:hanging="567"/>
        <w:rPr>
          <w:color w:val="000000" w:themeColor="text1"/>
          <w:sz w:val="24"/>
          <w:lang w:val="sv-SE"/>
        </w:rPr>
      </w:pPr>
      <w:r w:rsidRPr="005B1B52">
        <w:rPr>
          <w:rStyle w:val="FootnoteReference"/>
          <w:color w:val="000000" w:themeColor="text1"/>
          <w:sz w:val="24"/>
          <w:lang w:val="sv-SE"/>
        </w:rPr>
        <w:footnoteRef/>
      </w:r>
      <w:r w:rsidR="009C42C7" w:rsidRPr="005B1B52">
        <w:rPr>
          <w:color w:val="000000" w:themeColor="text1"/>
          <w:sz w:val="24"/>
          <w:lang w:val="sv-SE"/>
        </w:rPr>
        <w:t xml:space="preserve"> </w:t>
      </w:r>
      <w:r w:rsidR="009C42C7" w:rsidRPr="005B1B52">
        <w:rPr>
          <w:color w:val="000000" w:themeColor="text1"/>
          <w:sz w:val="24"/>
          <w:lang w:val="sv-SE"/>
        </w:rPr>
        <w:tab/>
      </w:r>
      <w:hyperlink r:id="rId2" w:history="1">
        <w:r w:rsidRPr="005B1B52">
          <w:rPr>
            <w:rStyle w:val="Hyperlink"/>
            <w:color w:val="000000" w:themeColor="text1"/>
            <w:sz w:val="24"/>
            <w:u w:val="none"/>
            <w:lang w:val="sv-SE"/>
          </w:rPr>
          <w:t>EUT L 79</w:t>
        </w:r>
        <w:r w:rsidR="002B3AE3">
          <w:rPr>
            <w:rStyle w:val="Hyperlink"/>
            <w:color w:val="000000" w:themeColor="text1"/>
            <w:sz w:val="24"/>
            <w:u w:val="none"/>
            <w:lang w:val="sv-SE"/>
          </w:rPr>
          <w:t xml:space="preserve"> </w:t>
        </w:r>
        <w:r w:rsidR="00B0731D">
          <w:rPr>
            <w:rStyle w:val="Hyperlink"/>
            <w:color w:val="000000" w:themeColor="text1"/>
            <w:sz w:val="24"/>
            <w:u w:val="none"/>
            <w:lang w:val="sv-SE"/>
          </w:rPr>
          <w:t>I</w:t>
        </w:r>
        <w:bookmarkStart w:id="8" w:name="_GoBack"/>
        <w:bookmarkEnd w:id="8"/>
        <w:r w:rsidRPr="005B1B52">
          <w:rPr>
            <w:rStyle w:val="Hyperlink"/>
            <w:color w:val="000000" w:themeColor="text1"/>
            <w:sz w:val="24"/>
            <w:u w:val="none"/>
            <w:lang w:val="sv-SE"/>
          </w:rPr>
          <w:t>, 21.3.2019, s. 1.</w:t>
        </w:r>
      </w:hyperlink>
    </w:p>
  </w:footnote>
  <w:footnote w:id="3">
    <w:p w:rsidR="00B74447" w:rsidRPr="005B1B52" w:rsidRDefault="00B74447" w:rsidP="009C42C7">
      <w:pPr>
        <w:pStyle w:val="FootnoteText"/>
        <w:ind w:left="567" w:hanging="567"/>
        <w:rPr>
          <w:color w:val="000000" w:themeColor="text1"/>
          <w:sz w:val="24"/>
          <w:lang w:val="sv-SE"/>
        </w:rPr>
      </w:pPr>
      <w:r w:rsidRPr="009C42C7">
        <w:rPr>
          <w:rStyle w:val="FootnoteReference"/>
          <w:sz w:val="24"/>
          <w:lang w:val="sv-SE"/>
        </w:rPr>
        <w:footnoteRef/>
      </w:r>
      <w:r w:rsidR="009C42C7" w:rsidRPr="009C42C7">
        <w:rPr>
          <w:sz w:val="24"/>
          <w:lang w:val="sv-SE"/>
        </w:rPr>
        <w:t xml:space="preserve"> </w:t>
      </w:r>
      <w:r w:rsidR="009C42C7" w:rsidRPr="006A6504">
        <w:rPr>
          <w:sz w:val="24"/>
          <w:lang w:val="sv-SE"/>
        </w:rPr>
        <w:tab/>
      </w:r>
      <w:hyperlink r:id="rId3" w:history="1">
        <w:r w:rsidRPr="005B1B52">
          <w:rPr>
            <w:rStyle w:val="Hyperlink"/>
            <w:color w:val="000000" w:themeColor="text1"/>
            <w:sz w:val="24"/>
            <w:u w:val="none"/>
            <w:lang w:val="sv-SE"/>
          </w:rPr>
          <w:t>EUT L 333, 27.12.2022, s. 164</w:t>
        </w:r>
      </w:hyperlink>
      <w:r w:rsidRPr="005B1B52">
        <w:rPr>
          <w:color w:val="000000" w:themeColor="text1"/>
          <w:sz w:val="24"/>
          <w:lang w:val="sv-SE"/>
        </w:rPr>
        <w:t>.</w:t>
      </w:r>
    </w:p>
  </w:footnote>
  <w:footnote w:id="4">
    <w:p w:rsidR="00B74447" w:rsidRPr="005B1B52" w:rsidRDefault="00B74447" w:rsidP="009C42C7">
      <w:pPr>
        <w:pStyle w:val="FootnoteText"/>
        <w:ind w:left="567" w:hanging="567"/>
        <w:rPr>
          <w:color w:val="000000" w:themeColor="text1"/>
          <w:sz w:val="24"/>
        </w:rPr>
      </w:pPr>
      <w:r w:rsidRPr="005B1B52">
        <w:rPr>
          <w:rStyle w:val="FootnoteReference"/>
          <w:color w:val="000000" w:themeColor="text1"/>
          <w:sz w:val="24"/>
          <w:lang w:val="sv-SE"/>
        </w:rPr>
        <w:footnoteRef/>
      </w:r>
      <w:r w:rsidR="009C42C7" w:rsidRPr="005B1B52">
        <w:rPr>
          <w:color w:val="000000" w:themeColor="text1"/>
          <w:sz w:val="24"/>
        </w:rPr>
        <w:t xml:space="preserve"> </w:t>
      </w:r>
      <w:r w:rsidR="009C42C7" w:rsidRPr="005B1B52">
        <w:rPr>
          <w:color w:val="000000" w:themeColor="text1"/>
          <w:sz w:val="24"/>
        </w:rPr>
        <w:tab/>
      </w:r>
      <w:hyperlink r:id="rId4" w:history="1">
        <w:r w:rsidRPr="005B1B52">
          <w:rPr>
            <w:rStyle w:val="Hyperlink"/>
            <w:color w:val="000000" w:themeColor="text1"/>
            <w:sz w:val="24"/>
            <w:u w:val="none"/>
          </w:rPr>
          <w:t>EUT L 333, 27.12.2022, s. 80</w:t>
        </w:r>
      </w:hyperlink>
      <w:r w:rsidRPr="005B1B52">
        <w:rPr>
          <w:color w:val="000000" w:themeColor="text1"/>
          <w:sz w:val="24"/>
        </w:rPr>
        <w:t>.</w:t>
      </w:r>
    </w:p>
  </w:footnote>
  <w:footnote w:id="5">
    <w:p w:rsidR="00B74447" w:rsidRPr="005B1B52" w:rsidRDefault="00B74447" w:rsidP="009C42C7">
      <w:pPr>
        <w:pStyle w:val="FootnoteText"/>
        <w:ind w:left="567" w:hanging="567"/>
        <w:rPr>
          <w:color w:val="000000" w:themeColor="text1"/>
          <w:sz w:val="24"/>
        </w:rPr>
      </w:pPr>
      <w:r w:rsidRPr="005B1B52">
        <w:rPr>
          <w:rStyle w:val="FootnoteReference"/>
          <w:color w:val="000000" w:themeColor="text1"/>
          <w:sz w:val="24"/>
          <w:lang w:val="sv-SE"/>
        </w:rPr>
        <w:footnoteRef/>
      </w:r>
      <w:r w:rsidR="009C42C7" w:rsidRPr="005B1B52">
        <w:rPr>
          <w:color w:val="000000" w:themeColor="text1"/>
          <w:sz w:val="24"/>
        </w:rPr>
        <w:t xml:space="preserve"> </w:t>
      </w:r>
      <w:r w:rsidR="009C42C7" w:rsidRPr="005B1B52">
        <w:rPr>
          <w:color w:val="000000" w:themeColor="text1"/>
          <w:sz w:val="24"/>
        </w:rPr>
        <w:tab/>
      </w:r>
      <w:hyperlink r:id="rId5" w:history="1">
        <w:r w:rsidRPr="005B1B52">
          <w:rPr>
            <w:rStyle w:val="Hyperlink"/>
            <w:color w:val="000000" w:themeColor="text1"/>
            <w:sz w:val="24"/>
            <w:u w:val="none"/>
          </w:rPr>
          <w:t>EUT L 229, 18.9.2023, s. 1</w:t>
        </w:r>
      </w:hyperlink>
      <w:r w:rsidRPr="005B1B52">
        <w:rPr>
          <w:color w:val="000000" w:themeColor="text1"/>
          <w:sz w:val="24"/>
        </w:rPr>
        <w:t>.</w:t>
      </w:r>
    </w:p>
  </w:footnote>
  <w:footnote w:id="6">
    <w:p w:rsidR="00B74447" w:rsidRPr="005B1B52" w:rsidRDefault="00B74447" w:rsidP="009C42C7">
      <w:pPr>
        <w:pStyle w:val="FootnoteText"/>
        <w:ind w:left="567" w:hanging="567"/>
        <w:rPr>
          <w:color w:val="000000" w:themeColor="text1"/>
          <w:sz w:val="24"/>
          <w:lang w:val="sv-SE"/>
        </w:rPr>
      </w:pPr>
      <w:r w:rsidRPr="005B1B52">
        <w:rPr>
          <w:rStyle w:val="FootnoteReference"/>
          <w:color w:val="000000" w:themeColor="text1"/>
          <w:sz w:val="24"/>
          <w:lang w:val="sv-SE"/>
        </w:rPr>
        <w:footnoteRef/>
      </w:r>
      <w:r w:rsidR="009C42C7" w:rsidRPr="005B1B52">
        <w:rPr>
          <w:color w:val="000000" w:themeColor="text1"/>
          <w:sz w:val="24"/>
          <w:lang w:val="sv-SE"/>
        </w:rPr>
        <w:t xml:space="preserve"> </w:t>
      </w:r>
      <w:r w:rsidR="009C42C7" w:rsidRPr="005B1B52">
        <w:rPr>
          <w:color w:val="000000" w:themeColor="text1"/>
          <w:sz w:val="24"/>
          <w:lang w:val="sv-SE"/>
        </w:rPr>
        <w:tab/>
      </w:r>
      <w:r w:rsidRPr="005B1B52">
        <w:rPr>
          <w:color w:val="000000" w:themeColor="text1"/>
          <w:sz w:val="24"/>
          <w:lang w:val="sv-SE"/>
        </w:rPr>
        <w:t>Förslag till förordning om inrättande av en ram för säkerställande av trygg och hållbar försörjning av kritiska råvaror och om ändring av förordningarna (EU) 168/2013, (EU) 2018/858, 2018/1724 och (EU) 2019/1020 (COM(2023)0160).</w:t>
      </w:r>
    </w:p>
  </w:footnote>
  <w:footnote w:id="7">
    <w:p w:rsidR="00B74447" w:rsidRPr="005B1B52" w:rsidRDefault="00B74447" w:rsidP="009C42C7">
      <w:pPr>
        <w:pStyle w:val="FootnoteText"/>
        <w:ind w:left="567" w:hanging="567"/>
        <w:rPr>
          <w:color w:val="000000" w:themeColor="text1"/>
          <w:sz w:val="24"/>
          <w:lang w:val="sv-SE"/>
        </w:rPr>
      </w:pPr>
      <w:r w:rsidRPr="005B1B52">
        <w:rPr>
          <w:rStyle w:val="FootnoteReference"/>
          <w:color w:val="000000" w:themeColor="text1"/>
          <w:sz w:val="24"/>
          <w:lang w:val="sv-SE"/>
        </w:rPr>
        <w:footnoteRef/>
      </w:r>
      <w:r w:rsidR="009C42C7" w:rsidRPr="005B1B52">
        <w:rPr>
          <w:color w:val="000000" w:themeColor="text1"/>
          <w:sz w:val="24"/>
          <w:lang w:val="sv-SE"/>
        </w:rPr>
        <w:t xml:space="preserve"> </w:t>
      </w:r>
      <w:r w:rsidR="009C42C7" w:rsidRPr="005B1B52">
        <w:rPr>
          <w:color w:val="000000" w:themeColor="text1"/>
          <w:sz w:val="24"/>
          <w:lang w:val="sv-SE"/>
        </w:rPr>
        <w:tab/>
      </w:r>
      <w:r w:rsidRPr="005B1B52">
        <w:rPr>
          <w:color w:val="000000" w:themeColor="text1"/>
          <w:sz w:val="24"/>
          <w:lang w:val="sv-SE"/>
        </w:rPr>
        <w:t>Förslag till Europaparlamentets och rådets förordning om skydd av unionen och dess medlemsstater mot ekonomiskt tvång från tredjeländer (COM(2021)0775)</w:t>
      </w:r>
      <w:r w:rsidR="006A6504">
        <w:rPr>
          <w:color w:val="000000" w:themeColor="text1"/>
          <w:sz w:val="24"/>
          <w:lang w:val="sv-SE"/>
        </w:rPr>
        <w:t xml:space="preserve"> (EUT</w:t>
      </w:r>
      <w:r w:rsidR="006A6504" w:rsidRPr="006A6504">
        <w:rPr>
          <w:color w:val="000000" w:themeColor="text1"/>
          <w:sz w:val="24"/>
          <w:lang w:val="sv-SE"/>
        </w:rPr>
        <w:t xml:space="preserve"> L, 2023/2675, 7.12.2023)</w:t>
      </w:r>
      <w:r w:rsidRPr="005B1B52">
        <w:rPr>
          <w:color w:val="000000" w:themeColor="text1"/>
          <w:sz w:val="24"/>
          <w:lang w:val="sv-SE"/>
        </w:rPr>
        <w:t>.</w:t>
      </w:r>
    </w:p>
  </w:footnote>
  <w:footnote w:id="8">
    <w:p w:rsidR="00B74447" w:rsidRPr="005B1B52" w:rsidRDefault="00B74447" w:rsidP="009C42C7">
      <w:pPr>
        <w:pStyle w:val="FootnoteText"/>
        <w:ind w:left="567" w:hanging="567"/>
        <w:rPr>
          <w:color w:val="000000" w:themeColor="text1"/>
          <w:sz w:val="24"/>
          <w:lang w:val="sv-SE"/>
        </w:rPr>
      </w:pPr>
      <w:r w:rsidRPr="005B1B52">
        <w:rPr>
          <w:rStyle w:val="FootnoteReference"/>
          <w:color w:val="000000" w:themeColor="text1"/>
          <w:sz w:val="24"/>
          <w:lang w:val="sv-SE"/>
        </w:rPr>
        <w:footnoteRef/>
      </w:r>
      <w:r w:rsidR="009C42C7" w:rsidRPr="005B1B52">
        <w:rPr>
          <w:color w:val="000000" w:themeColor="text1"/>
          <w:sz w:val="24"/>
          <w:lang w:val="sv-SE"/>
        </w:rPr>
        <w:t xml:space="preserve"> </w:t>
      </w:r>
      <w:r w:rsidR="009C42C7" w:rsidRPr="005B1B52">
        <w:rPr>
          <w:color w:val="000000" w:themeColor="text1"/>
          <w:sz w:val="24"/>
          <w:lang w:val="sv-SE"/>
        </w:rPr>
        <w:tab/>
      </w:r>
      <w:hyperlink r:id="rId6" w:history="1">
        <w:r w:rsidRPr="005B1B52">
          <w:rPr>
            <w:rStyle w:val="Hyperlink"/>
            <w:color w:val="000000" w:themeColor="text1"/>
            <w:sz w:val="24"/>
            <w:u w:val="none"/>
            <w:lang w:val="sv-SE"/>
          </w:rPr>
          <w:t>EUT C 117, 11.3.2022, s. 40</w:t>
        </w:r>
      </w:hyperlink>
      <w:r w:rsidRPr="005B1B52">
        <w:rPr>
          <w:color w:val="000000" w:themeColor="text1"/>
          <w:sz w:val="24"/>
          <w:lang w:val="sv-SE"/>
        </w:rPr>
        <w:t>.</w:t>
      </w:r>
    </w:p>
  </w:footnote>
  <w:footnote w:id="9">
    <w:p w:rsidR="00B74447" w:rsidRPr="006A6504" w:rsidRDefault="00B74447" w:rsidP="009C42C7">
      <w:pPr>
        <w:pStyle w:val="FootnoteText"/>
        <w:ind w:left="567" w:hanging="567"/>
        <w:rPr>
          <w:sz w:val="24"/>
          <w:lang w:val="sv-SE"/>
        </w:rPr>
      </w:pPr>
      <w:r w:rsidRPr="006A6504">
        <w:rPr>
          <w:rStyle w:val="FootnoteReference"/>
          <w:sz w:val="24"/>
          <w:lang w:val="sv-SE"/>
        </w:rPr>
        <w:footnoteRef/>
      </w:r>
      <w:r w:rsidR="009C42C7" w:rsidRPr="006A6504">
        <w:rPr>
          <w:sz w:val="24"/>
          <w:lang w:val="sv-SE"/>
        </w:rPr>
        <w:t xml:space="preserve"> </w:t>
      </w:r>
      <w:r w:rsidR="009C42C7" w:rsidRPr="006A6504">
        <w:rPr>
          <w:sz w:val="24"/>
          <w:lang w:val="sv-SE"/>
        </w:rPr>
        <w:tab/>
      </w:r>
      <w:r w:rsidRPr="006A6504">
        <w:rPr>
          <w:sz w:val="24"/>
          <w:lang w:val="sv-SE"/>
        </w:rPr>
        <w:t>Antagna texter, P9_TA(2023)0219.</w:t>
      </w:r>
    </w:p>
  </w:footnote>
  <w:footnote w:id="10">
    <w:p w:rsidR="00B74447" w:rsidRPr="009C42C7" w:rsidRDefault="00B74447" w:rsidP="009C42C7">
      <w:pPr>
        <w:pStyle w:val="FootnoteText"/>
        <w:ind w:left="567" w:hanging="567"/>
        <w:rPr>
          <w:sz w:val="24"/>
          <w:lang w:val="sv-SE"/>
        </w:rPr>
      </w:pPr>
      <w:r w:rsidRPr="006A6504">
        <w:rPr>
          <w:rStyle w:val="FootnoteReference"/>
          <w:sz w:val="24"/>
          <w:lang w:val="sv-SE"/>
        </w:rPr>
        <w:footnoteRef/>
      </w:r>
      <w:r w:rsidR="009C42C7" w:rsidRPr="006A6504">
        <w:rPr>
          <w:sz w:val="24"/>
          <w:lang w:val="sv-SE"/>
        </w:rPr>
        <w:t xml:space="preserve"> </w:t>
      </w:r>
      <w:r w:rsidR="009C42C7" w:rsidRPr="006A6504">
        <w:rPr>
          <w:sz w:val="24"/>
          <w:lang w:val="sv-SE"/>
        </w:rPr>
        <w:tab/>
      </w:r>
      <w:r w:rsidRPr="006A6504">
        <w:rPr>
          <w:sz w:val="24"/>
          <w:lang w:val="sv-SE"/>
        </w:rPr>
        <w:t>Antagna texter, P9_TA(2023)0219.</w:t>
      </w:r>
    </w:p>
  </w:footnote>
  <w:footnote w:id="11">
    <w:p w:rsidR="00B74447" w:rsidRPr="009C42C7" w:rsidRDefault="00B74447" w:rsidP="009C42C7">
      <w:pPr>
        <w:pStyle w:val="FootnoteText"/>
        <w:ind w:left="567" w:hanging="567"/>
        <w:rPr>
          <w:sz w:val="24"/>
          <w:lang w:val="sv-SE"/>
        </w:rPr>
      </w:pPr>
      <w:r w:rsidRPr="009C42C7">
        <w:rPr>
          <w:rStyle w:val="FootnoteReference"/>
          <w:sz w:val="24"/>
          <w:lang w:val="sv-SE"/>
        </w:rPr>
        <w:footnoteRef/>
      </w:r>
      <w:r w:rsidR="009C42C7" w:rsidRPr="009C42C7">
        <w:rPr>
          <w:sz w:val="24"/>
          <w:lang w:val="sv-SE"/>
        </w:rPr>
        <w:t xml:space="preserve"> </w:t>
      </w:r>
      <w:r w:rsidR="009C42C7" w:rsidRPr="009C42C7">
        <w:rPr>
          <w:sz w:val="24"/>
          <w:lang w:val="sv-SE"/>
        </w:rPr>
        <w:tab/>
      </w:r>
      <w:r w:rsidRPr="009C42C7">
        <w:rPr>
          <w:sz w:val="24"/>
          <w:lang w:val="sv-SE"/>
        </w:rPr>
        <w:t>EUT C 20, 20.1.2023, s. 1.</w:t>
      </w:r>
    </w:p>
  </w:footnote>
  <w:footnote w:id="12">
    <w:p w:rsidR="00B74447" w:rsidRPr="005B1B52" w:rsidRDefault="00B74447" w:rsidP="009C42C7">
      <w:pPr>
        <w:pStyle w:val="FootnoteText"/>
        <w:ind w:left="567" w:hanging="567"/>
        <w:rPr>
          <w:color w:val="000000" w:themeColor="text1"/>
          <w:sz w:val="24"/>
          <w:lang w:val="sv-SE"/>
        </w:rPr>
      </w:pPr>
      <w:r w:rsidRPr="009C42C7">
        <w:rPr>
          <w:rStyle w:val="FootnoteReference"/>
          <w:sz w:val="24"/>
          <w:lang w:val="sv-SE"/>
        </w:rPr>
        <w:footnoteRef/>
      </w:r>
      <w:r w:rsidR="009C42C7" w:rsidRPr="009C42C7">
        <w:rPr>
          <w:sz w:val="24"/>
          <w:lang w:val="sv-SE"/>
        </w:rPr>
        <w:t xml:space="preserve"> </w:t>
      </w:r>
      <w:r w:rsidR="009C42C7" w:rsidRPr="009C42C7">
        <w:rPr>
          <w:sz w:val="24"/>
          <w:lang w:val="sv-SE"/>
        </w:rPr>
        <w:tab/>
      </w:r>
      <w:r w:rsidRPr="005B1B52">
        <w:rPr>
          <w:color w:val="000000" w:themeColor="text1"/>
          <w:sz w:val="24"/>
          <w:lang w:val="sv-SE"/>
        </w:rPr>
        <w:t xml:space="preserve">Europaparlamentets och rådets direktiv (EU) 2022/2557 av den 14 december 2022 om kritiska entiteters motståndskraft och om upphävande av rådets direktiv 2008/114/EG </w:t>
      </w:r>
      <w:r w:rsidR="006A6504">
        <w:rPr>
          <w:color w:val="000000" w:themeColor="text1"/>
          <w:sz w:val="24"/>
          <w:lang w:val="sv-SE"/>
        </w:rPr>
        <w:t>(</w:t>
      </w:r>
      <w:hyperlink r:id="rId7" w:history="1">
        <w:r w:rsidRPr="005B1B52">
          <w:rPr>
            <w:rStyle w:val="Hyperlink"/>
            <w:color w:val="000000" w:themeColor="text1"/>
            <w:sz w:val="24"/>
            <w:u w:val="none"/>
            <w:lang w:val="sv-SE"/>
          </w:rPr>
          <w:t>EUT L 333, 27.12.2022, s. 164</w:t>
        </w:r>
      </w:hyperlink>
      <w:r w:rsidR="006A6504">
        <w:rPr>
          <w:rStyle w:val="Hyperlink"/>
          <w:color w:val="000000" w:themeColor="text1"/>
          <w:sz w:val="24"/>
          <w:u w:val="none"/>
          <w:lang w:val="sv-SE"/>
        </w:rPr>
        <w:t>)</w:t>
      </w:r>
      <w:r w:rsidRPr="005B1B52">
        <w:rPr>
          <w:color w:val="000000" w:themeColor="text1"/>
          <w:sz w:val="24"/>
          <w:lang w:val="sv-SE"/>
        </w:rPr>
        <w:t>.</w:t>
      </w:r>
    </w:p>
  </w:footnote>
  <w:footnote w:id="13">
    <w:p w:rsidR="00B74447" w:rsidRPr="005B1B52" w:rsidRDefault="00B74447" w:rsidP="009C42C7">
      <w:pPr>
        <w:pStyle w:val="FootnoteText"/>
        <w:ind w:left="567" w:hanging="567"/>
        <w:rPr>
          <w:color w:val="000000" w:themeColor="text1"/>
          <w:sz w:val="24"/>
          <w:lang w:val="sv-SE"/>
        </w:rPr>
      </w:pPr>
      <w:r w:rsidRPr="005B1B52">
        <w:rPr>
          <w:rStyle w:val="FootnoteReference"/>
          <w:color w:val="000000" w:themeColor="text1"/>
          <w:sz w:val="24"/>
          <w:lang w:val="sv-SE"/>
        </w:rPr>
        <w:footnoteRef/>
      </w:r>
      <w:r w:rsidR="009C42C7" w:rsidRPr="005B1B52">
        <w:rPr>
          <w:color w:val="000000" w:themeColor="text1"/>
          <w:sz w:val="24"/>
          <w:lang w:val="sv-SE"/>
        </w:rPr>
        <w:t xml:space="preserve"> </w:t>
      </w:r>
      <w:r w:rsidR="009C42C7" w:rsidRPr="005B1B52">
        <w:rPr>
          <w:color w:val="000000" w:themeColor="text1"/>
          <w:sz w:val="24"/>
          <w:lang w:val="sv-SE"/>
        </w:rPr>
        <w:tab/>
      </w:r>
      <w:r w:rsidRPr="005B1B52">
        <w:rPr>
          <w:color w:val="000000" w:themeColor="text1"/>
          <w:sz w:val="24"/>
          <w:lang w:val="sv-SE"/>
        </w:rPr>
        <w:t xml:space="preserve">Direktiv (EU) 2022/2555 av den 14 december 2022 om åtgärder för en hög gemensam cybersäkerhetsnivå i hela unionen, om ändring av förordning (EU) nr 910/2014 och direktiv (EU) 2018/1972 och om upphävande av direktiv (EU) 2016/1148 (NIS 2-direktivet) </w:t>
      </w:r>
      <w:r w:rsidR="006A6504">
        <w:rPr>
          <w:color w:val="000000" w:themeColor="text1"/>
          <w:sz w:val="24"/>
          <w:lang w:val="sv-SE"/>
        </w:rPr>
        <w:t>(</w:t>
      </w:r>
      <w:hyperlink r:id="rId8" w:history="1">
        <w:r w:rsidRPr="005B1B52">
          <w:rPr>
            <w:rStyle w:val="Hyperlink"/>
            <w:color w:val="000000" w:themeColor="text1"/>
            <w:sz w:val="24"/>
            <w:u w:val="none"/>
            <w:lang w:val="sv-SE"/>
          </w:rPr>
          <w:t>EUT L 333, 27.12.2022, s. 80</w:t>
        </w:r>
      </w:hyperlink>
      <w:r w:rsidR="006A6504">
        <w:rPr>
          <w:rStyle w:val="Hyperlink"/>
          <w:color w:val="000000" w:themeColor="text1"/>
          <w:sz w:val="24"/>
          <w:u w:val="none"/>
          <w:lang w:val="sv-SE"/>
        </w:rPr>
        <w:t>)</w:t>
      </w:r>
      <w:r w:rsidRPr="005B1B52">
        <w:rPr>
          <w:color w:val="000000" w:themeColor="text1"/>
          <w:sz w:val="24"/>
          <w:lang w:val="sv-SE"/>
        </w:rPr>
        <w:t>.</w:t>
      </w:r>
    </w:p>
  </w:footnote>
  <w:footnote w:id="14">
    <w:p w:rsidR="00B74447" w:rsidRPr="009C42C7" w:rsidRDefault="00B74447" w:rsidP="009C42C7">
      <w:pPr>
        <w:pStyle w:val="FootnoteText"/>
        <w:ind w:left="567" w:hanging="567"/>
        <w:rPr>
          <w:sz w:val="24"/>
          <w:lang w:val="sv-SE"/>
        </w:rPr>
      </w:pPr>
      <w:r w:rsidRPr="009C42C7">
        <w:rPr>
          <w:rStyle w:val="FootnoteReference"/>
          <w:rFonts w:eastAsiaTheme="majorEastAsia"/>
          <w:sz w:val="24"/>
          <w:lang w:val="sv-SE"/>
        </w:rPr>
        <w:footnoteRef/>
      </w:r>
      <w:r w:rsidR="009C42C7" w:rsidRPr="009C42C7">
        <w:rPr>
          <w:sz w:val="24"/>
          <w:lang w:val="sv-SE"/>
        </w:rPr>
        <w:t xml:space="preserve"> </w:t>
      </w:r>
      <w:r w:rsidR="009C42C7" w:rsidRPr="009C42C7">
        <w:rPr>
          <w:sz w:val="24"/>
          <w:lang w:val="sv-SE"/>
        </w:rPr>
        <w:tab/>
      </w:r>
      <w:r w:rsidRPr="005B1B52">
        <w:rPr>
          <w:color w:val="000000" w:themeColor="text1"/>
          <w:sz w:val="24"/>
          <w:lang w:val="sv-SE"/>
        </w:rPr>
        <w:t>Förordning (EU) 2019/452 av den 19 mars 2019 om upprättande av en ram för granskning av utländska direktinvesteringar i unionen (</w:t>
      </w:r>
      <w:hyperlink r:id="rId9" w:history="1">
        <w:r w:rsidRPr="005B1B52">
          <w:rPr>
            <w:rStyle w:val="Hyperlink"/>
            <w:color w:val="000000" w:themeColor="text1"/>
            <w:sz w:val="24"/>
            <w:u w:val="none"/>
            <w:lang w:val="sv-SE"/>
          </w:rPr>
          <w:t>EUT L 79 I, 21.3.2019, s. 1</w:t>
        </w:r>
      </w:hyperlink>
      <w:r w:rsidRPr="005B1B52">
        <w:rPr>
          <w:color w:val="000000" w:themeColor="text1"/>
          <w:sz w:val="24"/>
          <w:lang w:val="sv-SE"/>
        </w:rPr>
        <w:t>).</w:t>
      </w:r>
    </w:p>
  </w:footnote>
  <w:footnote w:id="15">
    <w:p w:rsidR="00B74447" w:rsidRPr="009C42C7" w:rsidRDefault="00B74447" w:rsidP="009C42C7">
      <w:pPr>
        <w:pStyle w:val="FootnoteText"/>
        <w:ind w:left="567" w:hanging="567"/>
        <w:rPr>
          <w:sz w:val="24"/>
          <w:lang w:val="sv-SE"/>
        </w:rPr>
      </w:pPr>
      <w:r w:rsidRPr="009C42C7">
        <w:rPr>
          <w:rStyle w:val="FootnoteReference"/>
          <w:sz w:val="24"/>
          <w:lang w:val="sv-SE"/>
        </w:rPr>
        <w:footnoteRef/>
      </w:r>
      <w:r w:rsidR="009C42C7" w:rsidRPr="009C42C7">
        <w:rPr>
          <w:sz w:val="24"/>
          <w:lang w:val="sv-SE"/>
        </w:rPr>
        <w:t xml:space="preserve"> </w:t>
      </w:r>
      <w:r w:rsidR="009C42C7" w:rsidRPr="009C42C7">
        <w:rPr>
          <w:sz w:val="24"/>
          <w:lang w:val="sv-SE"/>
        </w:rPr>
        <w:tab/>
      </w:r>
      <w:r w:rsidRPr="009C42C7">
        <w:rPr>
          <w:sz w:val="24"/>
          <w:lang w:val="sv-SE"/>
        </w:rPr>
        <w:t xml:space="preserve">Utredningsavdelningen för yttre förbindelser vid generaldirektoratet för EU-extern politik, </w:t>
      </w:r>
      <w:r w:rsidRPr="009C42C7">
        <w:rPr>
          <w:i/>
          <w:iCs/>
          <w:sz w:val="24"/>
          <w:lang w:val="sv-SE"/>
        </w:rPr>
        <w:t>Security implications of China-owned critical infrastructure in the European Union</w:t>
      </w:r>
      <w:r w:rsidRPr="009C42C7">
        <w:rPr>
          <w:sz w:val="24"/>
          <w:lang w:val="sv-SE"/>
        </w:rPr>
        <w:t>, juni 2023.</w:t>
      </w:r>
    </w:p>
  </w:footnote>
  <w:footnote w:id="16">
    <w:p w:rsidR="00B74447" w:rsidRPr="009C42C7" w:rsidRDefault="00B74447" w:rsidP="009C42C7">
      <w:pPr>
        <w:pStyle w:val="FootnoteText"/>
        <w:ind w:left="567" w:hanging="567"/>
        <w:rPr>
          <w:sz w:val="24"/>
          <w:vertAlign w:val="superscript"/>
          <w:lang w:val="sv-SE"/>
        </w:rPr>
      </w:pPr>
      <w:r w:rsidRPr="009C42C7">
        <w:rPr>
          <w:rStyle w:val="FootnoteReference"/>
          <w:sz w:val="24"/>
          <w:lang w:val="sv-SE"/>
        </w:rPr>
        <w:footnoteRef/>
      </w:r>
      <w:r w:rsidR="009C42C7" w:rsidRPr="009C42C7">
        <w:rPr>
          <w:sz w:val="24"/>
          <w:lang w:val="sv-SE"/>
        </w:rPr>
        <w:t xml:space="preserve"> </w:t>
      </w:r>
      <w:r w:rsidR="009C42C7" w:rsidRPr="009C42C7">
        <w:rPr>
          <w:sz w:val="24"/>
          <w:lang w:val="sv-SE"/>
        </w:rPr>
        <w:tab/>
      </w:r>
      <w:r w:rsidRPr="009C42C7">
        <w:rPr>
          <w:sz w:val="24"/>
          <w:lang w:val="sv-SE"/>
        </w:rPr>
        <w:t xml:space="preserve">Europeiska </w:t>
      </w:r>
      <w:r w:rsidRPr="005B1B52">
        <w:rPr>
          <w:color w:val="000000" w:themeColor="text1"/>
          <w:sz w:val="24"/>
          <w:lang w:val="sv-SE"/>
        </w:rPr>
        <w:t xml:space="preserve">kommissionen, </w:t>
      </w:r>
      <w:hyperlink r:id="rId10" w:history="1">
        <w:r w:rsidRPr="005B1B52">
          <w:rPr>
            <w:rStyle w:val="Hyperlink"/>
            <w:color w:val="000000" w:themeColor="text1"/>
            <w:sz w:val="24"/>
            <w:u w:val="none"/>
            <w:lang w:val="sv-SE"/>
          </w:rPr>
          <w:t>EU:s och Natos arbetsgrupp för den kritiska infrastrukturens motståndskraft: Slutlig utvärderingsrapport, juni 2023</w:t>
        </w:r>
      </w:hyperlink>
      <w:r w:rsidRPr="005B1B52">
        <w:rPr>
          <w:color w:val="000000" w:themeColor="text1"/>
          <w:sz w:val="24"/>
          <w:lang w:val="sv-SE"/>
        </w:rPr>
        <w:t>.</w:t>
      </w:r>
    </w:p>
    <w:p w:rsidR="00B74447" w:rsidRPr="009C42C7" w:rsidRDefault="00B74447" w:rsidP="005B1B52">
      <w:pPr>
        <w:pStyle w:val="FootnoteText"/>
        <w:ind w:left="0" w:firstLine="0"/>
        <w:rPr>
          <w:sz w:val="24"/>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2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SV"/>
    <w:docVar w:name="dvnumam" w:val="0"/>
    <w:docVar w:name="dvpe" w:val="750.176"/>
    <w:docVar w:name="dvrapporteur" w:val="Föredragande: "/>
    <w:docVar w:name="dvtitre" w:val="Europaparlamentets resolution av den xx xx 2024 om säkerhets- och försvarsmässiga konsekvenser av Kinas inflytande på kritisk infrastruktur i Europeiska unionen(2023/2072(INI))"/>
  </w:docVars>
  <w:rsids>
    <w:rsidRoot w:val="00F052E2"/>
    <w:rsid w:val="00002272"/>
    <w:rsid w:val="00064002"/>
    <w:rsid w:val="000677B9"/>
    <w:rsid w:val="000831BA"/>
    <w:rsid w:val="000A42CC"/>
    <w:rsid w:val="000E7DD9"/>
    <w:rsid w:val="0010095E"/>
    <w:rsid w:val="00125B37"/>
    <w:rsid w:val="00187494"/>
    <w:rsid w:val="001F32AE"/>
    <w:rsid w:val="002767FF"/>
    <w:rsid w:val="002B18FE"/>
    <w:rsid w:val="002B3AE3"/>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B52"/>
    <w:rsid w:val="005C2568"/>
    <w:rsid w:val="006037C0"/>
    <w:rsid w:val="006631B6"/>
    <w:rsid w:val="00680577"/>
    <w:rsid w:val="006A65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2C7"/>
    <w:rsid w:val="00A1687D"/>
    <w:rsid w:val="00A43E52"/>
    <w:rsid w:val="00A4678D"/>
    <w:rsid w:val="00A778C7"/>
    <w:rsid w:val="00AB441E"/>
    <w:rsid w:val="00AB6293"/>
    <w:rsid w:val="00AE0928"/>
    <w:rsid w:val="00AF3B82"/>
    <w:rsid w:val="00B0731D"/>
    <w:rsid w:val="00B12E95"/>
    <w:rsid w:val="00B22876"/>
    <w:rsid w:val="00B558F0"/>
    <w:rsid w:val="00B7444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2E2"/>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61749"/>
  <w15:chartTrackingRefBased/>
  <w15:docId w15:val="{CA8A9470-89CA-450E-913E-DA62C6E1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B74447"/>
    <w:pPr>
      <w:keepNext/>
      <w:spacing w:after="480"/>
      <w:jc w:val="center"/>
    </w:pPr>
    <w:rPr>
      <w:rFonts w:ascii="Arial" w:hAnsi="Arial" w:cs="Arial"/>
      <w:b/>
    </w:rPr>
  </w:style>
  <w:style w:type="paragraph" w:customStyle="1" w:styleId="NormalHanging12a">
    <w:name w:val="NormalHanging12a"/>
    <w:basedOn w:val="Normal"/>
    <w:link w:val="NormalHanging12aChar"/>
    <w:rsid w:val="00B74447"/>
    <w:pPr>
      <w:spacing w:after="240"/>
      <w:ind w:left="567" w:hanging="567"/>
    </w:pPr>
  </w:style>
  <w:style w:type="character" w:styleId="Hyperlink">
    <w:name w:val="Hyperlink"/>
    <w:basedOn w:val="DefaultParagraphFont"/>
    <w:unhideWhenUsed/>
    <w:rsid w:val="00B74447"/>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B74447"/>
    <w:rPr>
      <w:sz w:val="24"/>
      <w:lang w:val="sv-SE"/>
    </w:rPr>
  </w:style>
  <w:style w:type="paragraph" w:customStyle="1" w:styleId="NormalHanging">
    <w:name w:val="NormalHanging"/>
    <w:basedOn w:val="Normal"/>
    <w:rsid w:val="00B74447"/>
    <w:pPr>
      <w:widowControl/>
      <w:spacing w:after="240"/>
      <w:ind w:left="567" w:hanging="567"/>
    </w:pPr>
  </w:style>
  <w:style w:type="paragraph" w:customStyle="1" w:styleId="Normal12">
    <w:name w:val="Normal12"/>
    <w:basedOn w:val="Normal"/>
    <w:qFormat/>
    <w:rsid w:val="00B74447"/>
    <w:pPr>
      <w:widowControl/>
      <w:spacing w:after="240"/>
      <w:ind w:left="567" w:hanging="567"/>
    </w:pPr>
  </w:style>
  <w:style w:type="character" w:customStyle="1" w:styleId="Normalhanging12aChar0">
    <w:name w:val="Normalhanging12a Char"/>
    <w:basedOn w:val="DefaultParagraphFont"/>
    <w:link w:val="Normalhanging12a0"/>
    <w:locked/>
    <w:rsid w:val="00B74447"/>
    <w:rPr>
      <w:sz w:val="24"/>
    </w:rPr>
  </w:style>
  <w:style w:type="paragraph" w:customStyle="1" w:styleId="Normalhanging12a0">
    <w:name w:val="Normalhanging12a"/>
    <w:basedOn w:val="Normal"/>
    <w:link w:val="Normalhanging12aChar0"/>
    <w:qFormat/>
    <w:rsid w:val="00B74447"/>
    <w:pPr>
      <w:tabs>
        <w:tab w:val="left" w:pos="567"/>
      </w:tabs>
      <w:spacing w:after="240"/>
      <w:ind w:left="567" w:hanging="567"/>
    </w:pPr>
    <w:rPr>
      <w:lang w:val="en-GB"/>
    </w:rPr>
  </w:style>
  <w:style w:type="character" w:customStyle="1" w:styleId="BoldItalic">
    <w:name w:val="BoldItalic"/>
    <w:basedOn w:val="DefaultParagraphFont"/>
    <w:uiPriority w:val="1"/>
    <w:qFormat/>
    <w:rsid w:val="00B74447"/>
    <w:rPr>
      <w:rFonts w:ascii="Times New Roman" w:hAnsi="Times New Roman" w:cs="Times New Roman" w:hint="default"/>
      <w:b/>
      <w:bCs w:val="0"/>
      <w:i/>
      <w:iCs w:val="0"/>
      <w:sz w:val="24"/>
    </w:rPr>
  </w:style>
  <w:style w:type="paragraph" w:styleId="BodyText">
    <w:name w:val="Body Text"/>
    <w:basedOn w:val="Normal"/>
    <w:link w:val="BodyTextChar"/>
    <w:rsid w:val="00B74447"/>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B74447"/>
    <w:rPr>
      <w:b/>
      <w:snapToGrid w:val="0"/>
      <w:sz w:val="24"/>
      <w:lang w:val="sv-SE"/>
    </w:rPr>
  </w:style>
  <w:style w:type="paragraph" w:styleId="BalloonText">
    <w:name w:val="Balloon Text"/>
    <w:basedOn w:val="Normal"/>
    <w:link w:val="BalloonTextChar"/>
    <w:rsid w:val="006A6504"/>
    <w:rPr>
      <w:rFonts w:ascii="Segoe UI" w:hAnsi="Segoe UI" w:cs="Segoe UI"/>
      <w:sz w:val="18"/>
      <w:szCs w:val="18"/>
    </w:rPr>
  </w:style>
  <w:style w:type="character" w:customStyle="1" w:styleId="BalloonTextChar">
    <w:name w:val="Balloon Text Char"/>
    <w:basedOn w:val="DefaultParagraphFont"/>
    <w:link w:val="BalloonText"/>
    <w:rsid w:val="006A650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22/2555" TargetMode="External"/><Relationship Id="rId3" Type="http://schemas.openxmlformats.org/officeDocument/2006/relationships/hyperlink" Target="https://eur-lex.europa.eu/eli/dir/2022/2557/oj" TargetMode="External"/><Relationship Id="rId7" Type="http://schemas.openxmlformats.org/officeDocument/2006/relationships/hyperlink" Target="https://eur-lex.europa.eu/eli/dir/2022/2557/oj" TargetMode="External"/><Relationship Id="rId2" Type="http://schemas.openxmlformats.org/officeDocument/2006/relationships/hyperlink" Target="https://eur-lex.europa.eu/eli/reg/2019/452/oj" TargetMode="External"/><Relationship Id="rId1" Type="http://schemas.openxmlformats.org/officeDocument/2006/relationships/hyperlink" Target="https://eur-lex.europa.eu/eli/reg/2022/2560/oj" TargetMode="External"/><Relationship Id="rId6" Type="http://schemas.openxmlformats.org/officeDocument/2006/relationships/hyperlink" Target="https://eur-lex.europa.eu/legal-content/SV/TXT/?uri=CELEX:52021IP0382" TargetMode="External"/><Relationship Id="rId5" Type="http://schemas.openxmlformats.org/officeDocument/2006/relationships/hyperlink" Target="https://eur-lex.europa.eu/legal-content/EN/TXT/?uri=uriserv:OJ.L_.2023.229.01.0001.01.ENG" TargetMode="External"/><Relationship Id="rId10" Type="http://schemas.openxmlformats.org/officeDocument/2006/relationships/hyperlink" Target="https://commission.europa.eu/document/34209534-3c59-4b01-b4f0-b2c6ee2df736_en?prefLang=sv" TargetMode="External"/><Relationship Id="rId4" Type="http://schemas.openxmlformats.org/officeDocument/2006/relationships/hyperlink" Target="https://eur-lex.europa.eu/eli/dir/2022/2555" TargetMode="External"/><Relationship Id="rId9" Type="http://schemas.openxmlformats.org/officeDocument/2006/relationships/hyperlink" Target="https://eur-lex.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4C48-ED93-43D6-985A-83FD37809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4751</Words>
  <Characters>35023</Characters>
  <Application>Microsoft Office Word</Application>
  <DocSecurity>0</DocSecurity>
  <Lines>1030</Lines>
  <Paragraphs>764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2024-02-25T14:30:00Z</dcterms:created>
  <dcterms:modified xsi:type="dcterms:W3CDTF">2024-02-25T14:30:00Z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A9-0401/2023</vt:lpwstr>
  </property>
  <property fmtid="{D5CDD505-2E9C-101B-9397-08002B2CF9AE}" pid="4" name="&lt;Type&gt;">
    <vt:lpwstr>RR</vt:lpwstr>
  </property>
</Properties>
</file>